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54E" w:rsidRDefault="00F4654E">
      <w:pPr>
        <w:pStyle w:val="a4"/>
      </w:pPr>
      <w:bookmarkStart w:id="0" w:name="_Toc11390028"/>
      <w:bookmarkStart w:id="1" w:name="_Toc10731227"/>
      <w:bookmarkStart w:id="2" w:name="_Toc10731888"/>
      <w:bookmarkStart w:id="3" w:name="_Toc10891735"/>
      <w:bookmarkStart w:id="4" w:name="_Toc10892410"/>
      <w:r>
        <w:t>УДК 619:616.33/.34:616.24-084:636.22/28+636.4</w:t>
      </w:r>
    </w:p>
    <w:p w:rsidR="00F4654E" w:rsidRDefault="00F4654E">
      <w:pPr>
        <w:pStyle w:val="1"/>
      </w:pPr>
      <w:bookmarkStart w:id="5" w:name="_Toc11839706"/>
      <w:bookmarkStart w:id="6" w:name="_Toc11937242"/>
      <w:r>
        <w:t>Этиология и профилактика желудочно-кишечных и респираторных болезней телят и поросят</w:t>
      </w:r>
      <w:bookmarkEnd w:id="5"/>
      <w:bookmarkEnd w:id="6"/>
    </w:p>
    <w:p w:rsidR="00F4654E" w:rsidRDefault="00F4654E">
      <w:pPr>
        <w:pStyle w:val="2"/>
      </w:pPr>
      <w:bookmarkStart w:id="7" w:name="_Toc11937243"/>
      <w:r>
        <w:t>Шахов А.Г.</w:t>
      </w:r>
      <w:bookmarkEnd w:id="7"/>
    </w:p>
    <w:p w:rsidR="00F4654E" w:rsidRDefault="00F4654E">
      <w:pPr>
        <w:pStyle w:val="a5"/>
      </w:pPr>
      <w:r>
        <w:t>Всероссийский НИВИ патологии, фармакологии и терапии</w:t>
      </w:r>
    </w:p>
    <w:p w:rsidR="00F4654E" w:rsidRDefault="00F4654E">
      <w:pPr>
        <w:pStyle w:val="a6"/>
        <w:rPr>
          <w:spacing w:val="-2"/>
        </w:rPr>
      </w:pPr>
      <w:r>
        <w:rPr>
          <w:spacing w:val="-2"/>
        </w:rPr>
        <w:t>Наиболее острой проблемой современного животноводства являются болезни молодняка. По данным департамента ветеринарии МСХ РФ (Эп</w:t>
      </w:r>
      <w:r>
        <w:rPr>
          <w:spacing w:val="-2"/>
        </w:rPr>
        <w:t>и</w:t>
      </w:r>
      <w:r>
        <w:rPr>
          <w:spacing w:val="-2"/>
        </w:rPr>
        <w:t>зоотическая ситуация в мире и Российской Федерации в 2000-2001 г.г., М</w:t>
      </w:r>
      <w:r>
        <w:rPr>
          <w:spacing w:val="-2"/>
        </w:rPr>
        <w:t>о</w:t>
      </w:r>
      <w:r>
        <w:rPr>
          <w:spacing w:val="-2"/>
        </w:rPr>
        <w:t>сква, 2001) в 2000 году только незаразными болезнями заболело 5193,6 тыс. телят и 7526,4 тыс. поросят, что составило к приплоду соответственно 78,6 и 55,48%, а пало 9,9 и 14,0%. Из общего количества павших крупного рог</w:t>
      </w:r>
      <w:r>
        <w:rPr>
          <w:spacing w:val="-2"/>
        </w:rPr>
        <w:t>а</w:t>
      </w:r>
      <w:r>
        <w:rPr>
          <w:spacing w:val="-2"/>
        </w:rPr>
        <w:t>того скота и свиней на долю телят приходится 98,2% и поросят 89,9%, в том числе падеж телят от желудочно-кишечных болезней составил 53,6% и от респираторной патологии 38,2%, а поросят соответственно 57,5 и 29,0%.</w:t>
      </w:r>
    </w:p>
    <w:p w:rsidR="00F4654E" w:rsidRDefault="00F4654E">
      <w:pPr>
        <w:pStyle w:val="a6"/>
      </w:pPr>
      <w:r>
        <w:t>Большинство болезней органов пищеварения и дыхания у молодняка сельскохозяйственных животных (более 85%) официальная статистика о</w:t>
      </w:r>
      <w:r>
        <w:t>т</w:t>
      </w:r>
      <w:r>
        <w:t>носит к незаразной патологии.</w:t>
      </w:r>
    </w:p>
    <w:p w:rsidR="00F4654E" w:rsidRDefault="00F4654E">
      <w:pPr>
        <w:pStyle w:val="a6"/>
      </w:pPr>
      <w:r>
        <w:t>Однако в последние годы многочисленными исследованиями в нашей стране и за рубежом установлено, что указанные болезни на фоне неблаг</w:t>
      </w:r>
      <w:r>
        <w:t>о</w:t>
      </w:r>
      <w:r>
        <w:t>приятного воздействия на животных различных предрасполагающих фа</w:t>
      </w:r>
      <w:r>
        <w:t>к</w:t>
      </w:r>
      <w:r>
        <w:t>торов, снижающих общую неспецифическую резистентность организма, имеют инфекционную природу.</w:t>
      </w:r>
    </w:p>
    <w:p w:rsidR="00F4654E" w:rsidRDefault="00F4654E">
      <w:pPr>
        <w:pStyle w:val="a6"/>
      </w:pPr>
      <w:r>
        <w:t>Так, от телят с диарейным синдромом из вирусных антигенов наиб</w:t>
      </w:r>
      <w:r>
        <w:t>о</w:t>
      </w:r>
      <w:r>
        <w:t>лее часто выделяют корона-, рота-, энтеро-, парвовирус, возбудителей в</w:t>
      </w:r>
      <w:r>
        <w:t>и</w:t>
      </w:r>
      <w:r>
        <w:t>русной диареи – болезни слизистых, ИРТ и др. Из бактериальных возбуд</w:t>
      </w:r>
      <w:r>
        <w:t>и</w:t>
      </w:r>
      <w:r>
        <w:t>телей, которые самостоятельно могут вызывать диарею у телят или осло</w:t>
      </w:r>
      <w:r>
        <w:t>ж</w:t>
      </w:r>
      <w:r>
        <w:t>нять вирусные инфекции следует выделить патогенные и токсигенные эшерихии, сальмонеллы, клостридии, а также представители родов цитр</w:t>
      </w:r>
      <w:r>
        <w:t>о</w:t>
      </w:r>
      <w:r>
        <w:t>бактер, энтеробактер, клебсиелла, протеус, морганелла, иерсиния, пров</w:t>
      </w:r>
      <w:r>
        <w:t>и</w:t>
      </w:r>
      <w:r>
        <w:t>денция, псевдомонас, кампилобактер и другие.</w:t>
      </w:r>
    </w:p>
    <w:p w:rsidR="00F4654E" w:rsidRDefault="00F4654E">
      <w:pPr>
        <w:pStyle w:val="a6"/>
      </w:pPr>
      <w:r>
        <w:t>В этиологии желудочно-кишечных болезней телят принимают участие также хламидии, криптоспоридии, эймерии, патогенные грибы и др.</w:t>
      </w:r>
    </w:p>
    <w:p w:rsidR="00F4654E" w:rsidRDefault="00F4654E">
      <w:pPr>
        <w:pStyle w:val="a6"/>
        <w:rPr>
          <w:spacing w:val="-2"/>
        </w:rPr>
      </w:pPr>
      <w:r>
        <w:rPr>
          <w:spacing w:val="-2"/>
        </w:rPr>
        <w:t>Наряду с диареями инфекционной природы у телят регистрируют ал</w:t>
      </w:r>
      <w:r>
        <w:rPr>
          <w:spacing w:val="-2"/>
        </w:rPr>
        <w:t>и</w:t>
      </w:r>
      <w:r>
        <w:rPr>
          <w:spacing w:val="-2"/>
        </w:rPr>
        <w:t>ментарно-функциональные болезни (диспепсия, молозивотоксикоз и др.), которые, как правило, осложняются условно-патогенной микрофл</w:t>
      </w:r>
      <w:r>
        <w:rPr>
          <w:spacing w:val="-2"/>
        </w:rPr>
        <w:t>о</w:t>
      </w:r>
      <w:r>
        <w:rPr>
          <w:spacing w:val="-2"/>
        </w:rPr>
        <w:t>рой.</w:t>
      </w:r>
    </w:p>
    <w:p w:rsidR="00F4654E" w:rsidRDefault="00F4654E">
      <w:pPr>
        <w:pStyle w:val="a6"/>
      </w:pPr>
      <w:r>
        <w:t>Источником возбудителей инфекций являются взрослые животные – заразоносители, больные и переболевшие телята, которые выделяют их во внешнюю среду. Накопление патогенных и условно-патогенных микроо</w:t>
      </w:r>
      <w:r>
        <w:t>р</w:t>
      </w:r>
      <w:r>
        <w:t xml:space="preserve">ганизмов в среде обитания телят приводит их к заражению. Возникновение болезни, степень охвата поголовья, тяжесть течения и ее исход зависят от </w:t>
      </w:r>
      <w:r>
        <w:lastRenderedPageBreak/>
        <w:t>состояния организма, уровня его резистентности и тех условий, в которые он попадает после рождения и в последующие периоды выращивания.</w:t>
      </w:r>
    </w:p>
    <w:p w:rsidR="00F4654E" w:rsidRDefault="00F4654E">
      <w:pPr>
        <w:pStyle w:val="a6"/>
        <w:rPr>
          <w:spacing w:val="-4"/>
        </w:rPr>
      </w:pPr>
      <w:r>
        <w:rPr>
          <w:spacing w:val="-4"/>
        </w:rPr>
        <w:t>Высокий уровень резистентности новорожденных телят обеспечивается совокупностью многих факторов, среди которых первостепенное значение имеют состояние, организма матери, количество и качество полученного п</w:t>
      </w:r>
      <w:r>
        <w:rPr>
          <w:spacing w:val="-4"/>
        </w:rPr>
        <w:t>о</w:t>
      </w:r>
      <w:r>
        <w:rPr>
          <w:spacing w:val="-4"/>
        </w:rPr>
        <w:t>сле рождения молозива, санитарное состояние места обитания и др.</w:t>
      </w:r>
    </w:p>
    <w:p w:rsidR="00F4654E" w:rsidRDefault="00F4654E">
      <w:pPr>
        <w:pStyle w:val="a6"/>
      </w:pPr>
      <w:r>
        <w:t>При разработке эффективных мер профилактики желудочно-кишеч-ных болезней телят биологический комплекс «мать-плод-новорожденный» следует рассматривать как единую систему, так как установлена прямая зависимость между уровнем обмена веществ и неспецифической рез</w:t>
      </w:r>
      <w:r>
        <w:t>и</w:t>
      </w:r>
      <w:r>
        <w:t>стентности организма коров и внутриутробным развитием плода, состо</w:t>
      </w:r>
      <w:r>
        <w:t>я</w:t>
      </w:r>
      <w:r>
        <w:t>нием здоровья и сохранностью новорожденных телят.</w:t>
      </w:r>
    </w:p>
    <w:p w:rsidR="00F4654E" w:rsidRDefault="00F4654E">
      <w:pPr>
        <w:pStyle w:val="a6"/>
      </w:pPr>
      <w:r>
        <w:t>В связи с изложенным профилактика желудочно-кишечных болезней телят должна включать комплекс хозяйственно-зоотехнических, санита</w:t>
      </w:r>
      <w:r>
        <w:t>р</w:t>
      </w:r>
      <w:r>
        <w:t>но-гигиенических и специальных ветеринарных мероприятий при орган</w:t>
      </w:r>
      <w:r>
        <w:t>и</w:t>
      </w:r>
      <w:r>
        <w:t>зации искусственного и естественного осеменения коров и телок, кормл</w:t>
      </w:r>
      <w:r>
        <w:t>е</w:t>
      </w:r>
      <w:r>
        <w:t>ния стельных коров и нетелей, активного моциона, контроля и предупре</w:t>
      </w:r>
      <w:r>
        <w:t>ж</w:t>
      </w:r>
      <w:r>
        <w:t>дения нарушений обмена веществ, акушерской диспансеризации и проф</w:t>
      </w:r>
      <w:r>
        <w:t>и</w:t>
      </w:r>
      <w:r>
        <w:t>лактики болезней молочной железы, а также лабораторную диагностику заразных болезней.</w:t>
      </w:r>
    </w:p>
    <w:p w:rsidR="00F4654E" w:rsidRDefault="00F4654E">
      <w:pPr>
        <w:pStyle w:val="a6"/>
        <w:rPr>
          <w:spacing w:val="-2"/>
        </w:rPr>
      </w:pPr>
      <w:r>
        <w:rPr>
          <w:spacing w:val="-2"/>
        </w:rPr>
        <w:t>Обязательными элементами получения и выращивания телят являю</w:t>
      </w:r>
      <w:r>
        <w:rPr>
          <w:spacing w:val="-2"/>
        </w:rPr>
        <w:t>т</w:t>
      </w:r>
      <w:r>
        <w:rPr>
          <w:spacing w:val="-2"/>
        </w:rPr>
        <w:t>ся:</w:t>
      </w:r>
    </w:p>
    <w:p w:rsidR="00F4654E" w:rsidRDefault="00F4654E">
      <w:pPr>
        <w:pStyle w:val="a6"/>
      </w:pPr>
      <w:r>
        <w:t>– высокий уровень гигиены проведения отелов;</w:t>
      </w:r>
    </w:p>
    <w:p w:rsidR="00F4654E" w:rsidRDefault="00F4654E">
      <w:pPr>
        <w:pStyle w:val="a6"/>
      </w:pPr>
      <w:r>
        <w:t>– выпаивание первой порции молозива теленку в первые 1,5-2 часа после рождения;</w:t>
      </w:r>
    </w:p>
    <w:p w:rsidR="00F4654E" w:rsidRDefault="00F4654E">
      <w:pPr>
        <w:pStyle w:val="a6"/>
      </w:pPr>
      <w:r>
        <w:t>– использование сменных секционных профилакториев, а в крупных хозяйствах – родильных отделений или родильно-профилактических бл</w:t>
      </w:r>
      <w:r>
        <w:t>о</w:t>
      </w:r>
      <w:r>
        <w:t>ков по принципу «все занято – все свободно», или индивидуальных пр</w:t>
      </w:r>
      <w:r>
        <w:t>о</w:t>
      </w:r>
      <w:r>
        <w:t>филакториев-домиков на открытом воздухе.</w:t>
      </w:r>
    </w:p>
    <w:p w:rsidR="00F4654E" w:rsidRDefault="00F4654E">
      <w:pPr>
        <w:pStyle w:val="a6"/>
      </w:pPr>
      <w:r>
        <w:t>Специальные ветеринарные мероприятия направленные на повыш</w:t>
      </w:r>
      <w:r>
        <w:t>е</w:t>
      </w:r>
      <w:r>
        <w:t>ние общей и неспецифической резистентности животных:</w:t>
      </w:r>
    </w:p>
    <w:p w:rsidR="00F4654E" w:rsidRDefault="00F4654E">
      <w:pPr>
        <w:pStyle w:val="a6"/>
      </w:pPr>
      <w:r>
        <w:t>– вакцинация стельных коров и нетелей против инфекционных жел</w:t>
      </w:r>
      <w:r>
        <w:t>у</w:t>
      </w:r>
      <w:r>
        <w:t>дочно-кишечных болезней с учетом эпизоотической ситуации хозяйства;</w:t>
      </w:r>
    </w:p>
    <w:p w:rsidR="00F4654E" w:rsidRDefault="00F4654E">
      <w:pPr>
        <w:pStyle w:val="a6"/>
      </w:pPr>
      <w:r>
        <w:t>– применение новорожденным телятам иммуномодуляторов для пр</w:t>
      </w:r>
      <w:r>
        <w:t>е</w:t>
      </w:r>
      <w:r>
        <w:t>дупреждения первичных иммунодефицитов, пробиотиков для борьбы с у</w:t>
      </w:r>
      <w:r>
        <w:t>с</w:t>
      </w:r>
      <w:r>
        <w:t>ловно-патогенной микрофлорой, гипериммунных сывороток, иммуногл</w:t>
      </w:r>
      <w:r>
        <w:t>о</w:t>
      </w:r>
      <w:r>
        <w:t>булинов для повышения пассивного иммунитета.</w:t>
      </w:r>
    </w:p>
    <w:p w:rsidR="00F4654E" w:rsidRDefault="00F4654E">
      <w:pPr>
        <w:pStyle w:val="a6"/>
      </w:pPr>
      <w:r>
        <w:t>Массовые респираторные болезни молодняка крупного рогатого скота чаще всего представляют сложные инфекционные процессы, в которых на разных стадиях развития патологии принимают участие вирусы (пар</w:t>
      </w:r>
      <w:r>
        <w:t>а</w:t>
      </w:r>
      <w:r>
        <w:t>гриппа-3, инфекционного ринотрахеита, вирусной диареи – болезни слиз</w:t>
      </w:r>
      <w:r>
        <w:t>и</w:t>
      </w:r>
      <w:r>
        <w:t>стых, гриппа типа А и др.), микоплазмы, бактерии (пастерелла мультоцида, пастерелла гемолитика, сальмонеллы, стрептококки, стафилококки и др.) и другие возбудители, чаще всего в различных сочетаниях. На крупных сп</w:t>
      </w:r>
      <w:r>
        <w:t>е</w:t>
      </w:r>
      <w:r>
        <w:lastRenderedPageBreak/>
        <w:t>циализированных и комплексах, комплектующих телят из хозяйств-пос-тавщиков, как правило, регистрируются смешанные респираторные и</w:t>
      </w:r>
      <w:r>
        <w:t>н</w:t>
      </w:r>
      <w:r>
        <w:t>фекции. Наиболее выраженное патогенное действие инфекционные агенты проявляют на фоне неблагоприятного влияния на организм различных предрасполагающих факторов: содержание телят в помещениях с неудо</w:t>
      </w:r>
      <w:r>
        <w:t>в</w:t>
      </w:r>
      <w:r>
        <w:t>летворительными параметрами микроклимата, большая концентрация ж</w:t>
      </w:r>
      <w:r>
        <w:t>и</w:t>
      </w:r>
      <w:r>
        <w:t>вотных на ограниченных производственных площадях, нарушение техн</w:t>
      </w:r>
      <w:r>
        <w:t>о</w:t>
      </w:r>
      <w:r>
        <w:t>логии комплектования специализированных ферм (комплексов), несобл</w:t>
      </w:r>
      <w:r>
        <w:t>ю</w:t>
      </w:r>
      <w:r>
        <w:t>дение профилактических перерывов между технологическими циклами; переболевание телят диареями; транспортировка и перегруппировки, ре</w:t>
      </w:r>
      <w:r>
        <w:t>з</w:t>
      </w:r>
      <w:r>
        <w:t>кая смена условий кормления и содержания и др.</w:t>
      </w:r>
    </w:p>
    <w:p w:rsidR="00F4654E" w:rsidRDefault="00F4654E">
      <w:pPr>
        <w:pStyle w:val="a6"/>
      </w:pPr>
      <w:r>
        <w:t>Исходя из комплексной этиологии респираторных болезней телят, система мер их профилактики наряду с обязательным соблюдением техн</w:t>
      </w:r>
      <w:r>
        <w:t>о</w:t>
      </w:r>
      <w:r>
        <w:t>логии кормления и содержания животных должна предусматривать:</w:t>
      </w:r>
    </w:p>
    <w:p w:rsidR="00F4654E" w:rsidRDefault="00F4654E">
      <w:pPr>
        <w:pStyle w:val="a6"/>
      </w:pPr>
      <w:r>
        <w:t>– повышение защитно-приспособительных возможностей телят в стрессовые периоды выращивания путем применения адаптогенов, вит</w:t>
      </w:r>
      <w:r>
        <w:t>а</w:t>
      </w:r>
      <w:r>
        <w:t>минов, микроэлементов и других биологически активных веществ;</w:t>
      </w:r>
    </w:p>
    <w:p w:rsidR="00F4654E" w:rsidRDefault="00F4654E">
      <w:pPr>
        <w:pStyle w:val="a6"/>
      </w:pPr>
      <w:r>
        <w:t>– устранение иммунодефицитов применением иммуномодуляторов как в отдельности, так и в комбинации со специфическими гиперимму</w:t>
      </w:r>
      <w:r>
        <w:t>н</w:t>
      </w:r>
      <w:r>
        <w:t>ными сыворотками, иммуноглобулинами;</w:t>
      </w:r>
    </w:p>
    <w:p w:rsidR="00F4654E" w:rsidRDefault="00F4654E">
      <w:pPr>
        <w:pStyle w:val="a6"/>
      </w:pPr>
      <w:r>
        <w:t>– создание активного иммунитета у телят в возрасте 1,5 мес. и старше с помощью вакцин против парагриппа-3, инфекционного ринотрахеита, вирусной диареи и других инфекций с учетом эпизоотической ситуации хозяйств-поставщиков и откормочного хозяйства;</w:t>
      </w:r>
    </w:p>
    <w:p w:rsidR="00F4654E" w:rsidRDefault="00F4654E">
      <w:pPr>
        <w:pStyle w:val="a6"/>
      </w:pPr>
      <w:r>
        <w:t>– снижение концентрации микроорганизмов в помещениях путем применения химических средств, обладающих дезинфицирующим дейс</w:t>
      </w:r>
      <w:r>
        <w:t>т</w:t>
      </w:r>
      <w:r>
        <w:t>вием.</w:t>
      </w:r>
    </w:p>
    <w:p w:rsidR="00F4654E" w:rsidRDefault="00F4654E">
      <w:pPr>
        <w:pStyle w:val="a6"/>
      </w:pPr>
      <w:r>
        <w:t>Возникновение и широкое распространение желудочно-кишечных б</w:t>
      </w:r>
      <w:r>
        <w:t>о</w:t>
      </w:r>
      <w:r>
        <w:t>лезней поросят обусловлено воздействием на их организм многих этиол</w:t>
      </w:r>
      <w:r>
        <w:t>о</w:t>
      </w:r>
      <w:r>
        <w:t>гических факторов.</w:t>
      </w:r>
    </w:p>
    <w:p w:rsidR="00F4654E" w:rsidRDefault="00F4654E">
      <w:pPr>
        <w:pStyle w:val="a6"/>
      </w:pPr>
      <w:r>
        <w:t>При изучении этиологии желудочно-кишечных болезней поросят в 187 свиноводческих хозяйствах 10 областей России установлено: в 72% хозяйств диареи были вызваны бактериями, в 23% - вирусами, в 3% - пр</w:t>
      </w:r>
      <w:r>
        <w:t>о</w:t>
      </w:r>
      <w:r>
        <w:t>стейшими, в 1% - патогенными грибами и лишь в 1% хозяйств возбудители из патологического материала не выделены. В 60-70% случаев от больных и павших животных выделены 2 и более возбудителей, вызвавших патол</w:t>
      </w:r>
      <w:r>
        <w:t>о</w:t>
      </w:r>
      <w:r>
        <w:t>гию не только желудочно-кишечного, но и респираторного тракта.</w:t>
      </w:r>
    </w:p>
    <w:p w:rsidR="00F4654E" w:rsidRDefault="00F4654E">
      <w:pPr>
        <w:pStyle w:val="a6"/>
      </w:pPr>
      <w:r>
        <w:t>Из вирусных желудочно-кишечных болезней наиболее часто диагн</w:t>
      </w:r>
      <w:r>
        <w:t>о</w:t>
      </w:r>
      <w:r>
        <w:t>стировали трансмиссивный гастроэнтерит (ТГС) и ротавирусную инфе</w:t>
      </w:r>
      <w:r>
        <w:t>к</w:t>
      </w:r>
      <w:r>
        <w:t>цию. ТГС чаще всего осложнялся колибактериозом (80%), ротавирусной инфекцией (10%) и стрептококкозом (10%).</w:t>
      </w:r>
    </w:p>
    <w:p w:rsidR="00F4654E" w:rsidRDefault="00F4654E">
      <w:pPr>
        <w:pStyle w:val="a6"/>
      </w:pPr>
      <w:r>
        <w:t>Бактериальные возбудители были представлены эшерихиями, сальм</w:t>
      </w:r>
      <w:r>
        <w:t>о</w:t>
      </w:r>
      <w:r>
        <w:t>неллами, стрептококками, стафилококками, псевдомонадами и др. Бол</w:t>
      </w:r>
      <w:r>
        <w:t>ь</w:t>
      </w:r>
      <w:r>
        <w:lastRenderedPageBreak/>
        <w:t>шинство бактериальных инфекций были вызваны эшерихиями (38%) и сальмонеллами (32%).</w:t>
      </w:r>
    </w:p>
    <w:p w:rsidR="00F4654E" w:rsidRDefault="00F4654E">
      <w:pPr>
        <w:pStyle w:val="a6"/>
      </w:pPr>
      <w:r>
        <w:t xml:space="preserve">В подавляющем большинстве хозяйств сальмонеллез был вызван </w:t>
      </w:r>
      <w:r>
        <w:rPr>
          <w:lang w:val="en-US"/>
        </w:rPr>
        <w:t>Sa</w:t>
      </w:r>
      <w:r>
        <w:rPr>
          <w:lang w:val="en-US"/>
        </w:rPr>
        <w:t>l</w:t>
      </w:r>
      <w:r>
        <w:rPr>
          <w:lang w:val="en-US"/>
        </w:rPr>
        <w:t>monella</w:t>
      </w:r>
      <w:r>
        <w:t xml:space="preserve"> </w:t>
      </w:r>
      <w:r>
        <w:rPr>
          <w:lang w:val="en-US"/>
        </w:rPr>
        <w:t>cholerae</w:t>
      </w:r>
      <w:r>
        <w:t xml:space="preserve"> </w:t>
      </w:r>
      <w:r>
        <w:rPr>
          <w:lang w:val="en-US"/>
        </w:rPr>
        <w:t>suis</w:t>
      </w:r>
      <w:r>
        <w:t xml:space="preserve"> и </w:t>
      </w:r>
      <w:r>
        <w:rPr>
          <w:lang w:val="en-US"/>
        </w:rPr>
        <w:t>Salmonella</w:t>
      </w:r>
      <w:r>
        <w:t xml:space="preserve"> </w:t>
      </w:r>
      <w:r>
        <w:rPr>
          <w:lang w:val="en-US"/>
        </w:rPr>
        <w:t>typhi</w:t>
      </w:r>
      <w:r w:rsidR="007A098E" w:rsidRPr="007A098E">
        <w:t xml:space="preserve"> </w:t>
      </w:r>
      <w:r>
        <w:rPr>
          <w:lang w:val="en-US"/>
        </w:rPr>
        <w:t>murium</w:t>
      </w:r>
      <w:r>
        <w:t>.</w:t>
      </w:r>
    </w:p>
    <w:p w:rsidR="00F4654E" w:rsidRDefault="00F4654E">
      <w:pPr>
        <w:pStyle w:val="a6"/>
      </w:pPr>
      <w:r>
        <w:t xml:space="preserve">При типизации возбудителя колибактериоза установлено, что чаще всего от больных диареей поросят выделяли эшерихии серовариантов: О1, О2, О4, О8, О15, О26, О78, О103, О119, О126, О137, О138, О139, О141, О142, О147, О149, а также А20, К99, К88, К987Р, </w:t>
      </w:r>
      <w:r>
        <w:rPr>
          <w:lang w:val="en-US"/>
        </w:rPr>
        <w:t>F</w:t>
      </w:r>
      <w:r>
        <w:t>41.</w:t>
      </w:r>
    </w:p>
    <w:p w:rsidR="00F4654E" w:rsidRDefault="00F4654E">
      <w:pPr>
        <w:pStyle w:val="a6"/>
      </w:pPr>
      <w:r>
        <w:t>Отдельные сероварианты эшерихий (О8, О118, О126), а также стре</w:t>
      </w:r>
      <w:r>
        <w:t>п</w:t>
      </w:r>
      <w:r>
        <w:t>тококки, стафилококки, сальмонеллы, протей, клостридии и грибы были выделены из комбикормов и мясокостной муки.</w:t>
      </w:r>
    </w:p>
    <w:p w:rsidR="00F4654E" w:rsidRDefault="00F4654E">
      <w:pPr>
        <w:pStyle w:val="a6"/>
      </w:pPr>
      <w:r>
        <w:t>Многолетние наблюдения и проведенные комплексные исследования показали, что возникновению и широкому распространению желудочно-кишечных болезней поросят способствуют:</w:t>
      </w:r>
    </w:p>
    <w:p w:rsidR="00F4654E" w:rsidRDefault="00F4654E">
      <w:pPr>
        <w:pStyle w:val="a6"/>
      </w:pPr>
      <w:r>
        <w:t>– хронический дефицит переваримого протеина, витаминов, жизненно важных макро- и микроэлементов в кормах рациона маточного поголовья;</w:t>
      </w:r>
    </w:p>
    <w:p w:rsidR="00F4654E" w:rsidRDefault="00F4654E">
      <w:pPr>
        <w:pStyle w:val="a6"/>
      </w:pPr>
      <w:r>
        <w:t>– хроническая интоксикация животных в результате скармливания недоброкачественных, токсичных кормов;</w:t>
      </w:r>
    </w:p>
    <w:p w:rsidR="00F4654E" w:rsidRDefault="00F4654E">
      <w:pPr>
        <w:pStyle w:val="a6"/>
      </w:pPr>
      <w:r>
        <w:t>– неудовлетворительный микроклимат из-за неэффективных систем удаления навоза и вентиляции;</w:t>
      </w:r>
    </w:p>
    <w:p w:rsidR="00F4654E" w:rsidRDefault="00F4654E">
      <w:pPr>
        <w:pStyle w:val="a6"/>
      </w:pPr>
      <w:r>
        <w:t>– гипо- и адинамия свиноматок;</w:t>
      </w:r>
    </w:p>
    <w:p w:rsidR="00F4654E" w:rsidRDefault="00F4654E">
      <w:pPr>
        <w:pStyle w:val="a6"/>
      </w:pPr>
      <w:r>
        <w:t>– размещение большого количества свиней на ограниченных площ</w:t>
      </w:r>
      <w:r>
        <w:t>а</w:t>
      </w:r>
      <w:r>
        <w:t>дях и непрерывная система опоросов;</w:t>
      </w:r>
    </w:p>
    <w:p w:rsidR="00F4654E" w:rsidRDefault="00F4654E">
      <w:pPr>
        <w:pStyle w:val="a6"/>
      </w:pPr>
      <w:r>
        <w:t>– несоблюдение профилактических перерывов между технологич</w:t>
      </w:r>
      <w:r>
        <w:t>е</w:t>
      </w:r>
      <w:r>
        <w:t>скими циклами;</w:t>
      </w:r>
    </w:p>
    <w:p w:rsidR="00F4654E" w:rsidRDefault="00F4654E">
      <w:pPr>
        <w:pStyle w:val="a6"/>
      </w:pPr>
      <w:r>
        <w:t>– неэффективная дезинфекция или отсутствие ее как составной части технологического процесса получения и выращивания поросят;</w:t>
      </w:r>
    </w:p>
    <w:p w:rsidR="00F4654E" w:rsidRDefault="00F4654E">
      <w:pPr>
        <w:pStyle w:val="a6"/>
        <w:rPr>
          <w:spacing w:val="-4"/>
        </w:rPr>
      </w:pPr>
      <w:r>
        <w:rPr>
          <w:spacing w:val="-4"/>
        </w:rPr>
        <w:t>– наличие в свиноводческих хозяйствах грызунов, являющихся резе</w:t>
      </w:r>
      <w:r>
        <w:rPr>
          <w:spacing w:val="-4"/>
        </w:rPr>
        <w:t>р</w:t>
      </w:r>
      <w:r>
        <w:rPr>
          <w:spacing w:val="-4"/>
        </w:rPr>
        <w:t>вуаром и источником возбудителей многих желудочно-кишечных инфе</w:t>
      </w:r>
      <w:r>
        <w:rPr>
          <w:spacing w:val="-4"/>
        </w:rPr>
        <w:t>к</w:t>
      </w:r>
      <w:r>
        <w:rPr>
          <w:spacing w:val="-4"/>
        </w:rPr>
        <w:t>ций;</w:t>
      </w:r>
    </w:p>
    <w:p w:rsidR="00F4654E" w:rsidRDefault="00F4654E">
      <w:pPr>
        <w:pStyle w:val="a6"/>
      </w:pPr>
      <w:r>
        <w:t>– широкое, бессистемное применение антибактериальных средств, с</w:t>
      </w:r>
      <w:r>
        <w:t>о</w:t>
      </w:r>
      <w:r>
        <w:t>провождающееся выработкой устойчивости к ним бактериальных возбуд</w:t>
      </w:r>
      <w:r>
        <w:t>и</w:t>
      </w:r>
      <w:r>
        <w:t>телей инфекций и изменением их антигенных свойств;</w:t>
      </w:r>
    </w:p>
    <w:p w:rsidR="00F4654E" w:rsidRDefault="00F4654E">
      <w:pPr>
        <w:pStyle w:val="a6"/>
      </w:pPr>
      <w:r>
        <w:t>Большинство из перечисленных факторов отрицательно сказываются на структурно-функциональной адаптации новорожденных поросят, их иммунном статусе и микробиоценозе кишечника.</w:t>
      </w:r>
    </w:p>
    <w:p w:rsidR="00F4654E" w:rsidRDefault="00F4654E">
      <w:pPr>
        <w:pStyle w:val="a6"/>
      </w:pPr>
      <w:r>
        <w:t>Исходя из полиэтиологической природы желудочно-кишечных боле</w:t>
      </w:r>
      <w:r>
        <w:t>з</w:t>
      </w:r>
      <w:r>
        <w:t>ней поросят, система их профилактики должна предусматривать провед</w:t>
      </w:r>
      <w:r>
        <w:t>е</w:t>
      </w:r>
      <w:r>
        <w:t>ние комплекса организационно-хозяйственных, санитарно-гигиенических и специальных ветеринарных мероприятий, направленных на:</w:t>
      </w:r>
    </w:p>
    <w:p w:rsidR="00F4654E" w:rsidRDefault="00F4654E">
      <w:pPr>
        <w:pStyle w:val="a6"/>
      </w:pPr>
      <w:r>
        <w:t>– повышение общей неспецифической резистентности организма и снижение отрицательных последствий токсикозов и технологического стресса;</w:t>
      </w:r>
    </w:p>
    <w:p w:rsidR="00F4654E" w:rsidRDefault="00F4654E">
      <w:pPr>
        <w:pStyle w:val="a6"/>
      </w:pPr>
      <w:r>
        <w:lastRenderedPageBreak/>
        <w:t>– повышение специфической устойчивости новорожденных поросят путем иммунизации супоросных свиноматок с учетом эпизоотической о</w:t>
      </w:r>
      <w:r>
        <w:t>б</w:t>
      </w:r>
      <w:r>
        <w:t>становки хозяйств и применение поросятам в первые дни жизни специф</w:t>
      </w:r>
      <w:r>
        <w:t>и</w:t>
      </w:r>
      <w:r>
        <w:t>ческих гипериммунных сывороток, иммуноглобулинов, аллогенной и</w:t>
      </w:r>
      <w:r>
        <w:t>м</w:t>
      </w:r>
      <w:r>
        <w:t>мунной сыворотки и пробиотиков (бифидумбактерин, лактобактерин, б</w:t>
      </w:r>
      <w:r>
        <w:t>и</w:t>
      </w:r>
      <w:r>
        <w:t>филакт, ромакол и др.);</w:t>
      </w:r>
    </w:p>
    <w:p w:rsidR="00F4654E" w:rsidRDefault="00F4654E">
      <w:pPr>
        <w:pStyle w:val="a6"/>
      </w:pPr>
      <w:r>
        <w:t>– снижение концентрации патогенных и условно-патогенных микр</w:t>
      </w:r>
      <w:r>
        <w:t>о</w:t>
      </w:r>
      <w:r>
        <w:t>организмов в помещениях путем проведения профилактических перерывов между технологическими циклами и применения дезинфицирующих средств;</w:t>
      </w:r>
    </w:p>
    <w:p w:rsidR="00F4654E" w:rsidRDefault="00F4654E">
      <w:pPr>
        <w:pStyle w:val="a6"/>
      </w:pPr>
      <w:r>
        <w:t>– уничтожение в помещениях грызунов и насекомых;</w:t>
      </w:r>
    </w:p>
    <w:p w:rsidR="00F4654E" w:rsidRDefault="00F4654E">
      <w:pPr>
        <w:pStyle w:val="a6"/>
      </w:pPr>
      <w:r>
        <w:t>Массовые респираторные болезни и, в частности, пневмонии (бро</w:t>
      </w:r>
      <w:r>
        <w:t>н</w:t>
      </w:r>
      <w:r>
        <w:t>хопневмонии) свиней в большинстве случаев имеют инфекционную пр</w:t>
      </w:r>
      <w:r>
        <w:t>и</w:t>
      </w:r>
      <w:r>
        <w:t xml:space="preserve">роду. В их этиологии принимают участие вирусы (гриппа типа А, болезни Ауески, репродуктивно-респираторного синдрома свиней, цирковирус и др.), микоплазмы, бактерии (пастерелла мультоцида – сероварианты А, </w:t>
      </w:r>
      <w:r>
        <w:rPr>
          <w:lang w:val="en-US"/>
        </w:rPr>
        <w:t>D</w:t>
      </w:r>
      <w:r>
        <w:t>, и В, пастерелла гемолитика, гемофилы, бордетеллы, сальмонеллы, стре</w:t>
      </w:r>
      <w:r>
        <w:t>п</w:t>
      </w:r>
      <w:r>
        <w:t>тококки, стафилококки, хламидии) и другие возбудители как в отдельн</w:t>
      </w:r>
      <w:r>
        <w:t>о</w:t>
      </w:r>
      <w:r>
        <w:t>сти, так и в чаще всего в различных сочетаниях. Их возникновению и ш</w:t>
      </w:r>
      <w:r>
        <w:t>и</w:t>
      </w:r>
      <w:r>
        <w:t>рокому распространению способствуют те же предрасполагающие факт</w:t>
      </w:r>
      <w:r>
        <w:t>о</w:t>
      </w:r>
      <w:r>
        <w:t>ры, которые отмечены при желудочно-кишечных болезнях поросят. Для возникновения пневмонии важное значение имеют низкий уровень общей неспецифической резистентности организма и ослабление защитно-приспособительных механизмов в органах дыхания поросят. Одним из этих механизмов является сурфактантная система легких. Сурфактант ра</w:t>
      </w:r>
      <w:r>
        <w:t>с</w:t>
      </w:r>
      <w:r>
        <w:t>полагается в виде тонкой пленки на границе между воздухом и клеточной выстилкой альвеол, обладает бактерицидностью, способностью лизировать микроорганизмы, участвует в поддержании поверхностного натяжения, препятствуя спадению альвеол, способствует газообмену.</w:t>
      </w:r>
    </w:p>
    <w:p w:rsidR="00F4654E" w:rsidRDefault="00F4654E">
      <w:pPr>
        <w:pStyle w:val="a6"/>
      </w:pPr>
      <w:r>
        <w:t>Мероприятия по профилактике респираторных болезней свиней должны предусматривать:</w:t>
      </w:r>
    </w:p>
    <w:p w:rsidR="00F4654E" w:rsidRDefault="00F4654E">
      <w:pPr>
        <w:pStyle w:val="a6"/>
      </w:pPr>
      <w:r>
        <w:t>– снижение до минимума отрицательных воздействий на организм предрасполагающих факторов;</w:t>
      </w:r>
    </w:p>
    <w:p w:rsidR="00F4654E" w:rsidRDefault="00F4654E">
      <w:pPr>
        <w:pStyle w:val="a6"/>
      </w:pPr>
      <w:r>
        <w:t>– повышение общей неспецифической резистентности организма п</w:t>
      </w:r>
      <w:r>
        <w:t>у</w:t>
      </w:r>
      <w:r>
        <w:t>тем применения биологически активных веществ в критические периоды выращивания поросят (отъем, перегруппировки, транспортировка и т.д.);</w:t>
      </w:r>
    </w:p>
    <w:p w:rsidR="00F4654E" w:rsidRDefault="00F4654E">
      <w:pPr>
        <w:pStyle w:val="a6"/>
      </w:pPr>
      <w:r>
        <w:t>– в стационарно неблагополучных хозяйствах иммунизация свином</w:t>
      </w:r>
      <w:r>
        <w:t>а</w:t>
      </w:r>
      <w:r>
        <w:t>ток и полученных от них поросят против инфекционных болезней, сопр</w:t>
      </w:r>
      <w:r>
        <w:t>о</w:t>
      </w:r>
      <w:r>
        <w:t>вождающихся патологией органов дыхания;</w:t>
      </w:r>
    </w:p>
    <w:p w:rsidR="00F4654E" w:rsidRDefault="00F4654E">
      <w:pPr>
        <w:pStyle w:val="a6"/>
      </w:pPr>
      <w:r>
        <w:t>– снижение концентрации патогенной и условно-патогенной микр</w:t>
      </w:r>
      <w:r>
        <w:t>о</w:t>
      </w:r>
      <w:r>
        <w:t>флоры в помещениях путем обязательного проведения профилактических перерывов между технологическими циклами, в организме животных н</w:t>
      </w:r>
      <w:r>
        <w:t>а</w:t>
      </w:r>
      <w:r>
        <w:lastRenderedPageBreak/>
        <w:t>значением эффективных химиотерапевтических препаратов в первые 5-7 дней после комплектования их в группы доращивания, откорма.</w:t>
      </w:r>
    </w:p>
    <w:p w:rsidR="00F4654E" w:rsidRDefault="00F4654E">
      <w:pPr>
        <w:pStyle w:val="a6"/>
      </w:pPr>
      <w:r>
        <w:t>Таким образом, для повышения сохранности молодняка сельскох</w:t>
      </w:r>
      <w:r>
        <w:t>о</w:t>
      </w:r>
      <w:r>
        <w:t>зяйственных животных необходимо обязательное выполнение разработа</w:t>
      </w:r>
      <w:r>
        <w:t>н</w:t>
      </w:r>
      <w:r>
        <w:t>ных технологий получения и выращивания здорового молодняка, своевр</w:t>
      </w:r>
      <w:r>
        <w:t>е</w:t>
      </w:r>
      <w:r>
        <w:t>менное проведение диагностических исследований и ветеринарных мер</w:t>
      </w:r>
      <w:r>
        <w:t>о</w:t>
      </w:r>
      <w:r>
        <w:t>приятий с применением биологических, химиотерапевтических и дези</w:t>
      </w:r>
      <w:r>
        <w:t>н</w:t>
      </w:r>
      <w:r>
        <w:t>фицирующих средств.</w:t>
      </w:r>
    </w:p>
    <w:bookmarkEnd w:id="0"/>
    <w:p w:rsidR="00F4654E" w:rsidRDefault="00F4654E">
      <w:pPr>
        <w:pStyle w:val="a4"/>
      </w:pPr>
      <w:r>
        <w:t>УДК 619:616.34 – 002 – 84:636.22/.28</w:t>
      </w:r>
    </w:p>
    <w:p w:rsidR="00F4654E" w:rsidRDefault="00F4654E">
      <w:pPr>
        <w:pStyle w:val="1"/>
      </w:pPr>
      <w:bookmarkStart w:id="8" w:name="_Toc11390029"/>
      <w:bookmarkStart w:id="9" w:name="_Toc11839708"/>
      <w:bookmarkStart w:id="10" w:name="_Toc11937244"/>
      <w:r>
        <w:t>Этиология и профилактика массовых желудочно-кишечных болезней телят</w:t>
      </w:r>
      <w:bookmarkEnd w:id="1"/>
      <w:bookmarkEnd w:id="2"/>
      <w:bookmarkEnd w:id="3"/>
      <w:bookmarkEnd w:id="4"/>
      <w:bookmarkEnd w:id="8"/>
      <w:bookmarkEnd w:id="9"/>
      <w:bookmarkEnd w:id="10"/>
    </w:p>
    <w:p w:rsidR="00F4654E" w:rsidRDefault="00F4654E">
      <w:pPr>
        <w:pStyle w:val="2"/>
      </w:pPr>
      <w:bookmarkStart w:id="11" w:name="_Toc10731228"/>
      <w:bookmarkStart w:id="12" w:name="_Toc10731889"/>
      <w:bookmarkStart w:id="13" w:name="_Toc10891736"/>
      <w:bookmarkStart w:id="14" w:name="_Toc10892411"/>
      <w:bookmarkStart w:id="15" w:name="_Toc11390030"/>
      <w:bookmarkStart w:id="16" w:name="_Toc11937245"/>
      <w:r>
        <w:t>Джупина С.И.</w:t>
      </w:r>
      <w:bookmarkEnd w:id="11"/>
      <w:bookmarkEnd w:id="12"/>
      <w:bookmarkEnd w:id="13"/>
      <w:bookmarkEnd w:id="14"/>
      <w:bookmarkEnd w:id="15"/>
      <w:bookmarkEnd w:id="16"/>
    </w:p>
    <w:p w:rsidR="00F4654E" w:rsidRDefault="00F4654E">
      <w:pPr>
        <w:pStyle w:val="a5"/>
      </w:pPr>
      <w:r>
        <w:t>Российский университет Дружбы народов</w:t>
      </w:r>
    </w:p>
    <w:p w:rsidR="00F4654E" w:rsidRDefault="00F4654E">
      <w:pPr>
        <w:pStyle w:val="a6"/>
      </w:pPr>
      <w:r>
        <w:t xml:space="preserve"> В современных условиях массовые желудочно-кишечные болезни новорожденных телят регистрируют в той или иной степени тяжести более чем на 80% животноводческих ферм. Они причиняют большой ущерб ж</w:t>
      </w:r>
      <w:r>
        <w:t>и</w:t>
      </w:r>
      <w:r>
        <w:t>вотноводству, состоящий из высокого уровня падежа телят и расхода средств на лечение больных. Не меньший ущерб наносит то, что такие т</w:t>
      </w:r>
      <w:r>
        <w:t>е</w:t>
      </w:r>
      <w:r>
        <w:t>лята вместо прироста живой массы дают даже отвесы и свой первоначал</w:t>
      </w:r>
      <w:r>
        <w:t>ь</w:t>
      </w:r>
      <w:r>
        <w:t>ный вес при рождении восстанавливают только к 20-24 дню жизни. Раз</w:t>
      </w:r>
      <w:r>
        <w:t>у</w:t>
      </w:r>
      <w:r>
        <w:t>меется, все это весьма нежелательно сказывается на мясной и молочной продуктивности животных, выращенных из таких телят. Эти особенности весьма нежелательны и для племенной работы. Обслуживание таких телят формирует у персонала нехорошее отношение к труду.</w:t>
      </w:r>
    </w:p>
    <w:p w:rsidR="00F4654E" w:rsidRDefault="00F4654E">
      <w:pPr>
        <w:pStyle w:val="a6"/>
      </w:pPr>
      <w:r>
        <w:t>В этих условиях нельзя ограничиваться только лечением больных. Требуется эффективная профилактика. А ее пока нет. Без такой профила</w:t>
      </w:r>
      <w:r>
        <w:t>к</w:t>
      </w:r>
      <w:r>
        <w:t>тики развитие малого предпринимательства на основе животноводства в ближайшем будущем просто невозможно. Поэтому столь важно понять сущность факторных инфекционных болезней животных и принципиал</w:t>
      </w:r>
      <w:r>
        <w:t>ь</w:t>
      </w:r>
      <w:r>
        <w:t>ные основы их профилактики.</w:t>
      </w:r>
    </w:p>
    <w:p w:rsidR="00F4654E" w:rsidRDefault="00F4654E">
      <w:pPr>
        <w:pStyle w:val="a6"/>
      </w:pPr>
      <w:r>
        <w:t>Возбудители этих инфекций закономерно переживают в организме тех животных, которые в определенных условиях тяжело болеют. Проф</w:t>
      </w:r>
      <w:r>
        <w:t>и</w:t>
      </w:r>
      <w:r>
        <w:t>лактика таких болезней основывается на знании факторов, приводящих к заболеванию и умении ими управлять. Такая профилактика принципиал</w:t>
      </w:r>
      <w:r>
        <w:t>ь</w:t>
      </w:r>
      <w:r>
        <w:t>но отличается от профилактики классических инфекционных болезней, т.е. таких, возбудители, которых проникают к животным извне. Традиционно ветеринарные специалисты ориентируются на такую профилактику с п</w:t>
      </w:r>
      <w:r>
        <w:t>о</w:t>
      </w:r>
      <w:r>
        <w:t>мощью специфических препаратов. Но при факторных инфекционных б</w:t>
      </w:r>
      <w:r>
        <w:t>о</w:t>
      </w:r>
      <w:r>
        <w:t>лезнях она оказалась не эффективной.</w:t>
      </w:r>
    </w:p>
    <w:p w:rsidR="00F4654E" w:rsidRDefault="00F4654E">
      <w:pPr>
        <w:pStyle w:val="a6"/>
      </w:pPr>
      <w:r>
        <w:t>Уже доказано, что массовые желудочно-кишечные болезни новоро</w:t>
      </w:r>
      <w:r>
        <w:t>ж</w:t>
      </w:r>
      <w:r>
        <w:t xml:space="preserve">денных телят можно успешно предупреждать специальными технологиями </w:t>
      </w:r>
      <w:r>
        <w:lastRenderedPageBreak/>
        <w:t>их содержания. Такие технологии разрабатывают на основе теории эпиз</w:t>
      </w:r>
      <w:r>
        <w:t>о</w:t>
      </w:r>
      <w:r>
        <w:t xml:space="preserve">отического процесса. </w:t>
      </w:r>
    </w:p>
    <w:p w:rsidR="00F4654E" w:rsidRDefault="00F4654E">
      <w:pPr>
        <w:pStyle w:val="a6"/>
      </w:pPr>
      <w:r>
        <w:t>Покажем это на примере массовых желудочно-кишечных болезней новорожденных телят. Лабораторными (бактериологическими и вирусол</w:t>
      </w:r>
      <w:r>
        <w:t>о</w:t>
      </w:r>
      <w:r>
        <w:t>гическими) исследованиями при такой патологии у части больных выд</w:t>
      </w:r>
      <w:r>
        <w:t>е</w:t>
      </w:r>
      <w:r>
        <w:t>ляют патогенные штаммы кишечной палочки, коронавирус, ротавирус и вирус диареи. Но клинически течение болезни больше похоже на токсикоз. Заболевают новорожденные с первого дня жизни, температура тела у них в большинстве случаев нормальная или даже пониженная, просматривается высокая степень обезвоживания организма.</w:t>
      </w:r>
    </w:p>
    <w:p w:rsidR="00F4654E" w:rsidRDefault="00F4654E">
      <w:pPr>
        <w:pStyle w:val="a6"/>
      </w:pPr>
      <w:r>
        <w:t>Если в период массовой заболеваемости перевести из родильного о</w:t>
      </w:r>
      <w:r>
        <w:t>т</w:t>
      </w:r>
      <w:r>
        <w:t>деления в свободное от животных помещение  5-7 глубоко стельных коров, то полученный от них приплод останется здоровым. Такой опыт говорит о том, что инфекция поддерживается в родильном отделении и профилакт</w:t>
      </w:r>
      <w:r>
        <w:t>о</w:t>
      </w:r>
      <w:r>
        <w:t>рии.  Телят заражают не коровы. На основе такого опыта разработан метод выращивания телят «все пусто – все занято». Этот метод подтвердил выс</w:t>
      </w:r>
      <w:r>
        <w:t>о</w:t>
      </w:r>
      <w:r>
        <w:t>кий профилактический эффект и получил широкое распространение в ж</w:t>
      </w:r>
      <w:r>
        <w:t>и</w:t>
      </w:r>
      <w:r>
        <w:t>вотноводческих хозяйствах Сибири.</w:t>
      </w:r>
    </w:p>
    <w:p w:rsidR="00F4654E" w:rsidRDefault="00F4654E">
      <w:pPr>
        <w:pStyle w:val="a6"/>
      </w:pPr>
      <w:r>
        <w:t>Его суть состоит в том, что растел коров проводят не в родильном о</w:t>
      </w:r>
      <w:r>
        <w:t>т</w:t>
      </w:r>
      <w:r>
        <w:t>делении, которое по санитарным показателям ничем не отличается от обыкновенного коровника, а в специальном герметично закрытом родил</w:t>
      </w:r>
      <w:r>
        <w:t>ь</w:t>
      </w:r>
      <w:r>
        <w:t>ном станке. Теленка после суточной передержки вместе с матерью, пер</w:t>
      </w:r>
      <w:r>
        <w:t>е</w:t>
      </w:r>
      <w:r>
        <w:t>водят в специальные герметично отделенные от общего  телятника  пр</w:t>
      </w:r>
      <w:r>
        <w:t>о</w:t>
      </w:r>
      <w:r>
        <w:t>филакторные боксы. Каждый такой бокс, рассчитанный на 12-16 телят должен иметь свою автономную канализацию. Лотки для сбора мочи в ней должны быть неглубокими, иметь наклон в сторону выгребной ямы и з</w:t>
      </w:r>
      <w:r>
        <w:t>а</w:t>
      </w:r>
      <w:r>
        <w:t>канчиваться канализационным замком. Таким образом, этот метод обесп</w:t>
      </w:r>
      <w:r>
        <w:t>е</w:t>
      </w:r>
      <w:r>
        <w:t>чивает изоляцию телят от родильного отделения и общего профилактория, в которых, по причине несовершенства канализационных конструкций, п</w:t>
      </w:r>
      <w:r>
        <w:t>о</w:t>
      </w:r>
      <w:r>
        <w:t>стоянно поддерживается навозная жижа, выполняющая роль среды для жизнедеятельности и селекции патогенных штаммов кишечной палочки. Надо иметь в виду и тот факт, что в содержимом толстого отдела кише</w:t>
      </w:r>
      <w:r>
        <w:t>ч</w:t>
      </w:r>
      <w:r>
        <w:t>ника находится большое количество различных безвредных для него ми</w:t>
      </w:r>
      <w:r>
        <w:t>к</w:t>
      </w:r>
      <w:r>
        <w:t>роорганизмов. В тонком отделе кишечника эти микроорганизмы способны вызвать тяжелый воспалительный процесс. Но   их проникновению в этот отдел кишечника препятствует своеобразный клапан, образованный слиз</w:t>
      </w:r>
      <w:r>
        <w:t>и</w:t>
      </w:r>
      <w:r>
        <w:t>стой оболочкой подвздошно-слепоободочного отверстия. Современные условия содержания животных позволяют преодолевать защитную фун</w:t>
      </w:r>
      <w:r>
        <w:t>к</w:t>
      </w:r>
      <w:r>
        <w:t>цию этого клапана. Микроорганизмы из толстого отдела кишечника легко переходят в тонкий  оральным путем. Содержание новорожденных по м</w:t>
      </w:r>
      <w:r>
        <w:t>е</w:t>
      </w:r>
      <w:r>
        <w:t>тоду «все пусто – все занято» предупреждает такое перемещение, что обеспечивает высокий профилактический эффект.</w:t>
      </w:r>
    </w:p>
    <w:p w:rsidR="00F4654E" w:rsidRDefault="00F4654E">
      <w:pPr>
        <w:pStyle w:val="a6"/>
      </w:pPr>
      <w:r>
        <w:lastRenderedPageBreak/>
        <w:t>Соблюдение принципа предупреждения жизнедеятельности кишечной микрофлоры вне организма животных и заражения ею оральным путем, как основы профилактики массовых желудочно-кишечных болезней нов</w:t>
      </w:r>
      <w:r>
        <w:t>о</w:t>
      </w:r>
      <w:r>
        <w:t>рожденных телят, соблюдается при их выращивании в индивидуальных клетках на открытом воздухе. Как известно, вокруг таких клеток нет мест, где могла бы  продолжать жизнедеятельность кишечная микрофлора. Т</w:t>
      </w:r>
      <w:r>
        <w:t>е</w:t>
      </w:r>
      <w:r>
        <w:t>лят в такие клетки помещают сразу после рождения.  Случаи их заболев</w:t>
      </w:r>
      <w:r>
        <w:t>а</w:t>
      </w:r>
      <w:r>
        <w:t>ния отмечают только  тогда, когда они родились ночью вне родильного станка. Болезнь, как известно, инфекционная, но на здоровых телят в др</w:t>
      </w:r>
      <w:r>
        <w:t>у</w:t>
      </w:r>
      <w:r>
        <w:t>гие клетки она не распространяется. Этот метод выращивания телят исп</w:t>
      </w:r>
      <w:r>
        <w:t>ы</w:t>
      </w:r>
      <w:r>
        <w:t>тан с положительным результатом во многих регионах страны, в том числе и  с весьма низкими зимними температурами воздуха. Успешное выращ</w:t>
      </w:r>
      <w:r>
        <w:t>и</w:t>
      </w:r>
      <w:r>
        <w:t>вание телят таким методом еще раз подтверждает, что  фактором их зар</w:t>
      </w:r>
      <w:r>
        <w:t>а</w:t>
      </w:r>
      <w:r>
        <w:t>жения в условиях современных животноводческих помещений являются несовершенные конструкции канализационные конструкции.  Исключение таких конструкций, как это осуществлено при выращивании телят в инд</w:t>
      </w:r>
      <w:r>
        <w:t>и</w:t>
      </w:r>
      <w:r>
        <w:t>видуальных клетках на открытом воздухе, надежно предупреждает забол</w:t>
      </w:r>
      <w:r>
        <w:t>е</w:t>
      </w:r>
      <w:r>
        <w:t>вание новорожденных желудочно-кишечными болезнями.</w:t>
      </w:r>
    </w:p>
    <w:p w:rsidR="00F4654E" w:rsidRDefault="00F4654E">
      <w:pPr>
        <w:pStyle w:val="a6"/>
      </w:pPr>
      <w:r>
        <w:t>Понимая это, в условиях Сибири уже апробировали с высоким проф</w:t>
      </w:r>
      <w:r>
        <w:t>и</w:t>
      </w:r>
      <w:r>
        <w:t>лактическим эффектом, поточное выращивание телят на глубокой несм</w:t>
      </w:r>
      <w:r>
        <w:t>е</w:t>
      </w:r>
      <w:r>
        <w:t>няемой подстилке.  Подстилку закладывают с осени на глубину до 1,5 ме</w:t>
      </w:r>
      <w:r>
        <w:t>т</w:t>
      </w:r>
      <w:r>
        <w:t>ра и, не убирая старой, ее ежедневно подновляют. В общем помещении с</w:t>
      </w:r>
      <w:r>
        <w:t>о</w:t>
      </w:r>
      <w:r>
        <w:t>держат новорожденных и телят до 6-месячного возраста. Такая технология создает условия, необходимые  для развития биотермических процессов в глубинных слоях подстилки. Они тормозят развитие кишечной микрофл</w:t>
      </w:r>
      <w:r>
        <w:t>о</w:t>
      </w:r>
      <w:r>
        <w:t>ры вне организма животных и способствуют ее гибели. Поэтому новоро</w:t>
      </w:r>
      <w:r>
        <w:t>ж</w:t>
      </w:r>
      <w:r>
        <w:t>денные не заболевают желудочно-кишечными болезнями. Кроме отсутс</w:t>
      </w:r>
      <w:r>
        <w:t>т</w:t>
      </w:r>
      <w:r>
        <w:t xml:space="preserve">вия клинических признаков, основным критерием их здоровья, являются высокие среднесуточные  приросты живой массы.  </w:t>
      </w:r>
    </w:p>
    <w:p w:rsidR="00F4654E" w:rsidRDefault="00F4654E">
      <w:pPr>
        <w:pStyle w:val="a6"/>
      </w:pPr>
      <w:r>
        <w:t>Таким образом, перечисленные методы профилактики массовых ж</w:t>
      </w:r>
      <w:r>
        <w:t>е</w:t>
      </w:r>
      <w:r>
        <w:t>лудочно-кишечных болезней новорожденных телят построены на общем принципе предупреждения жизнедеятельности кишечной микрофлоры вне организма животных, накопления токсичных для телят продуктов такой жизнедеятельности, повышения вирулентности такой микрофлоры и фо</w:t>
      </w:r>
      <w:r>
        <w:t>р</w:t>
      </w:r>
      <w:r>
        <w:t>мирования условий для  заражения животных оральным   механизмом.</w:t>
      </w:r>
    </w:p>
    <w:p w:rsidR="00F4654E" w:rsidRDefault="00F4654E">
      <w:pPr>
        <w:pStyle w:val="a6"/>
      </w:pPr>
      <w:r>
        <w:t>Следует отметить, что в современных условиях селекционированные в канализационных лотках патогенные штаммы кишечной палочки сра</w:t>
      </w:r>
      <w:r>
        <w:t>в</w:t>
      </w:r>
      <w:r>
        <w:t>нительно редко являются факторами патологии. Более опасными остаются продукты их жизнедеятельности – токсины. В большинстве случаев б</w:t>
      </w:r>
      <w:r>
        <w:t>о</w:t>
      </w:r>
      <w:r>
        <w:t>лезнь протекает как массовый токсикоз. На таком фоне ее обостряет в</w:t>
      </w:r>
      <w:r>
        <w:t>и</w:t>
      </w:r>
      <w:r>
        <w:t>русная инфекция (коронавирус, ротавирус, вирус диареи). И все же, по н</w:t>
      </w:r>
      <w:r>
        <w:t>а</w:t>
      </w:r>
      <w:r>
        <w:t>шему мнению, болезнь надо определять как колибактериоз, а контроль ее эпизоотического процесса вести  отмеченными технологическими метод</w:t>
      </w:r>
      <w:r>
        <w:t>а</w:t>
      </w:r>
      <w:r>
        <w:lastRenderedPageBreak/>
        <w:t>ми. Лечение будет эффективным и экономически оправданным, если заб</w:t>
      </w:r>
      <w:r>
        <w:t>о</w:t>
      </w:r>
      <w:r>
        <w:t>леваемость снизится до  5-7%.</w:t>
      </w:r>
    </w:p>
    <w:p w:rsidR="00F4654E" w:rsidRDefault="00F4654E">
      <w:pPr>
        <w:pStyle w:val="a4"/>
      </w:pPr>
      <w:r>
        <w:t>УДК 619:616 + 639.371.52.091</w:t>
      </w:r>
    </w:p>
    <w:p w:rsidR="00F4654E" w:rsidRDefault="00F4654E">
      <w:pPr>
        <w:pStyle w:val="1"/>
      </w:pPr>
      <w:bookmarkStart w:id="17" w:name="_Toc11390031"/>
      <w:bookmarkStart w:id="18" w:name="_Toc11839710"/>
      <w:bookmarkStart w:id="19" w:name="_Toc11937246"/>
      <w:r>
        <w:t>ИММУНОГРАММА ЖИВОТНЫХ В КЛИНИЧЕСКОЙ ПРАКТИКЕ</w:t>
      </w:r>
      <w:bookmarkEnd w:id="17"/>
      <w:bookmarkEnd w:id="18"/>
      <w:bookmarkEnd w:id="19"/>
    </w:p>
    <w:p w:rsidR="00F4654E" w:rsidRDefault="00F4654E">
      <w:pPr>
        <w:pStyle w:val="2"/>
      </w:pPr>
      <w:bookmarkStart w:id="20" w:name="_Toc11390032"/>
      <w:bookmarkStart w:id="21" w:name="_Toc11937247"/>
      <w:r>
        <w:t>Донник И.М.</w:t>
      </w:r>
      <w:bookmarkEnd w:id="20"/>
      <w:bookmarkEnd w:id="21"/>
    </w:p>
    <w:p w:rsidR="00F4654E" w:rsidRDefault="00F4654E">
      <w:pPr>
        <w:pStyle w:val="a5"/>
      </w:pPr>
      <w:r>
        <w:t>Уральская государственная сельскохозяйственная академия</w:t>
      </w:r>
    </w:p>
    <w:p w:rsidR="00F4654E" w:rsidRDefault="00F4654E">
      <w:pPr>
        <w:pStyle w:val="a6"/>
      </w:pPr>
      <w:r>
        <w:t>Иммунная система - это система, которая контролирует постоянство клеточного и гуморального (биохимического) состава организма. Осно</w:t>
      </w:r>
      <w:r>
        <w:t>в</w:t>
      </w:r>
      <w:r>
        <w:t>ной клеткой организма, определяющей работу иммунной системы, являе</w:t>
      </w:r>
      <w:r>
        <w:t>т</w:t>
      </w:r>
      <w:r>
        <w:t>ся лейкоцит во всем многообразии его популяций и субпопуляций. Спец</w:t>
      </w:r>
      <w:r>
        <w:t>и</w:t>
      </w:r>
      <w:r>
        <w:t>фичность иммунной реакции определяется лимфоцитами и продуциру</w:t>
      </w:r>
      <w:r>
        <w:t>е</w:t>
      </w:r>
      <w:r>
        <w:t>мыми ими специфическими иммуноглобулинами (антителами). Образов</w:t>
      </w:r>
      <w:r>
        <w:t>а</w:t>
      </w:r>
      <w:r>
        <w:t>ние иммунокомпетентных клеток (ИКК) происходит, в основном в кров</w:t>
      </w:r>
      <w:r>
        <w:t>е</w:t>
      </w:r>
      <w:r>
        <w:t>творных органах, затем они поступают в кровоток. Поэтому кровь является основным материалом для получения информации о полноценности фун</w:t>
      </w:r>
      <w:r>
        <w:t>к</w:t>
      </w:r>
      <w:r>
        <w:t>ции иммунной системы и оценки эффективности борьбы организма с ч</w:t>
      </w:r>
      <w:r>
        <w:t>у</w:t>
      </w:r>
      <w:r>
        <w:t>жеродным агентом.</w:t>
      </w:r>
    </w:p>
    <w:p w:rsidR="00F4654E" w:rsidRDefault="00F4654E">
      <w:pPr>
        <w:pStyle w:val="a6"/>
      </w:pPr>
      <w:r>
        <w:t>В пределах одной популяции клеток, кроме того, выделяют субпоп</w:t>
      </w:r>
      <w:r>
        <w:t>у</w:t>
      </w:r>
      <w:r>
        <w:t>ляции клеток, различающихся по своему составу и физиологической функции. Среди лимфоцитов выделяют несколько типов: Т-, В-, Т-нулевые клетки, отличающиеся, прежде всего иммунными функциями. Т-лимфоциты, обеспечивают клеточный иммунитет,  В-лимфоциты (предш</w:t>
      </w:r>
      <w:r>
        <w:t>е</w:t>
      </w:r>
      <w:r>
        <w:t>ственники плазматических клеток), ответственны за антителообразование. Каждая популяция, в свою очередь, представлена клетками, которые ос</w:t>
      </w:r>
      <w:r>
        <w:t>у</w:t>
      </w:r>
      <w:r>
        <w:t>ществляют частично или принципиально различающиеся функции (хелп</w:t>
      </w:r>
      <w:r>
        <w:t>е</w:t>
      </w:r>
      <w:r>
        <w:t>ры и супрессоры, цитотоксические и естественные киллеры и т.д.). Все ИКК организма действуют комплексно, коллективно.</w:t>
      </w:r>
    </w:p>
    <w:p w:rsidR="00F4654E" w:rsidRDefault="00F4654E">
      <w:pPr>
        <w:pStyle w:val="a6"/>
      </w:pPr>
      <w:r>
        <w:t>Функционально нормальная иммунная система может находится в двух принципиально различных состояниях: спокойного функциониров</w:t>
      </w:r>
      <w:r>
        <w:t>а</w:t>
      </w:r>
      <w:r>
        <w:t>ния и активной работы. В начале активной борьбы при внедрении в орг</w:t>
      </w:r>
      <w:r>
        <w:t>а</w:t>
      </w:r>
      <w:r>
        <w:t>низм чужеродного агента иммунная система проходит целый ряд стадий, каждая из которых характеризуется определенными сдвигами в количестве и соотношении различных типов ИКК, что дает возможность по иммун</w:t>
      </w:r>
      <w:r>
        <w:t>о</w:t>
      </w:r>
      <w:r>
        <w:t>грамме периферической крови контролировать и прогнозировать течение болезни.</w:t>
      </w:r>
    </w:p>
    <w:p w:rsidR="00F4654E" w:rsidRDefault="00F4654E">
      <w:pPr>
        <w:pStyle w:val="a6"/>
      </w:pPr>
      <w:r>
        <w:t>При приобретенных и врожденных дефектах иммунной системы (вт</w:t>
      </w:r>
      <w:r>
        <w:t>о</w:t>
      </w:r>
      <w:r>
        <w:t>ричных иммунодефицитах) существенные сдвиги в иммунограмме можно выявить и у клинически здоровых животных.  Понятие «нормы» и «пат</w:t>
      </w:r>
      <w:r>
        <w:t>о</w:t>
      </w:r>
      <w:r>
        <w:t>логии» иммунной системы в определенной степени крайне условно. Д</w:t>
      </w:r>
      <w:r>
        <w:t>е</w:t>
      </w:r>
      <w:r>
        <w:t>фекты иммунной системы проявляются в период ее активного функцион</w:t>
      </w:r>
      <w:r>
        <w:t>и</w:t>
      </w:r>
      <w:r>
        <w:t xml:space="preserve">рования. </w:t>
      </w:r>
    </w:p>
    <w:p w:rsidR="00F4654E" w:rsidRDefault="00F4654E">
      <w:pPr>
        <w:pStyle w:val="a6"/>
      </w:pPr>
      <w:r>
        <w:lastRenderedPageBreak/>
        <w:t>Выделяют условно три типа активного действия иммунной системы. Первый тип - это нормальное в своей основе функционирование, которое встречается в при большинстве заболеваний. Развивается временная, быс</w:t>
      </w:r>
      <w:r>
        <w:t>т</w:t>
      </w:r>
      <w:r>
        <w:t>ро проходящая  иммунная недостаточность, которая проходит при устр</w:t>
      </w:r>
      <w:r>
        <w:t>а</w:t>
      </w:r>
      <w:r>
        <w:t>нении соответствующей причины.</w:t>
      </w:r>
    </w:p>
    <w:p w:rsidR="00F4654E" w:rsidRDefault="00F4654E">
      <w:pPr>
        <w:pStyle w:val="a6"/>
      </w:pPr>
      <w:r>
        <w:t>Второй тип- патологическое функционирование, связанное с дефе</w:t>
      </w:r>
      <w:r>
        <w:t>к</w:t>
      </w:r>
      <w:r>
        <w:t>том какого-либо специфического звена иммунной системы. При этом м</w:t>
      </w:r>
      <w:r>
        <w:t>о</w:t>
      </w:r>
      <w:r>
        <w:t>жет проявляться либо в бесконтрольном усилении иммунной реакции (а</w:t>
      </w:r>
      <w:r>
        <w:t>л</w:t>
      </w:r>
      <w:r>
        <w:t>лергии) или срыве толерантности к своему антигену (аутоиммунные заб</w:t>
      </w:r>
      <w:r>
        <w:t>о</w:t>
      </w:r>
      <w:r>
        <w:t>левания), либо в ослаблении ответа на чужеродное (новообразования).</w:t>
      </w:r>
    </w:p>
    <w:p w:rsidR="00F4654E" w:rsidRDefault="00F4654E">
      <w:pPr>
        <w:pStyle w:val="a6"/>
      </w:pPr>
      <w:r>
        <w:t>Третий тип - патологическое функционирование, связанное с дефе</w:t>
      </w:r>
      <w:r>
        <w:t>к</w:t>
      </w:r>
      <w:r>
        <w:t>том звена или компонента иммунной системы, когда механизмы компе</w:t>
      </w:r>
      <w:r>
        <w:t>н</w:t>
      </w:r>
      <w:r>
        <w:t>сации не срабатывают (например, при больших дефектах, очень вирулен</w:t>
      </w:r>
      <w:r>
        <w:t>т</w:t>
      </w:r>
      <w:r>
        <w:t>ных возбудителях и пр.), система становится несбалансированной, не м</w:t>
      </w:r>
      <w:r>
        <w:t>о</w:t>
      </w:r>
      <w:r>
        <w:t xml:space="preserve">жет адекватно реагировать на антиген. </w:t>
      </w:r>
    </w:p>
    <w:p w:rsidR="00F4654E" w:rsidRDefault="00F4654E">
      <w:pPr>
        <w:pStyle w:val="a6"/>
      </w:pPr>
      <w:r>
        <w:t>Имеющиеся нормативы иммунологических показателей разных видов животных весьма условны и существенно отличаются от определяемых в связи с возрастными и физиологическими особенностями. Кроме того, и</w:t>
      </w:r>
      <w:r>
        <w:t>з</w:t>
      </w:r>
      <w:r>
        <w:t>вестно, что клеточные популяции иммунной системы чрезвычайно чувс</w:t>
      </w:r>
      <w:r>
        <w:t>т</w:t>
      </w:r>
      <w:r>
        <w:t>вительны к воздействию различных средовых факторов. Поэтому можно предположить, что в отдельном регионе животным будут присущи опред</w:t>
      </w:r>
      <w:r>
        <w:t>е</w:t>
      </w:r>
      <w:r>
        <w:t xml:space="preserve">ленные иммунологические параметры, отличные от таковых животных из других территорий. </w:t>
      </w:r>
    </w:p>
    <w:p w:rsidR="00F4654E" w:rsidRDefault="00F4654E">
      <w:pPr>
        <w:pStyle w:val="a6"/>
      </w:pPr>
      <w:r>
        <w:t>Нами проведена оценка 266 иммунограмм разных пород и возрастных групп собак и  78 кошек городов Екатеринбурга и Каменск-Уральского. В основном были обследованы животные с подострым  или хроническим воспалительными процессами различной причины и локализации. Ранее нами обследовано более 5 тысяч голов крупного рогатого скота, свиней и лошадей разного возраста и физиологического состояния.</w:t>
      </w:r>
    </w:p>
    <w:p w:rsidR="00F4654E" w:rsidRDefault="00F4654E">
      <w:pPr>
        <w:pStyle w:val="a6"/>
      </w:pPr>
      <w:r>
        <w:t>Оценку проводили по следующим показателям: количеству лейкоц</w:t>
      </w:r>
      <w:r>
        <w:t>и</w:t>
      </w:r>
      <w:r>
        <w:t>тов и лимфоцитов; активности фагоцитоза и поглотительной способности нейтрофилов; уровню Т- и В-лимфоцитов в реакции спонтанного розетк</w:t>
      </w:r>
      <w:r>
        <w:t>о</w:t>
      </w:r>
      <w:r>
        <w:t>образования; субпопуляции Т-клеток - процента и абсолютного количества Т-хелперов и Т-супрессоров. Дополнительно высчитывали лейкоцитарный Т- индекс и соотношение Т- и В-лимфоцитов.</w:t>
      </w:r>
    </w:p>
    <w:p w:rsidR="00F4654E" w:rsidRDefault="00F4654E">
      <w:pPr>
        <w:pStyle w:val="a6"/>
      </w:pPr>
      <w:r>
        <w:t>При анализе иммунограмм мелких домашних животных в 74% случ</w:t>
      </w:r>
      <w:r>
        <w:t>а</w:t>
      </w:r>
      <w:r>
        <w:t>ев были выявлены иммунодефицитные состояния (ИДС). Причем у 24% собак наблюдали тяжелые расстройства в иммунной системе (Ш степени). Иммунодефекты выявлены практически у всех пород животных, однако наиболее тяжелые расстройства регистрировали среди собак экзотических пород (шарпеев, французских бульдогов, мастино, тосаины) с заболев</w:t>
      </w:r>
      <w:r>
        <w:t>а</w:t>
      </w:r>
      <w:r>
        <w:t>ниями кожи - гнойными пиодермитами и экссудативными экземами. Леч</w:t>
      </w:r>
      <w:r>
        <w:t>е</w:t>
      </w:r>
      <w:r>
        <w:t>ние этих животных, как правило, затруднено, а применение сильнодейс</w:t>
      </w:r>
      <w:r>
        <w:t>т</w:t>
      </w:r>
      <w:r>
        <w:lastRenderedPageBreak/>
        <w:t>вующих антибиотиков приводит к еще большей депрессии иммунной си</w:t>
      </w:r>
      <w:r>
        <w:t>с</w:t>
      </w:r>
      <w:r>
        <w:t>темы.</w:t>
      </w:r>
    </w:p>
    <w:p w:rsidR="00F4654E" w:rsidRDefault="00F4654E">
      <w:pPr>
        <w:pStyle w:val="a6"/>
      </w:pPr>
      <w:r>
        <w:t>В целом, только  у 3% животных иммунограммы отличались сравн</w:t>
      </w:r>
      <w:r>
        <w:t>и</w:t>
      </w:r>
      <w:r>
        <w:t>тельно нормальными показателями: абсолютное количество лимфоцитов (АКЛ) – 3,77 тыс/мкл; количество: Т-лимфоцитов – 1,8 тыс/мкл; В-лим-фоцитов – 0,45 тыс/мкл; соотношение Т-/В-лимфоцитов – 4; соотношение Тх/Т</w:t>
      </w:r>
      <w:r>
        <w:rPr>
          <w:lang w:val="en-US"/>
        </w:rPr>
        <w:t>s</w:t>
      </w:r>
      <w:r>
        <w:t xml:space="preserve">  – 1,17 (средние данные). Как правило, проводимое лечение заканч</w:t>
      </w:r>
      <w:r>
        <w:t>и</w:t>
      </w:r>
      <w:r>
        <w:t xml:space="preserve">валось полным клиническим выздоровлением. </w:t>
      </w:r>
    </w:p>
    <w:p w:rsidR="00F4654E" w:rsidRDefault="00F4654E">
      <w:pPr>
        <w:pStyle w:val="a6"/>
      </w:pPr>
      <w:r>
        <w:t>В противоположность приведенным данным у большинства собак  отмечали нарушения в количественном составе иммунокомпетентных кл</w:t>
      </w:r>
      <w:r>
        <w:t>е</w:t>
      </w:r>
      <w:r>
        <w:t>ток, что свидетельствовало о  ИДС различной степени тяжести: абсолю</w:t>
      </w:r>
      <w:r>
        <w:t>т</w:t>
      </w:r>
      <w:r>
        <w:t>ное количество лимфоцитов (АКЛ) – 0,93 тыс/мкл; количество: Т-лимфо-цитов – 0,037 тыс/мкл; В-лимфоцитов – 0,26 тыс/мкл; соотношение Т-/В-лимфоцитов – 0,14; соотношение Тх/Т</w:t>
      </w:r>
      <w:r>
        <w:rPr>
          <w:lang w:val="en-US"/>
        </w:rPr>
        <w:t>s</w:t>
      </w:r>
      <w:r>
        <w:t xml:space="preserve"> – 1,6.  Представленные средние данные 78 иммунограмм свидетельствуют о резко выраженном Т- клето</w:t>
      </w:r>
      <w:r>
        <w:t>ч</w:t>
      </w:r>
      <w:r>
        <w:t>ном иммунодефиците на фоне гиперэргического воспаления. Данным ж</w:t>
      </w:r>
      <w:r>
        <w:t>и</w:t>
      </w:r>
      <w:r>
        <w:t>вотным наряду с основным лечением применяли иммунокоррекцию и средства повышающие естественную резистентность, после чего клинич</w:t>
      </w:r>
      <w:r>
        <w:t>е</w:t>
      </w:r>
      <w:r>
        <w:t>ски состояние их улучшалось.</w:t>
      </w:r>
    </w:p>
    <w:p w:rsidR="00F4654E" w:rsidRDefault="00F4654E">
      <w:pPr>
        <w:pStyle w:val="a6"/>
      </w:pPr>
      <w:r>
        <w:t>Таким образом, анализ иммунограмм помогает наблюдать за динам</w:t>
      </w:r>
      <w:r>
        <w:t>и</w:t>
      </w:r>
      <w:r>
        <w:t>кой патологического процесса с целью оптимизации прогнозирования его течения и обоснования фармакологической коррекции. Однако полноце</w:t>
      </w:r>
      <w:r>
        <w:t>н</w:t>
      </w:r>
      <w:r>
        <w:t>ный анализ иммунологических показателей конкретного индивида можно проводить лишь в комплексе с оценкой клинической картины. По изолир</w:t>
      </w:r>
      <w:r>
        <w:t>о</w:t>
      </w:r>
      <w:r>
        <w:t>ванной иммунограмме ясные выводы возможны лишь в части случаев, там где сдвиги иммунограммы резко выражены, что обычно отмечается при запущенных патологических процессах.</w:t>
      </w:r>
    </w:p>
    <w:p w:rsidR="00F4654E" w:rsidRDefault="00F4654E">
      <w:pPr>
        <w:pStyle w:val="1"/>
      </w:pPr>
      <w:bookmarkStart w:id="22" w:name="_Toc10731255"/>
      <w:bookmarkStart w:id="23" w:name="_Toc10731916"/>
      <w:bookmarkStart w:id="24" w:name="_Toc10891763"/>
      <w:bookmarkStart w:id="25" w:name="_Toc10892438"/>
      <w:bookmarkStart w:id="26" w:name="_Toc11390033"/>
      <w:bookmarkStart w:id="27" w:name="_Toc11839712"/>
      <w:bookmarkStart w:id="28" w:name="_Toc11937248"/>
      <w:r>
        <w:t>Функциональная морфология органов иммунной и эндокринной систем поросят при гипотрофии</w:t>
      </w:r>
      <w:bookmarkEnd w:id="22"/>
      <w:bookmarkEnd w:id="23"/>
      <w:bookmarkEnd w:id="24"/>
      <w:bookmarkEnd w:id="25"/>
      <w:bookmarkEnd w:id="26"/>
      <w:bookmarkEnd w:id="27"/>
      <w:bookmarkEnd w:id="28"/>
    </w:p>
    <w:p w:rsidR="00F4654E" w:rsidRDefault="00F4654E">
      <w:pPr>
        <w:pStyle w:val="2"/>
      </w:pPr>
      <w:bookmarkStart w:id="29" w:name="_Toc10731256"/>
      <w:bookmarkStart w:id="30" w:name="_Toc10731917"/>
      <w:bookmarkStart w:id="31" w:name="_Toc10891764"/>
      <w:bookmarkStart w:id="32" w:name="_Toc10892439"/>
      <w:bookmarkStart w:id="33" w:name="_Toc11390034"/>
      <w:bookmarkStart w:id="34" w:name="_Toc11937249"/>
      <w:r>
        <w:t>Жаров А.В.</w:t>
      </w:r>
      <w:bookmarkEnd w:id="29"/>
      <w:bookmarkEnd w:id="30"/>
      <w:bookmarkEnd w:id="31"/>
      <w:bookmarkEnd w:id="32"/>
      <w:bookmarkEnd w:id="33"/>
      <w:bookmarkEnd w:id="34"/>
    </w:p>
    <w:p w:rsidR="00F4654E" w:rsidRDefault="00F4654E">
      <w:pPr>
        <w:pStyle w:val="a5"/>
      </w:pPr>
      <w:r>
        <w:t xml:space="preserve">Московская государственная академия ветеринарной медицины и биотехнологии </w:t>
      </w:r>
      <w:r>
        <w:br/>
        <w:t>им. К.И. Скрябина</w:t>
      </w:r>
    </w:p>
    <w:p w:rsidR="00F4654E" w:rsidRDefault="00F4654E">
      <w:pPr>
        <w:pStyle w:val="a6"/>
      </w:pPr>
      <w:r>
        <w:t>Гипотрофия новорожденных и молодняка - широко распространённое заболевание поросят, телят, ягнят и других животных, связанное с наруше</w:t>
      </w:r>
      <w:r>
        <w:softHyphen/>
        <w:t>нием роста и развития их во внутриутробный период (Л.П. Ведь,1980; А.М Липатов,1983; А.Н. Курносов,1988; Н.М. Алтухов,1990; А.А. Кудряшов, 1994 и др.). Гипотрофия может быть генетически обусловленной или чаще всего возникает в результате недостаточного или неполноценного кор-мления и неудовлетворительного содержания животных в период бере-менности. Это приводит к нарушению обмена веществ, снижению энергии роста и развития плода и новорожденных и предрасположенности молод-няка к различным болезням.</w:t>
      </w:r>
    </w:p>
    <w:p w:rsidR="00F4654E" w:rsidRDefault="00F4654E">
      <w:pPr>
        <w:pStyle w:val="a6"/>
      </w:pPr>
      <w:r>
        <w:lastRenderedPageBreak/>
        <w:t>Нами совместно с аспирантами в последние годы был проведен ряд опытов по комплексному исследованию поросят с врождённой гипотроф</w:t>
      </w:r>
      <w:r>
        <w:t>и</w:t>
      </w:r>
      <w:r>
        <w:t>ей на базе ЗАО "Будёновец" Дмитриевского района Московской области. Были отобраны три подопытные группы поросят крупной белой породы с признака</w:t>
      </w:r>
      <w:r>
        <w:softHyphen/>
        <w:t>ми гипотрофии: 1- в возрасте до 10 дней, 2 - 20 дн., 3 - 25 дн. Кроме то</w:t>
      </w:r>
      <w:r>
        <w:softHyphen/>
        <w:t>го, исследовали также группу поросят -гипотрофиков с осложн</w:t>
      </w:r>
      <w:r>
        <w:t>е</w:t>
      </w:r>
      <w:r>
        <w:t>нием сальмонеллёзом в возрасте 14-16 дней. Каждой подопытной группе соответствова</w:t>
      </w:r>
      <w:r>
        <w:softHyphen/>
        <w:t>ла контрольная: клинически здоровые поросята с живой ма</w:t>
      </w:r>
      <w:r>
        <w:t>с</w:t>
      </w:r>
      <w:r>
        <w:t>сой при опоро</w:t>
      </w:r>
      <w:r>
        <w:softHyphen/>
        <w:t>се больше 1 кг. Проводили патоморфологические и гистох</w:t>
      </w:r>
      <w:r>
        <w:t>и</w:t>
      </w:r>
      <w:r>
        <w:t>мические иссле</w:t>
      </w:r>
      <w:r>
        <w:softHyphen/>
        <w:t>дования органов иммунной и эндокринной систем поросят с применением общепринятых методов. Исследовали также паренхимато</w:t>
      </w:r>
      <w:r>
        <w:t>з</w:t>
      </w:r>
      <w:r>
        <w:t>ные органы, характеризующие состояние обменных процессов в организме здоровых поросят и гипотрофиков.</w:t>
      </w:r>
    </w:p>
    <w:p w:rsidR="00F4654E" w:rsidRDefault="00F4654E">
      <w:pPr>
        <w:pStyle w:val="a6"/>
      </w:pPr>
      <w:r>
        <w:t>Клинико-морфологические и гистохимические признаки, патогном</w:t>
      </w:r>
      <w:r>
        <w:t>о</w:t>
      </w:r>
      <w:r>
        <w:t>ничные для гипотрофии, наблюдали во всех подопытных группах поросят, имевших при рождении живую массу меньше 0,9 кг.</w:t>
      </w:r>
    </w:p>
    <w:p w:rsidR="00F4654E" w:rsidRDefault="00F4654E">
      <w:pPr>
        <w:pStyle w:val="a6"/>
      </w:pPr>
      <w:r>
        <w:t>В органах иммунной системы установлены изменения, характерные для врождённого комбинированного иммунного дефицита. Патологоан</w:t>
      </w:r>
      <w:r>
        <w:t>а</w:t>
      </w:r>
      <w:r>
        <w:t>томические изменения центрального органа иммунной системы тимуса х</w:t>
      </w:r>
      <w:r>
        <w:t>а</w:t>
      </w:r>
      <w:r>
        <w:t>рактеризовались в разной степени выраженной гипоплазией с массой груд-ной доли его 0,7-0,9 г. Шейные доли тимуса редко обнаруживались в с</w:t>
      </w:r>
      <w:r>
        <w:t>о</w:t>
      </w:r>
      <w:r>
        <w:t>стоянии аплазии с наличием лишь соединительной ткани. Селезёнка ма</w:t>
      </w:r>
      <w:r>
        <w:t>с</w:t>
      </w:r>
      <w:r>
        <w:t>сой от 1,5 до 5 г, значительно уменьшена в объёме с расслабленное капс</w:t>
      </w:r>
      <w:r>
        <w:t>у</w:t>
      </w:r>
      <w:r>
        <w:t>лой, собранной в складки, с острыми краями, синюшно-красного цвета, поверхность разреза гладкая с чётко выраженным рисунком, соскоб пул</w:t>
      </w:r>
      <w:r>
        <w:t>ь</w:t>
      </w:r>
      <w:r>
        <w:t>пы незначительный. Нижнечелюстные, предлопаточные, надколенные и паховые лимфоузлы небольшого размера, серо-бурого цвета.</w:t>
      </w:r>
    </w:p>
    <w:p w:rsidR="00F4654E" w:rsidRDefault="00F4654E">
      <w:pPr>
        <w:pStyle w:val="a6"/>
        <w:rPr>
          <w:spacing w:val="-2"/>
        </w:rPr>
      </w:pPr>
      <w:r>
        <w:rPr>
          <w:spacing w:val="-2"/>
        </w:rPr>
        <w:t>Печень уменьшена в  объёме, от 29 до 49г (в зависимости от возраста и массы тела), дряблой консистенции, кровенаполнена в разной степени и в связи с этим от коричневого до красно-коричневого, иногда с жёлтыми пя</w:t>
      </w:r>
      <w:r>
        <w:rPr>
          <w:spacing w:val="-2"/>
        </w:rPr>
        <w:t>т</w:t>
      </w:r>
      <w:r>
        <w:rPr>
          <w:spacing w:val="-2"/>
        </w:rPr>
        <w:t>нами, цве</w:t>
      </w:r>
      <w:r>
        <w:rPr>
          <w:spacing w:val="-2"/>
        </w:rPr>
        <w:softHyphen/>
        <w:t>та. На поверхности разреза рисунок органа сглажен,. Желчный п</w:t>
      </w:r>
      <w:r>
        <w:rPr>
          <w:spacing w:val="-2"/>
        </w:rPr>
        <w:t>у</w:t>
      </w:r>
      <w:r>
        <w:rPr>
          <w:spacing w:val="-2"/>
        </w:rPr>
        <w:t>зырь содержит 2-2,5 мл полупрозрачной желчи зелёного цвета, слизистая оболочка его барха</w:t>
      </w:r>
      <w:r>
        <w:rPr>
          <w:spacing w:val="-2"/>
        </w:rPr>
        <w:softHyphen/>
        <w:t>тистая с зеленоватым оттенком, без видимых изменений. Поджелудочная железа небольшого размера, от серо-розового до жёлто-бурого цвета, плотной или дряблой консистенции. Надпочечники от серого жёлто-коричневого цвета, уменьшены в объёме, плотной или дрябловатой консистенции, рисунок выражен. Железы внутренней секреции (гипофиз, щитовидная железа и др.) с характерными приз</w:t>
      </w:r>
      <w:r>
        <w:rPr>
          <w:spacing w:val="-2"/>
        </w:rPr>
        <w:softHyphen/>
        <w:t>наками гипопл</w:t>
      </w:r>
      <w:r>
        <w:rPr>
          <w:spacing w:val="-2"/>
        </w:rPr>
        <w:t>а</w:t>
      </w:r>
      <w:r>
        <w:rPr>
          <w:spacing w:val="-2"/>
        </w:rPr>
        <w:t>зии.</w:t>
      </w:r>
    </w:p>
    <w:p w:rsidR="00F4654E" w:rsidRDefault="00F4654E">
      <w:pPr>
        <w:pStyle w:val="a6"/>
      </w:pPr>
      <w:r>
        <w:t>При гистологических и гистохимических исследованиях установлены сле</w:t>
      </w:r>
      <w:r>
        <w:softHyphen/>
        <w:t>дующие изменения. Тимус содержит дольки малого размера, с нечётко выраженной границей коркового и мозгового вещества вплоть до инверсии слоев, малым содержанием тимоцитов (Т-лимфоцитов) с частичным их апоптозом, фагоцитозом мак</w:t>
      </w:r>
      <w:r>
        <w:softHyphen/>
        <w:t xml:space="preserve">рофагами. Тельца Гассаля разного размера, в </w:t>
      </w:r>
      <w:r>
        <w:lastRenderedPageBreak/>
        <w:t>уменьшенном количестве, часто де</w:t>
      </w:r>
      <w:r>
        <w:softHyphen/>
        <w:t>формированы, с признаками дистроф</w:t>
      </w:r>
      <w:r>
        <w:t>и</w:t>
      </w:r>
      <w:r>
        <w:t>ческих и некротических изменений. Селезён</w:t>
      </w:r>
      <w:r>
        <w:softHyphen/>
        <w:t>ка представлена ретикуло-эндотелиальнои тканью с малым содержанием крови в сосудах, лимфоц</w:t>
      </w:r>
      <w:r>
        <w:t>и</w:t>
      </w:r>
      <w:r>
        <w:t>тов, макрофагов и гемосидерина в красной и нечётко очерчен</w:t>
      </w:r>
      <w:r>
        <w:softHyphen/>
        <w:t>ной малого размера белой пульпы органа. Плазмоцитарная реакция с пиронинофилией клеток не выражена.</w:t>
      </w:r>
    </w:p>
    <w:p w:rsidR="00F4654E" w:rsidRDefault="00F4654E">
      <w:pPr>
        <w:pStyle w:val="a6"/>
      </w:pPr>
      <w:r>
        <w:t>В печени, почках, миокарде, а поджелудочной железе, в других жел</w:t>
      </w:r>
      <w:r>
        <w:t>е</w:t>
      </w:r>
      <w:r>
        <w:t>зах вну</w:t>
      </w:r>
      <w:r>
        <w:softHyphen/>
        <w:t>тренней секреции на фоне гипоплазии паренхиматозных и соедин</w:t>
      </w:r>
      <w:r>
        <w:t>и</w:t>
      </w:r>
      <w:r>
        <w:t>тельнотканных клеток, гемодинамических нарушений, связанных с нера</w:t>
      </w:r>
      <w:r>
        <w:t>в</w:t>
      </w:r>
      <w:r>
        <w:t xml:space="preserve">номерно выраженным застоем небольшого количества крови в сосудах микроциркуляторного русла развивались белковая и углеводная, а иногда и очаговая жировая дистрофии. Соединительная ткань сосудов и стромы органов с признаками мукоидного и фибриноидного набухания. Лимфо-гистиоцитарная инфильтрация её не наблюдалась. </w:t>
      </w:r>
    </w:p>
    <w:p w:rsidR="00F4654E" w:rsidRDefault="00F4654E">
      <w:pPr>
        <w:pStyle w:val="a6"/>
      </w:pPr>
      <w:r>
        <w:t>У поросят-гипотрофиков, осложнённых сальмонеллёзом, кроме в</w:t>
      </w:r>
      <w:r>
        <w:t>ы</w:t>
      </w:r>
      <w:r>
        <w:t>шеперечислен</w:t>
      </w:r>
      <w:r>
        <w:softHyphen/>
        <w:t>ных признаков, установлен комплекс изменений, патогн</w:t>
      </w:r>
      <w:r>
        <w:t>о</w:t>
      </w:r>
      <w:r>
        <w:t>моничных для сальмонеллёза, но со слабо выраженными иммунными р</w:t>
      </w:r>
      <w:r>
        <w:t>е</w:t>
      </w:r>
      <w:r>
        <w:t>акциями, с преобладанием деструк</w:t>
      </w:r>
      <w:r>
        <w:softHyphen/>
        <w:t>тивных изменений, что даёт основание относить гипотрофиков, страдающих врожд</w:t>
      </w:r>
      <w:r>
        <w:softHyphen/>
        <w:t>ённым комбинированным и</w:t>
      </w:r>
      <w:r>
        <w:t>м</w:t>
      </w:r>
      <w:r>
        <w:t>мунным дефицитом, в группу  риска в связи с гипоплазией органов и</w:t>
      </w:r>
      <w:r>
        <w:t>м</w:t>
      </w:r>
      <w:r>
        <w:t>мунной и эндокринной систем.</w:t>
      </w:r>
    </w:p>
    <w:p w:rsidR="00F4654E" w:rsidRDefault="00F4654E">
      <w:pPr>
        <w:pStyle w:val="a4"/>
      </w:pPr>
      <w:r>
        <w:t>УДК 619:616.98:579.842.11</w:t>
      </w:r>
    </w:p>
    <w:p w:rsidR="00F4654E" w:rsidRDefault="00F4654E">
      <w:pPr>
        <w:pStyle w:val="1"/>
      </w:pPr>
      <w:bookmarkStart w:id="35" w:name="_Toc10731316"/>
      <w:bookmarkStart w:id="36" w:name="_Toc10731977"/>
      <w:bookmarkStart w:id="37" w:name="_Toc10891823"/>
      <w:bookmarkStart w:id="38" w:name="_Toc10892498"/>
      <w:bookmarkStart w:id="39" w:name="_Toc11390035"/>
      <w:bookmarkStart w:id="40" w:name="_Toc11839714"/>
      <w:bookmarkStart w:id="41" w:name="_Toc11937250"/>
      <w:r>
        <w:t xml:space="preserve">РАЗВИТИЕ ОТЕЧНОЙ БОЛЕЗНИ В АССОЦИАЦИИ С </w:t>
      </w:r>
      <w:r>
        <w:br/>
        <w:t>КЛАССИЧЕСКОЙ ЧУМОЙ НА СВИНОКОМПЛЕКСАХ</w:t>
      </w:r>
      <w:bookmarkEnd w:id="35"/>
      <w:bookmarkEnd w:id="36"/>
      <w:bookmarkEnd w:id="37"/>
      <w:bookmarkEnd w:id="38"/>
      <w:bookmarkEnd w:id="39"/>
      <w:bookmarkEnd w:id="40"/>
      <w:bookmarkEnd w:id="41"/>
    </w:p>
    <w:p w:rsidR="00F4654E" w:rsidRDefault="00F4654E">
      <w:pPr>
        <w:pStyle w:val="2"/>
      </w:pPr>
      <w:bookmarkStart w:id="42" w:name="_Toc10731317"/>
      <w:bookmarkStart w:id="43" w:name="_Toc10731978"/>
      <w:bookmarkStart w:id="44" w:name="_Toc10891824"/>
      <w:bookmarkStart w:id="45" w:name="_Toc10892499"/>
      <w:bookmarkStart w:id="46" w:name="_Toc11390036"/>
      <w:bookmarkStart w:id="47" w:name="_Toc11937251"/>
      <w:r>
        <w:t>Коломыцев А.А., Стрижаков А.А., Лукьянов С.Б.</w:t>
      </w:r>
      <w:bookmarkEnd w:id="42"/>
      <w:bookmarkEnd w:id="43"/>
      <w:bookmarkEnd w:id="44"/>
      <w:bookmarkEnd w:id="45"/>
      <w:bookmarkEnd w:id="46"/>
      <w:bookmarkEnd w:id="47"/>
    </w:p>
    <w:p w:rsidR="00F4654E" w:rsidRDefault="00F4654E">
      <w:pPr>
        <w:pStyle w:val="a5"/>
      </w:pPr>
      <w:r>
        <w:t>Всероссийский НИИ ветеринарной вирусологии и микробиологии</w:t>
      </w:r>
    </w:p>
    <w:p w:rsidR="00F4654E" w:rsidRDefault="00F4654E">
      <w:pPr>
        <w:pStyle w:val="a6"/>
      </w:pPr>
      <w:r>
        <w:t>Еще на заре изучения классической чумы свиней (КЧС), было уст</w:t>
      </w:r>
      <w:r>
        <w:t>а</w:t>
      </w:r>
      <w:r>
        <w:t>новлено, что длительной персистенцией в организме инфицированных свиней обладают возбудители КЧС, пастереллеза и сальмонеллеза. Ман</w:t>
      </w:r>
      <w:r>
        <w:t>и</w:t>
      </w:r>
      <w:r>
        <w:t>фестация носительства возбудителей обычно происходит при ослаблении здоровья носителей или под воздействием одного из названных агентов. Потому зачастую складываются ситуации, когда  течение чумы свиней о</w:t>
      </w:r>
      <w:r>
        <w:t>с</w:t>
      </w:r>
      <w:r>
        <w:t xml:space="preserve">ложняется развитием пастереллеза и сальмонеллеза, тем самым скрывая истинную причину болезни. Из-за чего, для повышения эффективности эпизоотологической, клинической, патологоанатомической и лабораторной диагностики чумы и установления истиной причины повышенного отхода, всегда необходимо учитывать возможное развитие смешанных инфекций, сопровождающих вспышки КЧС. </w:t>
      </w:r>
    </w:p>
    <w:p w:rsidR="00F4654E" w:rsidRDefault="00F4654E">
      <w:pPr>
        <w:pStyle w:val="a6"/>
      </w:pPr>
      <w:r>
        <w:t>Как показали наши наблюдения,  в ассоциации с КЧС, может разв</w:t>
      </w:r>
      <w:r>
        <w:t>и</w:t>
      </w:r>
      <w:r>
        <w:t>ваться отечная болезнь поросят (ОБП), поражающая  те же возрастные группы. При этом, если КЧС обусловлена вирусом,  то ОБП, как общепр</w:t>
      </w:r>
      <w:r>
        <w:t>и</w:t>
      </w:r>
      <w:r>
        <w:lastRenderedPageBreak/>
        <w:t>знанно, вызывается разновидностью условно патогенной кишечной пало</w:t>
      </w:r>
      <w:r>
        <w:t>ч</w:t>
      </w:r>
      <w:r>
        <w:t>ки, приобретающей гемолитические свойства.</w:t>
      </w:r>
    </w:p>
    <w:p w:rsidR="00F4654E" w:rsidRDefault="00F4654E">
      <w:pPr>
        <w:pStyle w:val="a6"/>
      </w:pPr>
      <w:r>
        <w:t>Целью данного исследования является изучение особенностей разв</w:t>
      </w:r>
      <w:r>
        <w:t>и</w:t>
      </w:r>
      <w:r>
        <w:t>тия отечной болезни свиней в моноварианте и в сочетании с вирусом кла</w:t>
      </w:r>
      <w:r>
        <w:t>с</w:t>
      </w:r>
      <w:r>
        <w:t>сической чумы на свинокомплексах России в период 1987-2002 гг.</w:t>
      </w:r>
    </w:p>
    <w:p w:rsidR="00F4654E" w:rsidRDefault="00F4654E">
      <w:pPr>
        <w:pStyle w:val="a6"/>
        <w:rPr>
          <w:i/>
        </w:rPr>
      </w:pPr>
      <w:r>
        <w:t>В процессе проведения эпизоотологического мониторинга  за боле</w:t>
      </w:r>
      <w:r>
        <w:t>з</w:t>
      </w:r>
      <w:r>
        <w:t>нями  свиней на территории России, нами установлено широкое распр</w:t>
      </w:r>
      <w:r>
        <w:t>о</w:t>
      </w:r>
      <w:r>
        <w:t>странение отечной болезни. Болезнь встречается в более чем 25 субъектах России,  в разных географических зонах страны,  в хозяйствах различного типа собственности и размера. По данным обследований хозяйств, слож</w:t>
      </w:r>
      <w:r>
        <w:t>и</w:t>
      </w:r>
      <w:r>
        <w:t xml:space="preserve">лось мнение, что ОБП наиболее часто встречается в личных подворьях граждан, где одной из решающих причин провокации инфекции являются нарушение условий содержания и кормления животных. </w:t>
      </w:r>
    </w:p>
    <w:p w:rsidR="00F4654E" w:rsidRDefault="00F4654E">
      <w:pPr>
        <w:pStyle w:val="a6"/>
        <w:rPr>
          <w:i/>
        </w:rPr>
      </w:pPr>
      <w:r>
        <w:rPr>
          <w:i/>
        </w:rPr>
        <w:t>Смешанное течение  отечной болезни и чумы свиней.</w:t>
      </w:r>
    </w:p>
    <w:p w:rsidR="00F4654E" w:rsidRDefault="00F4654E">
      <w:pPr>
        <w:pStyle w:val="a6"/>
      </w:pPr>
      <w:r>
        <w:t>По результатам собственных обследований установлено, что ОБП также встречается на крупных свиноводческих хозяйствах промышленного типа  производственной мощностью от  6 до  216 тысяч свиней в год. Эти данные получены в период осуществления практических мероприятий по ликвидации  последствий возникновения КЧС или получены при провед</w:t>
      </w:r>
      <w:r>
        <w:t>е</w:t>
      </w:r>
      <w:r>
        <w:t>нии эпизоотологического опроса.</w:t>
      </w:r>
    </w:p>
    <w:p w:rsidR="00F4654E" w:rsidRDefault="00F4654E">
      <w:pPr>
        <w:pStyle w:val="a6"/>
      </w:pPr>
      <w:r>
        <w:t>В историческом плане первые сообщения об обнаружении ОБП на свинокомплексах СССР, были  сделаны украинскими исследователями Ступак К.М. и Евтушенко А.В. и опубликованы в 1982 и 1985 гг. Позднее  сведения о выявлении  ОБП в России можно отнести к 1987 г., когда заб</w:t>
      </w:r>
      <w:r>
        <w:t>о</w:t>
      </w:r>
      <w:r>
        <w:t>левание было установлено при обследовании крупнейшего свинокомпле</w:t>
      </w:r>
      <w:r>
        <w:t>к</w:t>
      </w:r>
      <w:r>
        <w:t xml:space="preserve">са «Чистогорский» производственной мощностью на 216 тыс. свиней. Там была в первые установлена эпизоотия КЧС на предприятиях подобного типа. </w:t>
      </w:r>
    </w:p>
    <w:p w:rsidR="00F4654E" w:rsidRDefault="00F4654E">
      <w:pPr>
        <w:pStyle w:val="a6"/>
      </w:pPr>
      <w:r>
        <w:t>В частности на свинокомплексе «Чистогорский» были одновременно установлены КЧС и ОБП, хотя последняя, по данным эпизоотологического опроса, возникла несколько ранее. Обе инфекции подтверждены лабор</w:t>
      </w:r>
      <w:r>
        <w:t>а</w:t>
      </w:r>
      <w:r>
        <w:t>торными исследованиями. Количество  животных, заболевавших ОБП, б</w:t>
      </w:r>
      <w:r>
        <w:t>ы</w:t>
      </w:r>
      <w:r>
        <w:t xml:space="preserve">ло весьма значительным и болезнь в хозяйстве сохранялась весьма долго. Хозяйство приобрело статус очага, стационарно неблагополучного  по этой болезни. </w:t>
      </w:r>
    </w:p>
    <w:p w:rsidR="00F4654E" w:rsidRDefault="00F4654E">
      <w:pPr>
        <w:pStyle w:val="a6"/>
      </w:pPr>
      <w:r>
        <w:t>Сохранение ОБП на комплексе подтверждалось регулярным лабор</w:t>
      </w:r>
      <w:r>
        <w:t>а</w:t>
      </w:r>
      <w:r>
        <w:t xml:space="preserve">торным выявлением </w:t>
      </w:r>
      <w:r>
        <w:sym w:font="Symbol" w:char="F062"/>
      </w:r>
      <w:r>
        <w:t>-гемолитической кишечной палочки (БГКП). Кул</w:t>
      </w:r>
      <w:r>
        <w:t>ь</w:t>
      </w:r>
      <w:r>
        <w:t>туру БГКП выделяли в 30,9 % случаев среди  исследуемых  трупов пор</w:t>
      </w:r>
      <w:r>
        <w:t>о</w:t>
      </w:r>
      <w:r>
        <w:t>сят, в т.ч. павших от классической чумы. Спустя 3 года после установл</w:t>
      </w:r>
      <w:r>
        <w:t>е</w:t>
      </w:r>
      <w:r>
        <w:t>ния чумы и ОБП, судя по результатам лабораторных исследований, выя</w:t>
      </w:r>
      <w:r>
        <w:t>в</w:t>
      </w:r>
      <w:r>
        <w:t>ление свиней,  погибших от ОБП, начало резко снижаться и составило около 1,1-2,1 % от всех обследованных трупов. Следует отметить, что ср</w:t>
      </w:r>
      <w:r>
        <w:t>е</w:t>
      </w:r>
      <w:r>
        <w:lastRenderedPageBreak/>
        <w:t>ди павших поросят патологоанатомически и лабораторно устанавливали пастереллез и сальмонеллез.</w:t>
      </w:r>
    </w:p>
    <w:p w:rsidR="00F4654E" w:rsidRDefault="00F4654E">
      <w:pPr>
        <w:pStyle w:val="a6"/>
      </w:pPr>
      <w:r>
        <w:t>В 1991 и 2000 гг. подобную ситуацию, в связи с  заносом КЧС и во</w:t>
      </w:r>
      <w:r>
        <w:t>з</w:t>
      </w:r>
      <w:r>
        <w:t>никновением  ОБП,  мы установили на таких же по размеру свинокомпле</w:t>
      </w:r>
      <w:r>
        <w:t>к</w:t>
      </w:r>
      <w:r>
        <w:t>сах «Губкинский» Белгородской области и «Пермский» Пермской области, в период проведения там мероприятий по ликвидации последствий эпиз</w:t>
      </w:r>
      <w:r>
        <w:t>о</w:t>
      </w:r>
      <w:r>
        <w:t>отии КЧС. Падеж поросят от заболевания свиней чумой, отечной боле</w:t>
      </w:r>
      <w:r>
        <w:t>з</w:t>
      </w:r>
      <w:r>
        <w:t>нью, и данные отхода  в определенной степени коррелировали между с</w:t>
      </w:r>
      <w:r>
        <w:t>о</w:t>
      </w:r>
      <w:r>
        <w:t>бой. Отход  от  ОБП в группах доращивания был достаточно велик и с</w:t>
      </w:r>
      <w:r>
        <w:t>о</w:t>
      </w:r>
      <w:r>
        <w:t>ставлял 10,7-18,7%. Далее по мере снижения заболевших КЧС происход</w:t>
      </w:r>
      <w:r>
        <w:t>и</w:t>
      </w:r>
      <w:r>
        <w:t xml:space="preserve">ло уменьшение (до 0,12%) размера отхода от ОБП. </w:t>
      </w:r>
    </w:p>
    <w:p w:rsidR="00F4654E" w:rsidRDefault="00F4654E">
      <w:pPr>
        <w:pStyle w:val="a6"/>
      </w:pPr>
      <w:r>
        <w:t>ОБП на свинокомплексах с производственной мощностью в 108 тысяч свиней в год обнаружена в 1991, 1994 и 1995 гг. в Красноярском и Красн</w:t>
      </w:r>
      <w:r>
        <w:t>о</w:t>
      </w:r>
      <w:r>
        <w:t>дарском краях и в Московской области, при анализе эпизоотической с</w:t>
      </w:r>
      <w:r>
        <w:t>и</w:t>
      </w:r>
      <w:r>
        <w:t xml:space="preserve">туации в процессе организации мероприятий  против КЧС. Падеж среди группы поросят доращивания от ОБП был в пределах 2,7- 30,7% от всех павших поросят. В 1990 г. установлена ОБП одновременно с возникшей КЧС на свинокомплексе «Волынский» Кемеровской области Казахстана. При этом весьма характерным было то, что на вскрытии у одних и тех же трупов поросят часто обнаруживали типичные признаки КЧС и ОБП. </w:t>
      </w:r>
    </w:p>
    <w:p w:rsidR="00F4654E" w:rsidRDefault="00F4654E">
      <w:pPr>
        <w:pStyle w:val="a6"/>
      </w:pPr>
      <w:r>
        <w:t>Сведения о регистрации ОБП на свинокомплексах «Шелонский» и «Рощинский» мощностью на 54 тысячи свиней, ставших также неблагоп</w:t>
      </w:r>
      <w:r>
        <w:t>о</w:t>
      </w:r>
      <w:r>
        <w:t>лучными по КЧС, относятся к  1991 и 1997 гг. Данные об обнаружении ОБП  на свинокомплексе мощностью на 12 тысяч голов установлены  в Смоленской области,   относятся к 1996 г., а в хозяйстве на 6 тысяч свиней «Госплемзавод Ачинский» Красноярского края  - относятся  к 1995 г. В 50% случаев (в 7-и из 15 свинокомплексов) появлению вспышек ОБП предшествует возникновение там КЧС. Смешанное возникновение обеих инфекций могло развиваться и по другому сценарию. В 2 из 15 свиноко</w:t>
      </w:r>
      <w:r>
        <w:t>м</w:t>
      </w:r>
      <w:r>
        <w:t xml:space="preserve">плексов ОБП стали регистрировать лишь после установления КЧС. </w:t>
      </w:r>
    </w:p>
    <w:p w:rsidR="00F4654E" w:rsidRDefault="00F4654E">
      <w:pPr>
        <w:pStyle w:val="a6"/>
        <w:rPr>
          <w:spacing w:val="-2"/>
        </w:rPr>
      </w:pPr>
      <w:r>
        <w:rPr>
          <w:spacing w:val="-2"/>
        </w:rPr>
        <w:t>Как и при развитии КЧС много лет назад в ряде крупных репродукто</w:t>
      </w:r>
      <w:r>
        <w:rPr>
          <w:spacing w:val="-2"/>
        </w:rPr>
        <w:t>р</w:t>
      </w:r>
      <w:r>
        <w:rPr>
          <w:spacing w:val="-2"/>
        </w:rPr>
        <w:t>ных и откормочных хозяйствах Московской области отмечали развитие смешанных инфекций в сочетании КЧС и сальмонеллеза. До лабораторной постановки диагноза случаи массового падежа животных зачастую относ</w:t>
      </w:r>
      <w:r>
        <w:rPr>
          <w:spacing w:val="-2"/>
        </w:rPr>
        <w:t>и</w:t>
      </w:r>
      <w:r>
        <w:rPr>
          <w:spacing w:val="-2"/>
        </w:rPr>
        <w:t>ли на счет сальмонеллеза. Такой подход приводил к дезинформации при п</w:t>
      </w:r>
      <w:r>
        <w:rPr>
          <w:spacing w:val="-2"/>
        </w:rPr>
        <w:t>о</w:t>
      </w:r>
      <w:r>
        <w:rPr>
          <w:spacing w:val="-2"/>
        </w:rPr>
        <w:t xml:space="preserve">становке диагноза на КЧС и естественно к не контролируемому переносу чумы во многие хозяйства Московской и Владимирской областей (1992 г.).   </w:t>
      </w:r>
    </w:p>
    <w:p w:rsidR="00F4654E" w:rsidRDefault="00F4654E">
      <w:pPr>
        <w:pStyle w:val="a6"/>
      </w:pPr>
      <w:r>
        <w:t>Отмечен и другой феномен смешанного течения КЧС с бактериал</w:t>
      </w:r>
      <w:r>
        <w:t>ь</w:t>
      </w:r>
      <w:r>
        <w:t>ными инфекциями. При анализе эпизоотической ситуации на свиноко</w:t>
      </w:r>
      <w:r>
        <w:t>м</w:t>
      </w:r>
      <w:r>
        <w:t xml:space="preserve">плексе «Жуково» имело место проявления КЧС в ассоциации уже с двумя бактериальными инфекциями. Поочередно, с интервалом в 4-5 месяцев, устанавливали ОБП,  потом КЧС и затем пастереллез. </w:t>
      </w:r>
    </w:p>
    <w:p w:rsidR="00F4654E" w:rsidRDefault="00F4654E">
      <w:pPr>
        <w:pStyle w:val="a6"/>
        <w:rPr>
          <w:i/>
        </w:rPr>
      </w:pPr>
      <w:r>
        <w:rPr>
          <w:i/>
        </w:rPr>
        <w:lastRenderedPageBreak/>
        <w:t>Смешанное развитие вакцинно-инфекционного процесса чумы и оте</w:t>
      </w:r>
      <w:r>
        <w:rPr>
          <w:i/>
        </w:rPr>
        <w:t>ч</w:t>
      </w:r>
      <w:r>
        <w:rPr>
          <w:i/>
        </w:rPr>
        <w:t>ной болезни  свиней.</w:t>
      </w:r>
    </w:p>
    <w:p w:rsidR="00F4654E" w:rsidRDefault="00F4654E">
      <w:pPr>
        <w:pStyle w:val="a6"/>
      </w:pPr>
      <w:r>
        <w:t>Длительный эпизоотологический мониторинг позволил установить причино-следственную связь между вакцинацией против КЧС и возникн</w:t>
      </w:r>
      <w:r>
        <w:t>о</w:t>
      </w:r>
      <w:r>
        <w:t>вением ОБП. Оказалось, что развитие отечной болезни может протекать как осложнение после воздействия на организм поросят группы доращив</w:t>
      </w:r>
      <w:r>
        <w:t>а</w:t>
      </w:r>
      <w:r>
        <w:t>ния не только вирулентного, но и аттенуированного вируса КЧС. Эти о</w:t>
      </w:r>
      <w:r>
        <w:t>с</w:t>
      </w:r>
      <w:r>
        <w:t>ложнения могут начинаться после вакцинации животных против КЧС. Т</w:t>
      </w:r>
      <w:r>
        <w:t>а</w:t>
      </w:r>
      <w:r>
        <w:t>кие события могли происходить после введения разных штаммов  вакци</w:t>
      </w:r>
      <w:r>
        <w:t>н</w:t>
      </w:r>
      <w:r>
        <w:t>ного вируса КЧС.</w:t>
      </w:r>
    </w:p>
    <w:p w:rsidR="00F4654E" w:rsidRDefault="00F4654E">
      <w:pPr>
        <w:pStyle w:val="a6"/>
      </w:pPr>
      <w:r>
        <w:t>Развитие смешанного поствакцинального процесса КЧС и инфекц</w:t>
      </w:r>
      <w:r>
        <w:t>и</w:t>
      </w:r>
      <w:r>
        <w:t>онного процесса ОБП  первоначально мы заметили  в частном секторе ср</w:t>
      </w:r>
      <w:r>
        <w:t>е</w:t>
      </w:r>
      <w:r>
        <w:t>ди свиней разного возраста, но чаще среди поросят. С подобными явл</w:t>
      </w:r>
      <w:r>
        <w:t>е</w:t>
      </w:r>
      <w:r>
        <w:t>ниями мы впервые столкнулись в населенных пунктах двух районов Бря</w:t>
      </w:r>
      <w:r>
        <w:t>н</w:t>
      </w:r>
      <w:r>
        <w:t>ской области. Особенностью развития ОБП оказалось то, что болезнь во</w:t>
      </w:r>
      <w:r>
        <w:t>з</w:t>
      </w:r>
      <w:r>
        <w:t>никала в личных дворах населения на фоне повышенного белкового кор</w:t>
      </w:r>
      <w:r>
        <w:t>м</w:t>
      </w:r>
      <w:r>
        <w:t>ления поросят. Вспышка ОБП носила массовый характер, возникала одн</w:t>
      </w:r>
      <w:r>
        <w:t>о</w:t>
      </w:r>
      <w:r>
        <w:t xml:space="preserve">моментно и быстро, длилась практически в течение недели после прививки поросят вирус вакциной. Исход смешанного вакцинно-инфекционного процесса заканчивался часто летальным исходом от  ОБП. </w:t>
      </w:r>
    </w:p>
    <w:p w:rsidR="00F4654E" w:rsidRDefault="00F4654E">
      <w:pPr>
        <w:pStyle w:val="a6"/>
      </w:pPr>
      <w:r>
        <w:t>Оказалось также, что поствакцинальные осложнения имеют место и  на свинокомплексах. Случаи возникновения ОБП после иммунизации  против КЧС отмечали при использовании вирусвакцины как на свиноко</w:t>
      </w:r>
      <w:r>
        <w:t>м</w:t>
      </w:r>
      <w:r>
        <w:t>плексах, неблагополучных по КЧС (совхоз им. Фрунзе Республики Ба</w:t>
      </w:r>
      <w:r>
        <w:t>ш</w:t>
      </w:r>
      <w:r>
        <w:t>кортостан), так  и на свинокомплексах, благополучных по КЧС (колхоз им. Фрунзе Белгородской области). Поствакцинальные изменения, характе</w:t>
      </w:r>
      <w:r>
        <w:t>р</w:t>
      </w:r>
      <w:r>
        <w:t>ные для вакцин против КЧС, проявляются кратковременной температу</w:t>
      </w:r>
      <w:r>
        <w:t>р</w:t>
      </w:r>
      <w:r>
        <w:t>ной реакцию и изменениями  гематологического показателя. При этом и</w:t>
      </w:r>
      <w:r>
        <w:t>с</w:t>
      </w:r>
      <w:r>
        <w:t xml:space="preserve">ход смешанного течения вакцинно-инфекционных процессов,  в конце концов заканчивается лидерством ОБП и гибелью от нее части свиней. Это может быть третья или пятая часть животных,  находившаяся во дворах.  </w:t>
      </w:r>
    </w:p>
    <w:p w:rsidR="00F4654E" w:rsidRDefault="00F4654E">
      <w:pPr>
        <w:pStyle w:val="a6"/>
      </w:pPr>
      <w:r>
        <w:t>В колхозе им. Фрунзе Белгородской области на фоне одинакового кормления и, вероятно, идентичного микробного пейзажа, случаи возни</w:t>
      </w:r>
      <w:r>
        <w:t>к</w:t>
      </w:r>
      <w:r>
        <w:t>новения ОБП и последующей гибели достигали 3 % от привитого погол</w:t>
      </w:r>
      <w:r>
        <w:t>о</w:t>
      </w:r>
      <w:r>
        <w:t>вья поросят. Заболевание регистрировали на 5 – 10-е сутки после приви</w:t>
      </w:r>
      <w:r>
        <w:t>в</w:t>
      </w:r>
      <w:r>
        <w:t>ки. Необходимо отметить и то, что вспышки ОБП в хозяйстве начали о</w:t>
      </w:r>
      <w:r>
        <w:t>т</w:t>
      </w:r>
      <w:r>
        <w:t>мечать примерно с 1990 г. В результате общая продолжительность небл</w:t>
      </w:r>
      <w:r>
        <w:t>а</w:t>
      </w:r>
      <w:r>
        <w:t xml:space="preserve">гополучия хозяйства по ОБП на день обследования составила 12 лет.  </w:t>
      </w:r>
    </w:p>
    <w:p w:rsidR="00F4654E" w:rsidRDefault="00F4654E">
      <w:pPr>
        <w:pStyle w:val="a6"/>
      </w:pPr>
      <w:r>
        <w:t>1. Отечная болезнь может протекать в ассоциации с классической ч</w:t>
      </w:r>
      <w:r>
        <w:t>у</w:t>
      </w:r>
      <w:r>
        <w:t>мой свиней и поражать преимущественно поросят отъемного возраста.</w:t>
      </w:r>
    </w:p>
    <w:p w:rsidR="00F4654E" w:rsidRDefault="00F4654E">
      <w:pPr>
        <w:pStyle w:val="a6"/>
        <w:rPr>
          <w:color w:val="000000"/>
        </w:rPr>
      </w:pPr>
      <w:r>
        <w:rPr>
          <w:color w:val="000000"/>
        </w:rPr>
        <w:t>2. Развитие поствакцинального процесса классической чумы свиней, сопровождающегося размножением аттенуированного вируса, может пр</w:t>
      </w:r>
      <w:r>
        <w:rPr>
          <w:color w:val="000000"/>
        </w:rPr>
        <w:t>о</w:t>
      </w:r>
      <w:r>
        <w:rPr>
          <w:color w:val="000000"/>
        </w:rPr>
        <w:lastRenderedPageBreak/>
        <w:t>воцировать появление осложнений в виде отечной болезни у первично вакцинированных против чумы животных.</w:t>
      </w:r>
    </w:p>
    <w:p w:rsidR="00F4654E" w:rsidRDefault="00F4654E">
      <w:pPr>
        <w:pStyle w:val="a4"/>
      </w:pPr>
      <w:r>
        <w:t>УДК 619:616.33-008</w:t>
      </w:r>
    </w:p>
    <w:p w:rsidR="00F4654E" w:rsidRDefault="00F4654E">
      <w:pPr>
        <w:pStyle w:val="1"/>
      </w:pPr>
      <w:bookmarkStart w:id="48" w:name="_Toc10731318"/>
      <w:bookmarkStart w:id="49" w:name="_Toc10731979"/>
      <w:bookmarkStart w:id="50" w:name="_Toc10891825"/>
      <w:bookmarkStart w:id="51" w:name="_Toc10892500"/>
      <w:bookmarkStart w:id="52" w:name="_Toc11390037"/>
      <w:bookmarkStart w:id="53" w:name="_Toc11839716"/>
      <w:bookmarkStart w:id="54" w:name="_Toc11937252"/>
      <w:r>
        <w:t>Перспективы профилактики и лечения постнатальной токсической диспепсии у телят</w:t>
      </w:r>
      <w:bookmarkEnd w:id="48"/>
      <w:bookmarkEnd w:id="49"/>
      <w:bookmarkEnd w:id="50"/>
      <w:bookmarkEnd w:id="51"/>
      <w:bookmarkEnd w:id="52"/>
      <w:bookmarkEnd w:id="53"/>
      <w:bookmarkEnd w:id="54"/>
    </w:p>
    <w:p w:rsidR="00F4654E" w:rsidRDefault="00F4654E">
      <w:pPr>
        <w:pStyle w:val="2"/>
      </w:pPr>
      <w:bookmarkStart w:id="55" w:name="_Toc10731319"/>
      <w:bookmarkStart w:id="56" w:name="_Toc10731980"/>
      <w:bookmarkStart w:id="57" w:name="_Toc10891826"/>
      <w:bookmarkStart w:id="58" w:name="_Toc10892501"/>
      <w:bookmarkStart w:id="59" w:name="_Toc11390038"/>
      <w:bookmarkStart w:id="60" w:name="_Toc11937253"/>
      <w:r>
        <w:t>Кондрахин И.П.</w:t>
      </w:r>
      <w:bookmarkEnd w:id="55"/>
      <w:bookmarkEnd w:id="56"/>
      <w:bookmarkEnd w:id="57"/>
      <w:bookmarkEnd w:id="58"/>
      <w:bookmarkEnd w:id="59"/>
      <w:bookmarkEnd w:id="60"/>
    </w:p>
    <w:p w:rsidR="00F4654E" w:rsidRDefault="00F4654E">
      <w:pPr>
        <w:pStyle w:val="a5"/>
      </w:pPr>
      <w:r>
        <w:t>Крымский государственный аграрный университет</w:t>
      </w:r>
    </w:p>
    <w:p w:rsidR="00F4654E" w:rsidRDefault="00F4654E">
      <w:pPr>
        <w:pStyle w:val="a6"/>
      </w:pPr>
      <w:r>
        <w:t>Постнатальная диспепсия телят является самым распространенным заболеванием из группы болезней, протекающих с синдромом диареи. В хозяйствах с силосно-сенажным типом кормления стельных коров и нет</w:t>
      </w:r>
      <w:r>
        <w:t>е</w:t>
      </w:r>
      <w:r>
        <w:t>лей в стойловый период ее переболевает почти каждый родившийся тел</w:t>
      </w:r>
      <w:r>
        <w:t>е</w:t>
      </w:r>
      <w:r>
        <w:t>нок, падеж и вынужденный убой при этом достигает 20% и более.</w:t>
      </w:r>
    </w:p>
    <w:p w:rsidR="00F4654E" w:rsidRDefault="00F4654E">
      <w:pPr>
        <w:pStyle w:val="a6"/>
      </w:pPr>
      <w:r>
        <w:t>Основной причиной болезни является несовершенная структура п</w:t>
      </w:r>
      <w:r>
        <w:t>о</w:t>
      </w:r>
      <w:r>
        <w:t>требляемых кормов, недостаток в рационах коров сена. Еще в 70-х годах нами (И.П.Кондрахин, Т.И.Коптева, С.П.Лемешкина) при обработке на ЭВМ усредненных данных по 34,7 тыс. хозяйств различных зон страны  было установлено, что с увеличением в структуре потребляемых кормов сена сокращается заболеваемость и падеж телят от неинфекционных б</w:t>
      </w:r>
      <w:r>
        <w:t>о</w:t>
      </w:r>
      <w:r>
        <w:t>лезней (r = от -0,546 до -0,800). Величина потребления молочным скотом силоса, жома и барды отрицательно влияет на показатели заболеваемости и падежа молодняка (r = от +0,421 до +0,647). Эти данные подтверждены экспериментами  и многолетней повсеместной практикой.</w:t>
      </w:r>
    </w:p>
    <w:p w:rsidR="00F4654E" w:rsidRDefault="00F4654E">
      <w:pPr>
        <w:pStyle w:val="a6"/>
      </w:pPr>
      <w:r>
        <w:t>Важнейшим этиологическим фактором является плохое качество ко</w:t>
      </w:r>
      <w:r>
        <w:t>р</w:t>
      </w:r>
      <w:r>
        <w:t>мов, использование силоса с рН выше 4.5, сенажа с плесенью, содержащих повышенные концентрации масляной кислоты, продукты гниения белков, токсины грибов. Большую опасность представляет солома, пораженная токсичными грибами. В одном из хозяйств Крыма в зимний период 2001 года стельным коровам и нетелям скармливали солому, заготовки 1999 г</w:t>
      </w:r>
      <w:r>
        <w:t>о</w:t>
      </w:r>
      <w:r>
        <w:t>да, пораженную грибами из рода фузариум и аспергиллюс. В результате этого каждый родившийся теленок на 1-2 день заболевал токсической ди</w:t>
      </w:r>
      <w:r>
        <w:t>с</w:t>
      </w:r>
      <w:r>
        <w:t>пепсией (молозивный токсикоз). Несмотря на интенсивное комплексное лечение, почти половина из них пало. В 2002 году подобное явление п</w:t>
      </w:r>
      <w:r>
        <w:t>о</w:t>
      </w:r>
      <w:r>
        <w:t>вторилось. Недоброкачественная солома попадала в кормушки коров и в клетки телят в качестве подстилки. За период с января по март из 136 р</w:t>
      </w:r>
      <w:r>
        <w:t>о</w:t>
      </w:r>
      <w:r>
        <w:t>дившихся телят пало 35 или 25,7%. При лабораторных исследованиях во</w:t>
      </w:r>
      <w:r>
        <w:t>з</w:t>
      </w:r>
      <w:r>
        <w:t>будителей инфекционных болезней не выделялось. Однако в сычуге телят обнаруживали множественные точечные мелкие кровоизлияния, которыми была буквально усеяна слизистая оболочка, в рубце находилась подст</w:t>
      </w:r>
      <w:r>
        <w:t>и</w:t>
      </w:r>
      <w:r>
        <w:t>лочная солома. Из слизистой оболочки сычуга на среде Сабуро культив</w:t>
      </w:r>
      <w:r>
        <w:t>и</w:t>
      </w:r>
      <w:r>
        <w:t>ровали рост грибов из рода Aspergillus (А.Ф.Барабаш).</w:t>
      </w:r>
    </w:p>
    <w:p w:rsidR="00F4654E" w:rsidRDefault="00F4654E">
      <w:pPr>
        <w:pStyle w:val="a6"/>
      </w:pPr>
      <w:r>
        <w:lastRenderedPageBreak/>
        <w:t>Исходя из приведенных данных реальной перспективой решения пр</w:t>
      </w:r>
      <w:r>
        <w:t>о</w:t>
      </w:r>
      <w:r>
        <w:t>блемы борьбы с токсической диспепсией, как и с другими болезнями, пр</w:t>
      </w:r>
      <w:r>
        <w:t>о</w:t>
      </w:r>
      <w:r>
        <w:t>текающими с синдромом диареи у новорожденных телят, является измен</w:t>
      </w:r>
      <w:r>
        <w:t>е</w:t>
      </w:r>
      <w:r>
        <w:t>ние структуры кормового баланса для молочного стада в направлении ув</w:t>
      </w:r>
      <w:r>
        <w:t>е</w:t>
      </w:r>
      <w:r>
        <w:t>личения заготовки сена и улучшения качества кормов. К этому имеются определенные предпосылки: в технологию кормопроизводства внедряется комплекс машин, позволяющих заготавливать в рулонах, в пленках или без них сено, силос, сенаж, благодаря чему повышается их качество, обесп</w:t>
      </w:r>
      <w:r>
        <w:t>е</w:t>
      </w:r>
      <w:r>
        <w:t>чивается надежная сохранность.</w:t>
      </w:r>
    </w:p>
    <w:p w:rsidR="00F4654E" w:rsidRDefault="00F4654E">
      <w:pPr>
        <w:pStyle w:val="a6"/>
      </w:pPr>
      <w:r>
        <w:t>Токсическая диспепсия, как и молозивный токсикоз – заболевания сложного генеза. Центральными патогенетическими взаимосвязанными звеньями их являются ферментопатия, обезвоживание, ацидоз, нарушение электролитного обмена.</w:t>
      </w:r>
    </w:p>
    <w:p w:rsidR="00F4654E" w:rsidRDefault="00F4654E">
      <w:pPr>
        <w:pStyle w:val="a6"/>
      </w:pPr>
      <w:r>
        <w:t>Для коррекции первого звена патогенеза используют ферментные препараты (желудочный сок, панкреатин, панзинорм, фестал и др.), но их результативность невелика.</w:t>
      </w:r>
    </w:p>
    <w:p w:rsidR="00F4654E" w:rsidRDefault="00F4654E">
      <w:pPr>
        <w:pStyle w:val="a6"/>
      </w:pPr>
      <w:r>
        <w:t>Для коррекции второго звена патогенеза предложено множество эти</w:t>
      </w:r>
      <w:r>
        <w:t>о</w:t>
      </w:r>
      <w:r>
        <w:t>тропных средств и препаратов (ампициллин, ампиокс, левомицитин, ол</w:t>
      </w:r>
      <w:r>
        <w:t>е</w:t>
      </w:r>
      <w:r>
        <w:t>тетрин, фармазин, тримеразин, эридин, рифопал, рифациклин и др.). Их чаще подбирают по лечебному эффекту.</w:t>
      </w:r>
    </w:p>
    <w:p w:rsidR="00F4654E" w:rsidRDefault="00F4654E">
      <w:pPr>
        <w:pStyle w:val="a6"/>
      </w:pPr>
      <w:r>
        <w:t>Восстановление нормальной кишечной микробной ассоциации дост</w:t>
      </w:r>
      <w:r>
        <w:t>и</w:t>
      </w:r>
      <w:r>
        <w:t>гается в определенной степени применением пробиотиков – бифидумба</w:t>
      </w:r>
      <w:r>
        <w:t>к</w:t>
      </w:r>
      <w:r>
        <w:t>терина, бифацидобактерина, бифидина, ромакола, витома 1.1., колифлор</w:t>
      </w:r>
      <w:r>
        <w:t>а</w:t>
      </w:r>
      <w:r>
        <w:t>ла, нормофлора, лактозила, лактобактерина, энтеробифидина и др.</w:t>
      </w:r>
    </w:p>
    <w:p w:rsidR="00F4654E" w:rsidRDefault="00F4654E">
      <w:pPr>
        <w:pStyle w:val="a6"/>
      </w:pPr>
      <w:r>
        <w:t>Выраженный метаболический ацидоз устраняют внутривенным вв</w:t>
      </w:r>
      <w:r>
        <w:t>е</w:t>
      </w:r>
      <w:r>
        <w:t>дением 4% раствором натрия гидрокарбоната (200-400 мл) или подкожным введением 7% раствора этого вещества (50-60 мл).</w:t>
      </w:r>
    </w:p>
    <w:p w:rsidR="00F4654E" w:rsidRDefault="00F4654E">
      <w:pPr>
        <w:pStyle w:val="a6"/>
      </w:pPr>
      <w:r>
        <w:t>Коррекция водно-электролитного обмена достигается оральным или парентеральным введением растворов натрия хлорида, Рингера-Локка, Шаппета, сложных солевых смесей (регидральтан, урсолит, калинат, рег</w:t>
      </w:r>
      <w:r>
        <w:t>и</w:t>
      </w:r>
      <w:r>
        <w:t>вит, ветглюкосалан, гликсан и др.). Считают, что суточное потребление больным теленком воды должно составлять 2,5-3 л. Наиболее радикал</w:t>
      </w:r>
      <w:r>
        <w:t>ь</w:t>
      </w:r>
      <w:r>
        <w:t>ным способом введения больших количеств лекарственных средств явл</w:t>
      </w:r>
      <w:r>
        <w:t>я</w:t>
      </w:r>
      <w:r>
        <w:t>ется капельный.</w:t>
      </w:r>
    </w:p>
    <w:p w:rsidR="00F4654E" w:rsidRDefault="00F4654E">
      <w:pPr>
        <w:pStyle w:val="a6"/>
      </w:pPr>
      <w:r>
        <w:t>При токсической диспепсии развивается тяжелый токсикоз, в кровь поступает большое количество эндогенных и экзогенных токсинов, нар</w:t>
      </w:r>
      <w:r>
        <w:t>у</w:t>
      </w:r>
      <w:r>
        <w:t>шается мочевиновыделительная функция почек. По нашим данным, с</w:t>
      </w:r>
      <w:r>
        <w:t>о</w:t>
      </w:r>
      <w:r>
        <w:t>держание в крови мочевины у больных телят достигает 33 мМ/л (при но</w:t>
      </w:r>
      <w:r>
        <w:t>р</w:t>
      </w:r>
      <w:r>
        <w:t>ме 3,3-6,6 мМ/л), в несколько раз возрастает концентрация аммиака (Т.В. Любецька, 1999).</w:t>
      </w:r>
    </w:p>
    <w:p w:rsidR="00F4654E" w:rsidRDefault="00F4654E">
      <w:pPr>
        <w:pStyle w:val="a6"/>
      </w:pPr>
      <w:r>
        <w:t>Поэтому в схему комплексной терапии диспепсии и молозивного то</w:t>
      </w:r>
      <w:r>
        <w:t>к</w:t>
      </w:r>
      <w:r>
        <w:t xml:space="preserve">сикоза вводят адсорбенты – активированный уголь, полисорб ВП, лигнин </w:t>
      </w:r>
      <w:r>
        <w:lastRenderedPageBreak/>
        <w:t>лечебный, энтеросорбент, фитосорбент ФСЗ, сорбенс, плантосил, пол</w:t>
      </w:r>
      <w:r>
        <w:t>и</w:t>
      </w:r>
      <w:r>
        <w:t>сорб, энтеросгель и др.</w:t>
      </w:r>
    </w:p>
    <w:p w:rsidR="00F4654E" w:rsidRDefault="00F4654E">
      <w:pPr>
        <w:pStyle w:val="a6"/>
      </w:pPr>
      <w:r>
        <w:t>В последние годы ученые ветеринарного профиля достигли опред</w:t>
      </w:r>
      <w:r>
        <w:t>е</w:t>
      </w:r>
      <w:r>
        <w:t>ленных успехов в разработке наиболее эффективных методов лечения ж</w:t>
      </w:r>
      <w:r>
        <w:t>е</w:t>
      </w:r>
      <w:r>
        <w:t>лудочно-кишечных болезней новорожденных телят, но без радикального изменения структуры рационов для дойного стада, без существенного улучшения качества кормов решить проблему борьбы с этими заболев</w:t>
      </w:r>
      <w:r>
        <w:t>а</w:t>
      </w:r>
      <w:r>
        <w:t xml:space="preserve">ниями невозможно. </w:t>
      </w:r>
    </w:p>
    <w:p w:rsidR="00F4654E" w:rsidRDefault="00F4654E">
      <w:pPr>
        <w:pStyle w:val="a4"/>
      </w:pPr>
      <w:r>
        <w:t>УДК 619:618.19:636.4</w:t>
      </w:r>
    </w:p>
    <w:p w:rsidR="00F4654E" w:rsidRDefault="00F4654E">
      <w:pPr>
        <w:pStyle w:val="1"/>
      </w:pPr>
      <w:bookmarkStart w:id="61" w:name="_Toc11390039"/>
      <w:bookmarkStart w:id="62" w:name="_Toc11839718"/>
      <w:bookmarkStart w:id="63" w:name="_Toc11937254"/>
      <w:r>
        <w:t>АГАЛАКТИЯ У СВИНОМАТОК – ОДНА ИЗ ПРИЧИН ВЫСОКОЙ ЗАБОЛЕВАЕМОСТИ И ГИБЕЛИ ПОРОСЯТ</w:t>
      </w:r>
      <w:bookmarkEnd w:id="61"/>
      <w:bookmarkEnd w:id="62"/>
      <w:bookmarkEnd w:id="63"/>
    </w:p>
    <w:p w:rsidR="00F4654E" w:rsidRDefault="00F4654E">
      <w:pPr>
        <w:pStyle w:val="2"/>
      </w:pPr>
      <w:bookmarkStart w:id="64" w:name="_Toc11390040"/>
      <w:bookmarkStart w:id="65" w:name="_Toc11937255"/>
      <w:r>
        <w:t>Мисайлов В.Д.</w:t>
      </w:r>
      <w:bookmarkEnd w:id="64"/>
      <w:bookmarkEnd w:id="65"/>
    </w:p>
    <w:p w:rsidR="00F4654E" w:rsidRDefault="00F4654E">
      <w:pPr>
        <w:pStyle w:val="a5"/>
      </w:pPr>
      <w:r>
        <w:t>Всероссийский НИВИ патологии, фармакологии и терапии</w:t>
      </w:r>
    </w:p>
    <w:p w:rsidR="00F4654E" w:rsidRDefault="00F4654E">
      <w:pPr>
        <w:pStyle w:val="a6"/>
      </w:pPr>
      <w:r>
        <w:t>Нарушения лактации у свиноматок имеют широкое распространение в свиноводческих предприятиях различных форм собственности и наносят большой экономический ущерб. Прежде всего, это связано с тем, что м</w:t>
      </w:r>
      <w:r>
        <w:t>о</w:t>
      </w:r>
      <w:r>
        <w:t>лозиво (молоко) свиноматок является не только единственной пищей для новорожденных поросят, но и источником колострального иммунитета против бактериальных и вирусных болезней. Поэтому предупреждение н</w:t>
      </w:r>
      <w:r>
        <w:t>а</w:t>
      </w:r>
      <w:r>
        <w:t>рушений лактации у свиноматок является важнейшим условием нормал</w:t>
      </w:r>
      <w:r>
        <w:t>ь</w:t>
      </w:r>
      <w:r>
        <w:t>ного роста и развития поросят в подсосный период и их высокой сохра</w:t>
      </w:r>
      <w:r>
        <w:t>н</w:t>
      </w:r>
      <w:r>
        <w:t xml:space="preserve">ности. </w:t>
      </w:r>
    </w:p>
    <w:p w:rsidR="00F4654E" w:rsidRDefault="00F4654E">
      <w:pPr>
        <w:pStyle w:val="a6"/>
      </w:pPr>
      <w:r>
        <w:t xml:space="preserve"> Агалактия у свиноматок проявляется как снижением или прекращ</w:t>
      </w:r>
      <w:r>
        <w:t>е</w:t>
      </w:r>
      <w:r>
        <w:t>нием секреции молока, так и нарушением рефлекса молокоотдачи. Разл</w:t>
      </w:r>
      <w:r>
        <w:t>и</w:t>
      </w:r>
      <w:r>
        <w:t>чают агалактию первичную, когда нарушения лактации у свиноматок в</w:t>
      </w:r>
      <w:r>
        <w:t>ы</w:t>
      </w:r>
      <w:r>
        <w:t>являются во время или сразу после родов и вторичную – когда они диагн</w:t>
      </w:r>
      <w:r>
        <w:t>о</w:t>
      </w:r>
      <w:r>
        <w:t>стируются после нормальной лактации. К первичной агалактии относится недоразвитие тканей молочной железы в период супоросности, особенно у первоопоросок, нарушение рефлекса молокоотдачи при нормальной секр</w:t>
      </w:r>
      <w:r>
        <w:t>е</w:t>
      </w:r>
      <w:r>
        <w:t>ции молозива, а также развитие субклинического мастита перед опоросом.</w:t>
      </w:r>
    </w:p>
    <w:p w:rsidR="00F4654E" w:rsidRDefault="00F4654E">
      <w:pPr>
        <w:pStyle w:val="a6"/>
      </w:pPr>
      <w:r>
        <w:t>Вторичная агалактия развивается при послеродовых болезнях свин</w:t>
      </w:r>
      <w:r>
        <w:t>о</w:t>
      </w:r>
      <w:r>
        <w:t xml:space="preserve">маток, проявляющихся в форме синдрома метрит–мастит–агалактии </w:t>
      </w:r>
      <w:r>
        <w:br/>
        <w:t>(ММА), послеродового гнойно-катарального эндометрита, мастита как клинически выраженного, так и субклинического, а также при других б</w:t>
      </w:r>
      <w:r>
        <w:t>о</w:t>
      </w:r>
      <w:r>
        <w:t>лезнях свиноматок.</w:t>
      </w:r>
    </w:p>
    <w:p w:rsidR="00F4654E" w:rsidRDefault="00F4654E">
      <w:pPr>
        <w:pStyle w:val="a6"/>
      </w:pPr>
      <w:r>
        <w:t>Агалактия развивается и при недостаточном опорожнении долей м</w:t>
      </w:r>
      <w:r>
        <w:t>о</w:t>
      </w:r>
      <w:r>
        <w:t xml:space="preserve">лочной железы от секрета в связи с избыточным кормлением свиноматок перед родами и в первые двое-трое суток после опороса или при болезнях поросят. Кроме того, вторичная агалактия развивается при недостаточном кормлении свиноматок (алиментарная агалактия), при их содержании при </w:t>
      </w:r>
      <w:r>
        <w:lastRenderedPageBreak/>
        <w:t>низкой или, наоборот, высокой температуре в помещениях, несоблюдении и других параметров микроклимата.</w:t>
      </w:r>
    </w:p>
    <w:p w:rsidR="00F4654E" w:rsidRDefault="00F4654E">
      <w:pPr>
        <w:pStyle w:val="a6"/>
      </w:pPr>
      <w:r>
        <w:t>Секреция молока у свиноматок часто нарушается при их кормлении недоброкачественными, токсичными кормами, особенно содержащим сп</w:t>
      </w:r>
      <w:r>
        <w:t>о</w:t>
      </w:r>
      <w:r>
        <w:t>рынью, фузарии. Существенной причиной агалактии у свиноматок являе</w:t>
      </w:r>
      <w:r>
        <w:t>т</w:t>
      </w:r>
      <w:r>
        <w:t>ся низкий уровень клетчатки в рационе, приводящий к капростазам, нак</w:t>
      </w:r>
      <w:r>
        <w:t>о</w:t>
      </w:r>
      <w:r>
        <w:t>плению в кишечнике эндотоксинов кишечной палочки, всасыванием их в кровяное русло и развитию субклинического мастита.</w:t>
      </w:r>
    </w:p>
    <w:p w:rsidR="00F4654E" w:rsidRDefault="00F4654E">
      <w:pPr>
        <w:pStyle w:val="a6"/>
      </w:pPr>
      <w:r>
        <w:t>Опыт по воспроизведению мастита у свиноматок с использованием эндотоксина эшерихий серовара 08 К-88 показал, что его внутривыменное введение в дозе 25-800 мкг приводит к развитию субклинического мастита не только в той  доле молочной железы, в которую введен эндотоксин, но и в других. Причем с увеличением дозы эндотоксина повышается степень пораженности долей молочной железы субклиническим маститом и от</w:t>
      </w:r>
      <w:r>
        <w:t>я</w:t>
      </w:r>
      <w:r>
        <w:t>гощается течение патологического процесса.</w:t>
      </w:r>
    </w:p>
    <w:p w:rsidR="00F4654E" w:rsidRDefault="00F4654E">
      <w:pPr>
        <w:pStyle w:val="a6"/>
      </w:pPr>
      <w:r>
        <w:t>Исследования показали, что эндотоксины эшерихий могут поступать в молочную железу из матки свиней при развитии в ней воспалительного процесса (при ММА у свиноматок эшерихии изолируются в 80-87% случ</w:t>
      </w:r>
      <w:r>
        <w:t>а</w:t>
      </w:r>
      <w:r>
        <w:t>ев), из кишечника при запорах, а также при развитии воспаления в тканях молочной железы.</w:t>
      </w:r>
    </w:p>
    <w:p w:rsidR="00F4654E" w:rsidRDefault="00F4654E">
      <w:pPr>
        <w:pStyle w:val="a6"/>
      </w:pPr>
      <w:r>
        <w:t>Профилактика нарушений лактации у свиноматок должна осущест</w:t>
      </w:r>
      <w:r>
        <w:t>в</w:t>
      </w:r>
      <w:r>
        <w:t>ляться с учетом их непосредственных  причин. В основу их профилактики должно быть положено выполнение технологических требований по кор</w:t>
      </w:r>
      <w:r>
        <w:t>м</w:t>
      </w:r>
      <w:r>
        <w:t>лению и содержанию свиноматок, соблюдение ветеринарно-санитарных требований при подготовке и проведении опоросов, своевременное выя</w:t>
      </w:r>
      <w:r>
        <w:t>в</w:t>
      </w:r>
      <w:r>
        <w:t>ление больных животных и их соответствующее лечение и т.п.</w:t>
      </w:r>
    </w:p>
    <w:p w:rsidR="00F4654E" w:rsidRDefault="00F4654E">
      <w:pPr>
        <w:pStyle w:val="a4"/>
      </w:pPr>
      <w:r>
        <w:t>УДК 619:616:084-053.2.636</w:t>
      </w:r>
    </w:p>
    <w:p w:rsidR="00F4654E" w:rsidRDefault="00F4654E">
      <w:pPr>
        <w:pStyle w:val="1"/>
      </w:pPr>
      <w:bookmarkStart w:id="66" w:name="_Toc10731422"/>
      <w:bookmarkStart w:id="67" w:name="_Toc11137855"/>
      <w:bookmarkStart w:id="68" w:name="_Toc11138273"/>
      <w:bookmarkStart w:id="69" w:name="_Toc11138691"/>
      <w:bookmarkStart w:id="70" w:name="_Toc11139109"/>
      <w:bookmarkStart w:id="71" w:name="_Toc11139527"/>
      <w:bookmarkStart w:id="72" w:name="_Toc11139945"/>
      <w:bookmarkStart w:id="73" w:name="_Toc11140363"/>
      <w:bookmarkStart w:id="74" w:name="_Toc11390041"/>
      <w:bookmarkStart w:id="75" w:name="_Toc11839720"/>
      <w:bookmarkStart w:id="76" w:name="_Toc11937256"/>
      <w:r>
        <w:t>АУТОИММУННАЯ ДИСПЕПСИЯ МОЛОДНЯКА</w:t>
      </w:r>
      <w:bookmarkEnd w:id="66"/>
      <w:bookmarkEnd w:id="67"/>
      <w:bookmarkEnd w:id="68"/>
      <w:bookmarkEnd w:id="69"/>
      <w:bookmarkEnd w:id="70"/>
      <w:bookmarkEnd w:id="71"/>
      <w:bookmarkEnd w:id="72"/>
      <w:bookmarkEnd w:id="73"/>
      <w:bookmarkEnd w:id="74"/>
      <w:bookmarkEnd w:id="75"/>
      <w:bookmarkEnd w:id="76"/>
    </w:p>
    <w:p w:rsidR="00F4654E" w:rsidRDefault="00F4654E">
      <w:pPr>
        <w:pStyle w:val="2"/>
      </w:pPr>
      <w:bookmarkStart w:id="77" w:name="_Toc10731423"/>
      <w:bookmarkStart w:id="78" w:name="_Toc11032290"/>
      <w:bookmarkStart w:id="79" w:name="_Toc11137856"/>
      <w:bookmarkStart w:id="80" w:name="_Toc11138274"/>
      <w:bookmarkStart w:id="81" w:name="_Toc11138692"/>
      <w:bookmarkStart w:id="82" w:name="_Toc11139110"/>
      <w:bookmarkStart w:id="83" w:name="_Toc11139528"/>
      <w:bookmarkStart w:id="84" w:name="_Toc11139946"/>
      <w:bookmarkStart w:id="85" w:name="_Toc11140364"/>
      <w:bookmarkStart w:id="86" w:name="_Toc11390042"/>
      <w:bookmarkStart w:id="87" w:name="_Toc11937257"/>
      <w:r>
        <w:t>Муралинов К.К., Саттарова Р.С., Оспанкулов А.К.</w:t>
      </w:r>
      <w:bookmarkEnd w:id="77"/>
      <w:bookmarkEnd w:id="78"/>
      <w:bookmarkEnd w:id="79"/>
      <w:bookmarkEnd w:id="80"/>
      <w:bookmarkEnd w:id="81"/>
      <w:bookmarkEnd w:id="82"/>
      <w:bookmarkEnd w:id="83"/>
      <w:bookmarkEnd w:id="84"/>
      <w:bookmarkEnd w:id="85"/>
      <w:bookmarkEnd w:id="86"/>
      <w:bookmarkEnd w:id="87"/>
    </w:p>
    <w:p w:rsidR="00F4654E" w:rsidRDefault="00F4654E">
      <w:pPr>
        <w:pStyle w:val="a5"/>
      </w:pPr>
      <w:r>
        <w:t>Казахский национальный аграрный университет</w:t>
      </w:r>
    </w:p>
    <w:p w:rsidR="00F4654E" w:rsidRDefault="00F4654E">
      <w:pPr>
        <w:pStyle w:val="a6"/>
      </w:pPr>
      <w:r>
        <w:t>Аутоиммунная диспепсия - заболевание молодняка, развивающееся в результате действия врожденных факторов аутоиммунизации организма или поступающих новорожденным колостральным путем. Одним из о</w:t>
      </w:r>
      <w:r>
        <w:t>с</w:t>
      </w:r>
      <w:r>
        <w:t>новных причин возникновения аутоиммунной диспепсии является болезни маточного поголовья как незаразной, так и инфекционной этиологии, с</w:t>
      </w:r>
      <w:r>
        <w:t>о</w:t>
      </w:r>
      <w:r>
        <w:t xml:space="preserve">провождающиеся возникновением деструкции тканей или клеток органов и систем, и развития у них аутоиммунных реакций. </w:t>
      </w:r>
    </w:p>
    <w:p w:rsidR="00F4654E" w:rsidRDefault="00F4654E">
      <w:pPr>
        <w:pStyle w:val="a6"/>
      </w:pPr>
      <w:r>
        <w:t xml:space="preserve">В результате сенсибилизации организма новорожденного молодняка развиваются аутоиммунные реакции, сопровождающиеся образованием сенсибилизированных лимфоцитов и аутоантигенов, которые блокируют и разрушают клетки, ингибируют паренхиму, пищеварительные ферменты, </w:t>
      </w:r>
      <w:r>
        <w:lastRenderedPageBreak/>
        <w:t>нарушают полостное и мембранное пищеварение. При иммуноцитохим</w:t>
      </w:r>
      <w:r>
        <w:t>и</w:t>
      </w:r>
      <w:r>
        <w:t>ческом исследовании на клетках паренхимы пораженных органов выявл</w:t>
      </w:r>
      <w:r>
        <w:t>я</w:t>
      </w:r>
      <w:r>
        <w:t>ются аутоантитела, а строма их инфильтрирована лимфоцитами, гистиоц</w:t>
      </w:r>
      <w:r>
        <w:t>и</w:t>
      </w:r>
      <w:r>
        <w:t>тами и эозинофилами. При нарушении обмена веществ выраженные аут</w:t>
      </w:r>
      <w:r>
        <w:t>о</w:t>
      </w:r>
      <w:r>
        <w:t xml:space="preserve">иммунные процессы развиваются в поджелудочной железе и печени, при кормовых интоксикациях – в сычуге, тонком отделе кишечника и печени. </w:t>
      </w:r>
    </w:p>
    <w:p w:rsidR="00F4654E" w:rsidRDefault="00F4654E">
      <w:pPr>
        <w:pStyle w:val="a6"/>
      </w:pPr>
      <w:r>
        <w:t>Специфические средства лечения и превентизации аутоиммунной диспепсии в настоящее время не разработаны. Рекомендуемые методы т</w:t>
      </w:r>
      <w:r>
        <w:t>е</w:t>
      </w:r>
      <w:r>
        <w:t>рапии являются малоэффективными и не направлены на устранение эти</w:t>
      </w:r>
      <w:r>
        <w:t>о</w:t>
      </w:r>
      <w:r>
        <w:t>логических факторов возникновения аутоиммунной патологии. Для уст</w:t>
      </w:r>
      <w:r>
        <w:t>а</w:t>
      </w:r>
      <w:r>
        <w:t>новления факторов, обуславливающих возникновение аутоиммунных б</w:t>
      </w:r>
      <w:r>
        <w:t>о</w:t>
      </w:r>
      <w:r>
        <w:t>лезней у новорожденных телят, были проведены диагностические иссл</w:t>
      </w:r>
      <w:r>
        <w:t>е</w:t>
      </w:r>
      <w:r>
        <w:t>дования у глубоко стельных и отелившихся 64 коров. С этой целью у ж</w:t>
      </w:r>
      <w:r>
        <w:t>и</w:t>
      </w:r>
      <w:r>
        <w:t>вотных проводились исследования сыворотки крови и молозива на нал</w:t>
      </w:r>
      <w:r>
        <w:t>и</w:t>
      </w:r>
      <w:r>
        <w:t>чие в них аутоантител.</w:t>
      </w:r>
    </w:p>
    <w:p w:rsidR="00F4654E" w:rsidRDefault="00F4654E">
      <w:pPr>
        <w:pStyle w:val="a6"/>
      </w:pPr>
      <w:r>
        <w:t>Результатами исследования аутоантитела были выявлены в молозиве у 42 и в сыворотке крови у 35 животных. Титры аутоантител в РПК в м</w:t>
      </w:r>
      <w:r>
        <w:t>о</w:t>
      </w:r>
      <w:r>
        <w:t>лозиве составили у 12 коров 1:320, у 18-х 1:160, у 9-х-1:80 и у 3 голов-1:40. В сыворотке крови титры аутоантител у 17 коров были 1:160, у 11 -1:80 и у 8 -1:40.</w:t>
      </w:r>
    </w:p>
    <w:p w:rsidR="00F4654E" w:rsidRDefault="00F4654E">
      <w:pPr>
        <w:pStyle w:val="a6"/>
      </w:pPr>
      <w:r>
        <w:tab/>
        <w:t>При исследовании 92 овцематок аутоантитела выявлены в молозиве у 65, а в сыворотке крови у 52 животных. аутоантител в молозиве у 27 о</w:t>
      </w:r>
      <w:r>
        <w:t>в</w:t>
      </w:r>
      <w:r>
        <w:t>цематок составили 1:320, у 15 – 1:160, у 9 - 1:80 и у 14 - 1:40. Титры аут</w:t>
      </w:r>
      <w:r>
        <w:t>о</w:t>
      </w:r>
      <w:r>
        <w:t xml:space="preserve">антител в сыворотке крови составили у 28 овцематок - 1:160, у 17 - 1:80, у 7 –  1:40. </w:t>
      </w:r>
    </w:p>
    <w:p w:rsidR="00F4654E" w:rsidRDefault="00F4654E">
      <w:pPr>
        <w:pStyle w:val="a6"/>
      </w:pPr>
      <w:r>
        <w:t>Целью наших последующих исследований явилось определение орг</w:t>
      </w:r>
      <w:r>
        <w:t>а</w:t>
      </w:r>
      <w:r>
        <w:t xml:space="preserve">носпецифичности аутоантител, выявленных в молозиве и сыворотке крови у глубокостельных и отелившихся коров. </w:t>
      </w:r>
    </w:p>
    <w:p w:rsidR="00F4654E" w:rsidRDefault="00F4654E">
      <w:pPr>
        <w:pStyle w:val="a6"/>
      </w:pPr>
      <w:r>
        <w:t>Исследованием молозива от 84 глубокостельных коров, аутоантитела против мышц были обнаружены в РПК в 4 и в РНГА в 6 случаях. Исслед</w:t>
      </w:r>
      <w:r>
        <w:t>о</w:t>
      </w:r>
      <w:r>
        <w:t>ванием молозива от 75 коров, аутоантитела против легких были устано</w:t>
      </w:r>
      <w:r>
        <w:t>в</w:t>
      </w:r>
      <w:r>
        <w:t xml:space="preserve">лены в РДП в 21, РПК – 27 и в РНГА 36 случаях. Исследованием молозива от 75 коров, аутоантитела против печени были установлены в РДП в 19, РПК – в 24 и в РНГА - в 31 случаях. Исследованием молозива от 45 коров, аутоантитела против сычуга были обнаружены в РДП в 18, РПК – в 22 и в РНГА - в 27 случаях. Исследованием молозива от 49 коров, аутоантитела против тонкой кишки были установлены в РДП в 16, РПК – в 18 и в РНГА - в 23 случаях. Исследованием молозива от 53 коров, аутоантитела против вымени были обнаружены в РДП в 8, в РПК – в 11 и в РНГА - в 16 случаях. </w:t>
      </w:r>
    </w:p>
    <w:p w:rsidR="00F4654E" w:rsidRDefault="00F4654E">
      <w:pPr>
        <w:pStyle w:val="a6"/>
      </w:pPr>
      <w:r>
        <w:t>Исследованием молозива от 57 коров, аутоантитела против матки б</w:t>
      </w:r>
      <w:r>
        <w:t>ы</w:t>
      </w:r>
      <w:r>
        <w:t>ли установлены в РДП в 22, РПК – в 25 и в РНГА – в 29 случаях. Исслед</w:t>
      </w:r>
      <w:r>
        <w:t>о</w:t>
      </w:r>
      <w:r>
        <w:t>ванием молозива от 47 коров, аутоантитела против селезенки были уст</w:t>
      </w:r>
      <w:r>
        <w:t>а</w:t>
      </w:r>
      <w:r>
        <w:t xml:space="preserve">новлены в РДП в 4, РПК – в 6 и в РНГА – в 9 случаях. </w:t>
      </w:r>
    </w:p>
    <w:p w:rsidR="00F4654E" w:rsidRDefault="00F4654E">
      <w:pPr>
        <w:pStyle w:val="a6"/>
      </w:pPr>
      <w:r>
        <w:lastRenderedPageBreak/>
        <w:t>Из анализа результатов проведенных диагностических исследований следует, что патологические процессы, происходящие в организме у м</w:t>
      </w:r>
      <w:r>
        <w:t>а</w:t>
      </w:r>
      <w:r>
        <w:t>точного поголовья, обуславливают появление у них аутоантител к пор</w:t>
      </w:r>
      <w:r>
        <w:t>а</w:t>
      </w:r>
      <w:r>
        <w:t xml:space="preserve">женным органам. </w:t>
      </w:r>
    </w:p>
    <w:p w:rsidR="00F4654E" w:rsidRDefault="00F4654E">
      <w:pPr>
        <w:pStyle w:val="a6"/>
      </w:pPr>
      <w:r>
        <w:t>С целью установления механизма возникновения и развития аутои</w:t>
      </w:r>
      <w:r>
        <w:t>м</w:t>
      </w:r>
      <w:r>
        <w:t>мунной диспепсии у новорожденных телят, у них были проведены имм</w:t>
      </w:r>
      <w:r>
        <w:t>у</w:t>
      </w:r>
      <w:r>
        <w:t>нологические исследования сыворотки периферической крови, начиная от рождения и в течение 21 дня. У новорожденных телят, до выпойки им м</w:t>
      </w:r>
      <w:r>
        <w:t>о</w:t>
      </w:r>
      <w:r>
        <w:t>лозива, аутоантитела в крови не обнаруживались, и выявлялись через 3-8 часов после выпаивания им молозива в титрах от 1:40 до 1:160. Спустя 24 часа, у всех подопытных телят происходило постепенное снижение титров аутоантител по сравнению с первоначальным уровнем. На 3 – 5-е дни у т</w:t>
      </w:r>
      <w:r>
        <w:t>е</w:t>
      </w:r>
      <w:r>
        <w:t>лят, получивших молозиво с содержанием аутоантител в титрах до 1:40, аутоантитела не выявлялись. У телят получавших молозиво с аутоантит</w:t>
      </w:r>
      <w:r>
        <w:t>е</w:t>
      </w:r>
      <w:r>
        <w:t>лами в титре до 1:80, титры аутоантител в сыворотке крови составили 1:40. У телят получавших молозиво, содержащее аутоантитела в титре до 1:160, титры аутоантител в сыворотке крови составили 1:80 – 1:40.</w:t>
      </w:r>
    </w:p>
    <w:p w:rsidR="00F4654E" w:rsidRDefault="00F4654E">
      <w:pPr>
        <w:pStyle w:val="a6"/>
      </w:pPr>
      <w:r>
        <w:t xml:space="preserve">Исследованиями, проведенными на 7-ой день у телят, получивших молозиво, содержащее аутоантитела в титре 1:160, титры аутоантител в сыворотке крови были в пределах от 1:80 до 1:40, у других подопытных телят аутоантитела не выявлены. Исследованиями, проведенными на 14-ый день, у всех подопытных телят титры аутоантител были от 1:40 и ниже, на 21-й день аутоантитела не выявлялись. </w:t>
      </w:r>
    </w:p>
    <w:p w:rsidR="00F4654E" w:rsidRDefault="00F4654E">
      <w:pPr>
        <w:pStyle w:val="a6"/>
      </w:pPr>
      <w:r>
        <w:t>У  телят, получавших молозиво, содержащее аутоантитела в титрах до 1:40, клинических проявлении аутоиммунной диспепсии не наблюдалось. У телят, которым выпаивалось молозиво, содержащее аутоантитела в ти</w:t>
      </w:r>
      <w:r>
        <w:t>т</w:t>
      </w:r>
      <w:r>
        <w:t>рах 1:80, уже в первые сутки жизни наблюдалось признаками аутоимму</w:t>
      </w:r>
      <w:r>
        <w:t>н</w:t>
      </w:r>
      <w:r>
        <w:t>ной диспепсии. У больных телят наблюдалась диарея, животные были ап</w:t>
      </w:r>
      <w:r>
        <w:t>а</w:t>
      </w:r>
      <w:r>
        <w:t>тичны, аппетит пониженный, отмечался рефлекторный кашель, болезне</w:t>
      </w:r>
      <w:r>
        <w:t>н</w:t>
      </w:r>
      <w:r>
        <w:t>ность при пальпации в области живота, серозные, серозно-фибринозные или гнойные истечения из глаз и носовых отверстии. Больные животные подолгу лежали, впадали в коматозное состояние, наблюдались судороги и плавательные движения. Летальность среди больных аутоиммунной ди</w:t>
      </w:r>
      <w:r>
        <w:t>с</w:t>
      </w:r>
      <w:r>
        <w:t xml:space="preserve">пепсией животных составляла по нашим наблюдениям от 25 – 57 %. </w:t>
      </w:r>
    </w:p>
    <w:p w:rsidR="00F4654E" w:rsidRDefault="00F4654E">
      <w:pPr>
        <w:pStyle w:val="a6"/>
      </w:pPr>
      <w:r>
        <w:t>При вскрытии у павших животных в грудной и брюшной полостях было обнаружено скопление кровянистого экссудата вязкой консистенций. Лимфатические узлы были увеличены, в них отмечались гиперпластич</w:t>
      </w:r>
      <w:r>
        <w:t>е</w:t>
      </w:r>
      <w:r>
        <w:t>ские процессы. В сычуге, преджелудках и тонких отделах кишок обши</w:t>
      </w:r>
      <w:r>
        <w:t>р</w:t>
      </w:r>
      <w:r>
        <w:t>ные геморрагии и очаги некроза.</w:t>
      </w:r>
    </w:p>
    <w:p w:rsidR="00F4654E" w:rsidRDefault="00F4654E">
      <w:pPr>
        <w:pStyle w:val="a6"/>
      </w:pPr>
      <w:r>
        <w:t>Проведенными исследованиями была установлена возможность во</w:t>
      </w:r>
      <w:r>
        <w:t>з</w:t>
      </w:r>
      <w:r>
        <w:t>никновения аутоиммунной диспепсии новорожденного молодняка через молозиво матери, что обусловлено физиологическим состоянием желудо</w:t>
      </w:r>
      <w:r>
        <w:t>ч</w:t>
      </w:r>
      <w:r>
        <w:lastRenderedPageBreak/>
        <w:t xml:space="preserve">но-кишечного тракта новорожденных, когда у них в первые часы после рождения происходит всасывание в кровь иммуноглобулинов молозива. </w:t>
      </w:r>
    </w:p>
    <w:p w:rsidR="00F4654E" w:rsidRDefault="00F4654E">
      <w:pPr>
        <w:pStyle w:val="a4"/>
      </w:pPr>
      <w:r>
        <w:t>УДК 619:618.6/7.:636.2.082.4:616.9</w:t>
      </w:r>
    </w:p>
    <w:p w:rsidR="00F4654E" w:rsidRDefault="00F4654E">
      <w:pPr>
        <w:pStyle w:val="1"/>
      </w:pPr>
      <w:bookmarkStart w:id="88" w:name="_Toc10731456"/>
      <w:bookmarkStart w:id="89" w:name="_Toc11137893"/>
      <w:bookmarkStart w:id="90" w:name="_Toc11138311"/>
      <w:bookmarkStart w:id="91" w:name="_Toc11138729"/>
      <w:bookmarkStart w:id="92" w:name="_Toc11139147"/>
      <w:bookmarkStart w:id="93" w:name="_Toc11139565"/>
      <w:bookmarkStart w:id="94" w:name="_Toc11139983"/>
      <w:bookmarkStart w:id="95" w:name="_Toc11140401"/>
      <w:bookmarkStart w:id="96" w:name="_Toc11390043"/>
      <w:bookmarkStart w:id="97" w:name="_Toc11839722"/>
      <w:bookmarkStart w:id="98" w:name="_Toc11937258"/>
      <w:r>
        <w:t>ВОСПРОИЗВОДИТЕЛЬНАЯ СПОСОБНОСТЬ И ПЕРИНАТАЛЬНАЯ ПАТОЛОГИЯ У КОРОВ В СВЯЗИ С ИММУНОПРОФИЛАКТИКОЙ ИНФЕКЦИОННЫХ БОЛЕЗНЕЙ</w:t>
      </w:r>
      <w:bookmarkEnd w:id="88"/>
      <w:bookmarkEnd w:id="89"/>
      <w:bookmarkEnd w:id="90"/>
      <w:bookmarkEnd w:id="91"/>
      <w:bookmarkEnd w:id="92"/>
      <w:bookmarkEnd w:id="93"/>
      <w:bookmarkEnd w:id="94"/>
      <w:bookmarkEnd w:id="95"/>
      <w:bookmarkEnd w:id="96"/>
      <w:bookmarkEnd w:id="97"/>
      <w:bookmarkEnd w:id="98"/>
    </w:p>
    <w:p w:rsidR="00F4654E" w:rsidRDefault="00F4654E">
      <w:pPr>
        <w:pStyle w:val="2"/>
      </w:pPr>
      <w:bookmarkStart w:id="99" w:name="_Toc10731457"/>
      <w:bookmarkStart w:id="100" w:name="_Toc11032309"/>
      <w:bookmarkStart w:id="101" w:name="_Toc11137894"/>
      <w:bookmarkStart w:id="102" w:name="_Toc11138312"/>
      <w:bookmarkStart w:id="103" w:name="_Toc11138730"/>
      <w:bookmarkStart w:id="104" w:name="_Toc11139148"/>
      <w:bookmarkStart w:id="105" w:name="_Toc11139566"/>
      <w:bookmarkStart w:id="106" w:name="_Toc11139984"/>
      <w:bookmarkStart w:id="107" w:name="_Toc11140402"/>
      <w:bookmarkStart w:id="108" w:name="_Toc11390044"/>
      <w:bookmarkStart w:id="109" w:name="_Toc11937259"/>
      <w:r>
        <w:t>Нежданов А.Г., Мануйлов А.В.</w:t>
      </w:r>
      <w:bookmarkEnd w:id="99"/>
      <w:bookmarkEnd w:id="100"/>
      <w:bookmarkEnd w:id="101"/>
      <w:bookmarkEnd w:id="102"/>
      <w:bookmarkEnd w:id="103"/>
      <w:bookmarkEnd w:id="104"/>
      <w:bookmarkEnd w:id="105"/>
      <w:bookmarkEnd w:id="106"/>
      <w:bookmarkEnd w:id="107"/>
      <w:bookmarkEnd w:id="108"/>
      <w:bookmarkEnd w:id="109"/>
    </w:p>
    <w:p w:rsidR="00F4654E" w:rsidRDefault="00F4654E">
      <w:pPr>
        <w:pStyle w:val="a5"/>
      </w:pPr>
      <w:r>
        <w:t>Воронежский государственный аграрный  университет им. К.Д. Глинки</w:t>
      </w:r>
    </w:p>
    <w:p w:rsidR="00F4654E" w:rsidRDefault="00F4654E">
      <w:pPr>
        <w:pStyle w:val="a6"/>
      </w:pPr>
      <w:r>
        <w:t>Среди многих причин низких темпов воспроизводства крупного рог</w:t>
      </w:r>
      <w:r>
        <w:t>а</w:t>
      </w:r>
      <w:r>
        <w:t>того скота значительное место занимают потери, связанные с нарушением процессов оплодотворения, формирования беременности, а также с масс</w:t>
      </w:r>
      <w:r>
        <w:t>о</w:t>
      </w:r>
      <w:r>
        <w:t>выми проявлениями патологии родов и послеродового периода у коров и желудочно-кишечных заболеваний у новорождённых телят.</w:t>
      </w:r>
    </w:p>
    <w:p w:rsidR="00F4654E" w:rsidRDefault="00F4654E">
      <w:pPr>
        <w:pStyle w:val="a6"/>
      </w:pPr>
      <w:r>
        <w:t>В разрешении данной проблемы большое значение должны иметь и</w:t>
      </w:r>
      <w:r>
        <w:t>с</w:t>
      </w:r>
      <w:r>
        <w:t>следования, относящиеся к иммунологии размножения животных. В этой связи целью настоящей работы было выяснение роли иммунного статуса организма коров в процессах формирования беременности и влияния на них его изменений, связанных с введением вакцинных антигенов.</w:t>
      </w:r>
    </w:p>
    <w:p w:rsidR="00F4654E" w:rsidRDefault="00F4654E">
      <w:pPr>
        <w:pStyle w:val="a6"/>
      </w:pPr>
      <w:r>
        <w:t xml:space="preserve">Выявлено, что оплодотворение у коров, как правило, происходит на фоне высоких показателей иммунологической реактивности. В этот период у них, в сравнении с оставшимися бесплодными животными, отмечается более высокое содержание нейтрофилов, эозинофилов, лимфоцитов, </w:t>
      </w:r>
      <w:r>
        <w:sym w:font="Symbol" w:char="F061"/>
      </w:r>
      <w:r>
        <w:t>-гло-булинов, общих иммуноглобулинов.</w:t>
      </w:r>
    </w:p>
    <w:p w:rsidR="00F4654E" w:rsidRDefault="00F4654E">
      <w:pPr>
        <w:pStyle w:val="a6"/>
      </w:pPr>
      <w:r>
        <w:t xml:space="preserve"> В период имплантации в крови оплодотворившихся коров отмечается снижение общего количества лейкоцитов, сегментоядерных нейтрофилов, их фагоцитарной активности, концентрации общего белка, </w:t>
      </w:r>
      <w:r>
        <w:sym w:font="Symbol" w:char="F061"/>
      </w:r>
      <w:r>
        <w:t>-глобулинов, общих иммуноглобулинов, показателей бактерицидной активности сыв</w:t>
      </w:r>
      <w:r>
        <w:t>о</w:t>
      </w:r>
      <w:r>
        <w:t>ротки крови на фоне повышения количества эритроцитов и гемоглобина, палочкоядерных нейтрофилов.</w:t>
      </w:r>
    </w:p>
    <w:p w:rsidR="00F4654E" w:rsidRDefault="00F4654E">
      <w:pPr>
        <w:pStyle w:val="a6"/>
      </w:pPr>
      <w:r>
        <w:t>У коров, оставшихся бесплодными, в этот период в крови отмечается повышение количества лейкоцитов и их фагоцитарной активности, соде</w:t>
      </w:r>
      <w:r>
        <w:t>р</w:t>
      </w:r>
      <w:r>
        <w:t xml:space="preserve">жания </w:t>
      </w:r>
      <w:r>
        <w:sym w:font="Symbol" w:char="F062"/>
      </w:r>
      <w:r>
        <w:t>-глобулинов, показателей БАС на фоне некоторого снижения ко</w:t>
      </w:r>
      <w:r>
        <w:t>н</w:t>
      </w:r>
      <w:r>
        <w:t>центрации гемоглобина, общих иммуноглобулинов, циркулирующих и</w:t>
      </w:r>
      <w:r>
        <w:t>м</w:t>
      </w:r>
      <w:r>
        <w:t>мунных комплексов и уменьшения их размеров.</w:t>
      </w:r>
    </w:p>
    <w:p w:rsidR="00F4654E" w:rsidRDefault="00F4654E">
      <w:pPr>
        <w:pStyle w:val="a6"/>
      </w:pPr>
      <w:r>
        <w:t>Следовательно, нормальное течение процессов оплодотворения и и</w:t>
      </w:r>
      <w:r>
        <w:t>м</w:t>
      </w:r>
      <w:r>
        <w:t>мунотрофического взаимодействия организма коров с формирующимся зародышем обеспечивается высокой иммунологической реактивностью о</w:t>
      </w:r>
      <w:r>
        <w:t>р</w:t>
      </w:r>
      <w:r>
        <w:t>ганизма животных в период их осеменения. Периоду имплантации у таких животных свойственно снижение показателей иммунологической реакти</w:t>
      </w:r>
      <w:r>
        <w:t>в</w:t>
      </w:r>
      <w:r>
        <w:t>ности, связанное, по-видимому, с действием иммунодепрессивных э</w:t>
      </w:r>
      <w:r>
        <w:t>м</w:t>
      </w:r>
      <w:r>
        <w:t xml:space="preserve">бриональных факторов. У оставшихся бесплодными животных к периоду </w:t>
      </w:r>
      <w:r>
        <w:lastRenderedPageBreak/>
        <w:t>имплантации, напротив, отмечается активизация иммунобиологической реактивности организма. Надо полагать, что пониженная реактивность о</w:t>
      </w:r>
      <w:r>
        <w:t>р</w:t>
      </w:r>
      <w:r>
        <w:t>ганизма коров во время осеменения и, наоборот, повышенная в период и</w:t>
      </w:r>
      <w:r>
        <w:t>м</w:t>
      </w:r>
      <w:r>
        <w:t>плантации, является одной из причин низкой оплодотворяемости живо</w:t>
      </w:r>
      <w:r>
        <w:t>т</w:t>
      </w:r>
      <w:r>
        <w:t>ных, а также высоких пренатальных потерь на ранних стадиях развития з</w:t>
      </w:r>
      <w:r>
        <w:t>а</w:t>
      </w:r>
      <w:r>
        <w:t>родыша.</w:t>
      </w:r>
    </w:p>
    <w:p w:rsidR="00F4654E" w:rsidRDefault="00F4654E">
      <w:pPr>
        <w:pStyle w:val="a6"/>
      </w:pPr>
      <w:r>
        <w:t>В процессе становления беременности показатели клеточной и гум</w:t>
      </w:r>
      <w:r>
        <w:t>о</w:t>
      </w:r>
      <w:r>
        <w:t>ральной защиты у коров изменяются по периодам развития эмбриона и плода. Значительное усиление иммунного ответа материнского организма на антигены плода отмечается в период формирования фетоплацентарного комплекса и на заключительном этапе беременности.</w:t>
      </w:r>
    </w:p>
    <w:p w:rsidR="00F4654E" w:rsidRDefault="00F4654E">
      <w:pPr>
        <w:pStyle w:val="a6"/>
      </w:pPr>
      <w:r>
        <w:t>У коров с фетоплацентарной недостаточностью, проявляющейся в п</w:t>
      </w:r>
      <w:r>
        <w:t>о</w:t>
      </w:r>
      <w:r>
        <w:t>следующем патологией родов, послеродового периода и низкой жизнесп</w:t>
      </w:r>
      <w:r>
        <w:t>о</w:t>
      </w:r>
      <w:r>
        <w:t xml:space="preserve">собностью новорожденных телят, беременность протекает, во-первых, на фоне гипоксии, о чем свидетельствует пониженное содержание в крови эритроцитов и гемоглобина. Во-вторых, для таких животных характерным являются высокие показатели содержания в крови </w:t>
      </w:r>
      <w:r>
        <w:sym w:font="Symbol" w:char="F062"/>
      </w:r>
      <w:r>
        <w:t xml:space="preserve">- и </w:t>
      </w:r>
      <w:r>
        <w:sym w:font="Symbol" w:char="F067"/>
      </w:r>
      <w:r>
        <w:t>- глобулинов. о</w:t>
      </w:r>
      <w:r>
        <w:t>б</w:t>
      </w:r>
      <w:r>
        <w:t>щих иммуноглобулинов, лейкоцитов и их фагоцитарной активности. Это свидетельствует о напряжении иммунных взаимоотношений между орг</w:t>
      </w:r>
      <w:r>
        <w:t>а</w:t>
      </w:r>
      <w:r>
        <w:t>низмом матери и развивающимся плодом. Активный иммунный ответ, свойственный периоду оплодотворения, в дальнейшем не сменяется угн</w:t>
      </w:r>
      <w:r>
        <w:t>е</w:t>
      </w:r>
      <w:r>
        <w:t>тением многих клеточных и гуморальных реакций на внутриутробно ра</w:t>
      </w:r>
      <w:r>
        <w:t>з</w:t>
      </w:r>
      <w:r>
        <w:t>вивающийся зародыш и плод, присущих физиологически протекающей б</w:t>
      </w:r>
      <w:r>
        <w:t>е</w:t>
      </w:r>
      <w:r>
        <w:t>ременности.</w:t>
      </w:r>
    </w:p>
    <w:p w:rsidR="00F4654E" w:rsidRDefault="00F4654E">
      <w:pPr>
        <w:pStyle w:val="a6"/>
      </w:pPr>
      <w:r>
        <w:t>Надо полагать, что высокая иммунологическая реактивность органи</w:t>
      </w:r>
      <w:r>
        <w:t>з</w:t>
      </w:r>
      <w:r>
        <w:t>ма коров во время формирования и развития плода свидетельствует об о</w:t>
      </w:r>
      <w:r>
        <w:t>т</w:t>
      </w:r>
      <w:r>
        <w:t>сутствии адекватных взаимоотношений в системе мать-плацента-плод, н</w:t>
      </w:r>
      <w:r>
        <w:t>е</w:t>
      </w:r>
      <w:r>
        <w:t>достаточной взаимной толерантности между двумя организмами. В основе нарушений этих взаимоотношений, по-видимому, лежит как функционал</w:t>
      </w:r>
      <w:r>
        <w:t>ь</w:t>
      </w:r>
      <w:r>
        <w:t>ная недостаточность развивающегося зародыша и плода и слабость исх</w:t>
      </w:r>
      <w:r>
        <w:t>о</w:t>
      </w:r>
      <w:r>
        <w:t>дящего от них иммуноблокирующего сигнала, так и недостаточная чувс</w:t>
      </w:r>
      <w:r>
        <w:t>т</w:t>
      </w:r>
      <w:r>
        <w:t>вительность иммунной системы матери к иммуноблокирующему действию фетальных иммунодепрессивных протеинов, неспособность ее перестр</w:t>
      </w:r>
      <w:r>
        <w:t>о</w:t>
      </w:r>
      <w:r>
        <w:t>иться в сторону блокирования иммунной реакции на формирующийся з</w:t>
      </w:r>
      <w:r>
        <w:t>а</w:t>
      </w:r>
      <w:r>
        <w:t>родыш и плод. В конечном итоге такие взаимоотношения в системе мать-плод заканчиваются клинически выраженным проявлением патологии р</w:t>
      </w:r>
      <w:r>
        <w:t>о</w:t>
      </w:r>
      <w:r>
        <w:t>дового акта и послеродового периода.</w:t>
      </w:r>
    </w:p>
    <w:p w:rsidR="00F4654E" w:rsidRDefault="00F4654E">
      <w:pPr>
        <w:pStyle w:val="a6"/>
      </w:pPr>
      <w:r>
        <w:t>Исходя из полученных данных, было высказано предположение, что изменение иммунного статуса в организме животных во время беременн</w:t>
      </w:r>
      <w:r>
        <w:t>о</w:t>
      </w:r>
      <w:r>
        <w:t>сти в сторону его специфической активизации (что наблюдается при вв</w:t>
      </w:r>
      <w:r>
        <w:t>е</w:t>
      </w:r>
      <w:r>
        <w:t>дении животным вакцинных антигенов), не может сказаться на рефракте</w:t>
      </w:r>
      <w:r>
        <w:t>р</w:t>
      </w:r>
      <w:r>
        <w:t xml:space="preserve">ности развивающегося зародыша и плода и на взаимной толерантности его </w:t>
      </w:r>
      <w:r>
        <w:lastRenderedPageBreak/>
        <w:t>организма и организма матери, а, в конечном итоге, на нормальном фун</w:t>
      </w:r>
      <w:r>
        <w:t>к</w:t>
      </w:r>
      <w:r>
        <w:t>ционировании ее репродуктивной системы.</w:t>
      </w:r>
    </w:p>
    <w:p w:rsidR="00F4654E" w:rsidRDefault="00F4654E">
      <w:pPr>
        <w:pStyle w:val="a6"/>
      </w:pPr>
      <w:r>
        <w:t>Эти суждения послужили основанием для дальнейших научных и</w:t>
      </w:r>
      <w:r>
        <w:t>с</w:t>
      </w:r>
      <w:r>
        <w:t>следований по выяснению влияния вакцинных антигенов (бактериальной и вирусной природы) на состояние иммунологической реактивности орг</w:t>
      </w:r>
      <w:r>
        <w:t>а</w:t>
      </w:r>
      <w:r>
        <w:t>низма коров и их воспроизводительную функцию. Исследования выполн</w:t>
      </w:r>
      <w:r>
        <w:t>е</w:t>
      </w:r>
      <w:r>
        <w:t>ны на фоне вакцинации животных новыми вакцинами против сибирской язвы и бешенства.</w:t>
      </w:r>
    </w:p>
    <w:p w:rsidR="00F4654E" w:rsidRDefault="00F4654E">
      <w:pPr>
        <w:pStyle w:val="a6"/>
      </w:pPr>
      <w:r>
        <w:t>Установлено, что беременность у коров, вакцинированных против с</w:t>
      </w:r>
      <w:r>
        <w:t>и</w:t>
      </w:r>
      <w:r>
        <w:t>бирской язвы, во время раннего эмбриогенеза (2-3 недели после оплод</w:t>
      </w:r>
      <w:r>
        <w:t>о</w:t>
      </w:r>
      <w:r>
        <w:t xml:space="preserve">творения) протекает при более высоком содержании в крови лейкоцитов, общего белка и его </w:t>
      </w:r>
      <w:r>
        <w:sym w:font="Symbol" w:char="F062"/>
      </w:r>
      <w:r>
        <w:t xml:space="preserve">- и </w:t>
      </w:r>
      <w:r>
        <w:sym w:font="Symbol" w:char="F067"/>
      </w:r>
      <w:r>
        <w:t>-глобулиновых фракций, а также общих иммуно</w:t>
      </w:r>
      <w:r>
        <w:t>г</w:t>
      </w:r>
      <w:r>
        <w:t>лобулинов. Примерно при таком же иммунологическом состоянии форм</w:t>
      </w:r>
      <w:r>
        <w:t>и</w:t>
      </w:r>
      <w:r>
        <w:t>руется и протекает беременность у коров, осемененных и оплодотворе</w:t>
      </w:r>
      <w:r>
        <w:t>н</w:t>
      </w:r>
      <w:r>
        <w:t>ных на фоне активного формирования специфического антибактериальн</w:t>
      </w:r>
      <w:r>
        <w:t>о</w:t>
      </w:r>
      <w:r>
        <w:t>го иммунитета (1-2 недели после вакцинации).</w:t>
      </w:r>
    </w:p>
    <w:p w:rsidR="00F4654E" w:rsidRDefault="00F4654E">
      <w:pPr>
        <w:pStyle w:val="a6"/>
      </w:pPr>
      <w:r>
        <w:t>У коров, осемененных и оплодотворенных через 2-4 недели после вакцинации, иммунологический гомеостаз во время всей беременности о</w:t>
      </w:r>
      <w:r>
        <w:t>т</w:t>
      </w:r>
      <w:r>
        <w:t>мечался только повышенным содержанием общего белка и в основной своей части был близок к таковому контрольных животных.</w:t>
      </w:r>
    </w:p>
    <w:p w:rsidR="00F4654E" w:rsidRDefault="00F4654E">
      <w:pPr>
        <w:pStyle w:val="a6"/>
      </w:pPr>
      <w:r>
        <w:t>При акушерско-гинекологическом контроле за состоянием репроду</w:t>
      </w:r>
      <w:r>
        <w:t>к</w:t>
      </w:r>
      <w:r>
        <w:t>тивной функции подопытных животных установлено, что разный их и</w:t>
      </w:r>
      <w:r>
        <w:t>м</w:t>
      </w:r>
      <w:r>
        <w:t>мунологический статус по-разному отражается на функции воспроизвед</w:t>
      </w:r>
      <w:r>
        <w:t>е</w:t>
      </w:r>
      <w:r>
        <w:t>ния. Так, в группе контрольных животных, вакцинированных в период с</w:t>
      </w:r>
      <w:r>
        <w:t>у</w:t>
      </w:r>
      <w:r>
        <w:t>хостоя, оплодотворяемость после осеменения по окончании послеродового периода составила 78,3%. При вакцинации коров в период раннего э</w:t>
      </w:r>
      <w:r>
        <w:t>м</w:t>
      </w:r>
      <w:r>
        <w:t>бриогенеза и имплантации зародыша беременность через два месяца после осеменения была зарегистрирована только у 33,3% животных, что ниже показателей контрольной группы в 2,35 раза.</w:t>
      </w:r>
    </w:p>
    <w:p w:rsidR="00F4654E" w:rsidRDefault="00F4654E">
      <w:pPr>
        <w:pStyle w:val="a6"/>
      </w:pPr>
      <w:r>
        <w:t>Осеменение коров в период активного формирования антибактер</w:t>
      </w:r>
      <w:r>
        <w:t>и</w:t>
      </w:r>
      <w:r>
        <w:t>ального иммунитета обеспечило оплодотворение только 38,3% животных, что ниже показателей контрольной группы в 2 раза. Осеменение через 2-4 недели после вакцинации  на фоне определенной стабилизации иммунол</w:t>
      </w:r>
      <w:r>
        <w:t>о</w:t>
      </w:r>
      <w:r>
        <w:t>гических показателей крови обеспечило наступление беременности уже у 57,1% коров, что ниже показателя контрольной группы в 1,4 раза.</w:t>
      </w:r>
    </w:p>
    <w:p w:rsidR="00F4654E" w:rsidRDefault="00F4654E">
      <w:pPr>
        <w:pStyle w:val="a6"/>
      </w:pPr>
      <w:r>
        <w:t>Таким образом, инъекция чужеродного антигена материнскому орг</w:t>
      </w:r>
      <w:r>
        <w:t>а</w:t>
      </w:r>
      <w:r>
        <w:t>низму в период имплантации, надо полагать, оказывает отрицательное влияние на формирование беременности, затрудняющей процессы импла</w:t>
      </w:r>
      <w:r>
        <w:t>н</w:t>
      </w:r>
      <w:r>
        <w:t>тации, и приводит к повышению эмбриональной смертности. Снижение оплодотворяемости (и возможно увеличение эмбриональной смертности) у коров, осемененных в период активного формирования специфического иммунитета, связано, по всей видимости, со специфической направленн</w:t>
      </w:r>
      <w:r>
        <w:t>о</w:t>
      </w:r>
      <w:r>
        <w:t>стью иммунного ответа материнского организма на выработку антибакт</w:t>
      </w:r>
      <w:r>
        <w:t>е</w:t>
      </w:r>
      <w:r>
        <w:lastRenderedPageBreak/>
        <w:t>риального иммунитета, вследствие чего он не способен адекватно проре</w:t>
      </w:r>
      <w:r>
        <w:t>а</w:t>
      </w:r>
      <w:r>
        <w:t>гировать на антигены мужских половых клеток (спермиев), используемых для осеменения.</w:t>
      </w:r>
    </w:p>
    <w:p w:rsidR="00F4654E" w:rsidRDefault="00F4654E">
      <w:pPr>
        <w:pStyle w:val="a6"/>
      </w:pPr>
      <w:r>
        <w:t>Кроме того, такое иммунное состояние материнского организма во время оплодотворения и раннего эмбриогенеза накладывает достаточно заметный отпечаток на процессы дальнейшего формирования беременн</w:t>
      </w:r>
      <w:r>
        <w:t>о</w:t>
      </w:r>
      <w:r>
        <w:t>сти, родов и послеродового периода. Оно ведет к неадекватному взаимоо</w:t>
      </w:r>
      <w:r>
        <w:t>т</w:t>
      </w:r>
      <w:r>
        <w:t>ношению организмов плода и матери и развитию синдрома фетоплаце</w:t>
      </w:r>
      <w:r>
        <w:t>н</w:t>
      </w:r>
      <w:r>
        <w:t>тарной недостаточности. Так, патология родов и послеродового периода в контрольной группе была зарегистрирована у 16,6% коров, в первой опы</w:t>
      </w:r>
      <w:r>
        <w:t>т</w:t>
      </w:r>
      <w:r>
        <w:t>ной группе – у 77,7%, во второй – у 46,2% и третьей – у 25% животных. Заболеваемость телят диспепсией в первые десять дней жизни составила соответственно 22,2%, 55,5%,38,4% и 25,0%.</w:t>
      </w:r>
    </w:p>
    <w:p w:rsidR="00F4654E" w:rsidRDefault="00F4654E">
      <w:pPr>
        <w:pStyle w:val="a6"/>
      </w:pPr>
      <w:r>
        <w:t>Такая же закономерность в состоянии воспроизводительной функции у коров выявлена и при введении им вирусного антигена (при вакцинации против бешенства). При вакцинации животных в период раннего эмбри</w:t>
      </w:r>
      <w:r>
        <w:t>о</w:t>
      </w:r>
      <w:r>
        <w:t>генеза беременность зарегистрирована у 79,1%, при их осеменении на ф</w:t>
      </w:r>
      <w:r>
        <w:t>о</w:t>
      </w:r>
      <w:r>
        <w:t>не формирования антивирусного иммунитета – у 84,0%, на фоне стабил</w:t>
      </w:r>
      <w:r>
        <w:t>и</w:t>
      </w:r>
      <w:r>
        <w:t>зации иммунных реакций – у 88,5% при 89,6% в контроле. Заболеваемость новорожденных телят диспепсией составила соответственно 17,6%, 19,0%, 8,6%  и 11,5%.</w:t>
      </w:r>
    </w:p>
    <w:p w:rsidR="00F4654E" w:rsidRDefault="00F4654E">
      <w:pPr>
        <w:pStyle w:val="a6"/>
      </w:pPr>
      <w:r>
        <w:t>В другой серии опытов при вакцинации коров против сибирской язвы на разных сроках беременности (2-8 месяцев) установлено, что наибол</w:t>
      </w:r>
      <w:r>
        <w:t>ь</w:t>
      </w:r>
      <w:r>
        <w:t>шая заболеваемость после родов отмечена в группе животных, вакцинир</w:t>
      </w:r>
      <w:r>
        <w:t>о</w:t>
      </w:r>
      <w:r>
        <w:t xml:space="preserve">ванных в начальный период становления фетоплацентарного комплекса (37,5%), а также на заключительном этапе беременности (25,0-33,3% при 16,6% в контроле). При вакцинации коров в эти сроки против бешенства патология родов и послеродового периода зарегистрирована у 56,4-22,2% животных при 15,4% в контроле. </w:t>
      </w:r>
    </w:p>
    <w:p w:rsidR="00F4654E" w:rsidRPr="00A11B7B" w:rsidRDefault="00F4654E">
      <w:pPr>
        <w:pStyle w:val="a6"/>
        <w:rPr>
          <w:spacing w:val="4"/>
        </w:rPr>
      </w:pPr>
      <w:r w:rsidRPr="00A11B7B">
        <w:rPr>
          <w:spacing w:val="4"/>
        </w:rPr>
        <w:t>Таким образом, состояние иммунного статуса организма животных во многом определяет характер течения репродуктивных процессов. Специфическая иммунная перестройка их организма при введении ба</w:t>
      </w:r>
      <w:r w:rsidRPr="00A11B7B">
        <w:rPr>
          <w:spacing w:val="4"/>
        </w:rPr>
        <w:t>к</w:t>
      </w:r>
      <w:r w:rsidRPr="00A11B7B">
        <w:rPr>
          <w:spacing w:val="4"/>
        </w:rPr>
        <w:t>териал</w:t>
      </w:r>
      <w:r w:rsidRPr="00A11B7B">
        <w:rPr>
          <w:spacing w:val="4"/>
        </w:rPr>
        <w:t>ь</w:t>
      </w:r>
      <w:r w:rsidRPr="00A11B7B">
        <w:rPr>
          <w:spacing w:val="4"/>
        </w:rPr>
        <w:t>ных и вирусных вакцинных антигенов в определенные (наиболее напр</w:t>
      </w:r>
      <w:r w:rsidRPr="00A11B7B">
        <w:rPr>
          <w:spacing w:val="4"/>
        </w:rPr>
        <w:t>я</w:t>
      </w:r>
      <w:r w:rsidRPr="00A11B7B">
        <w:rPr>
          <w:spacing w:val="4"/>
        </w:rPr>
        <w:t>женные) периоды воспроизведения отрицательно сказывается на оплодотворяемости и формировании беременности у животных. Эти факторы необходимо учитывать при организации и проведении мер</w:t>
      </w:r>
      <w:r w:rsidRPr="00A11B7B">
        <w:rPr>
          <w:spacing w:val="4"/>
        </w:rPr>
        <w:t>о</w:t>
      </w:r>
      <w:r w:rsidRPr="00A11B7B">
        <w:rPr>
          <w:spacing w:val="4"/>
        </w:rPr>
        <w:t>приятий по и</w:t>
      </w:r>
      <w:r w:rsidRPr="00A11B7B">
        <w:rPr>
          <w:spacing w:val="4"/>
        </w:rPr>
        <w:t>н</w:t>
      </w:r>
      <w:r w:rsidRPr="00A11B7B">
        <w:rPr>
          <w:spacing w:val="4"/>
        </w:rPr>
        <w:t>тенсификации воспроизводства крупного рогатого скота, а также против</w:t>
      </w:r>
      <w:r w:rsidRPr="00A11B7B">
        <w:rPr>
          <w:spacing w:val="4"/>
        </w:rPr>
        <w:t>о</w:t>
      </w:r>
      <w:r w:rsidRPr="00A11B7B">
        <w:rPr>
          <w:spacing w:val="4"/>
        </w:rPr>
        <w:t>эпизоотических мероприятий. С этих позиций есть также основание высказать пожелание критического подхода к массовому применению всевозможных вакцин, особенно для профилактики фа</w:t>
      </w:r>
      <w:r w:rsidRPr="00A11B7B">
        <w:rPr>
          <w:spacing w:val="4"/>
        </w:rPr>
        <w:t>к</w:t>
      </w:r>
      <w:r w:rsidRPr="00A11B7B">
        <w:rPr>
          <w:spacing w:val="4"/>
        </w:rPr>
        <w:t>торных инфекций.</w:t>
      </w:r>
    </w:p>
    <w:p w:rsidR="00F4654E" w:rsidRDefault="00F4654E">
      <w:pPr>
        <w:pStyle w:val="a4"/>
      </w:pPr>
    </w:p>
    <w:p w:rsidR="00F4654E" w:rsidRDefault="00F4654E">
      <w:pPr>
        <w:pStyle w:val="a4"/>
      </w:pPr>
      <w:r>
        <w:lastRenderedPageBreak/>
        <w:t>УДК 619:615.37:616-084.636.4</w:t>
      </w:r>
    </w:p>
    <w:p w:rsidR="00F4654E" w:rsidRDefault="00F4654E">
      <w:pPr>
        <w:pStyle w:val="1"/>
      </w:pPr>
      <w:bookmarkStart w:id="110" w:name="_Toc10731520"/>
      <w:bookmarkStart w:id="111" w:name="_Toc11137967"/>
      <w:bookmarkStart w:id="112" w:name="_Toc11138385"/>
      <w:bookmarkStart w:id="113" w:name="_Toc11138803"/>
      <w:bookmarkStart w:id="114" w:name="_Toc11139221"/>
      <w:bookmarkStart w:id="115" w:name="_Toc11139639"/>
      <w:bookmarkStart w:id="116" w:name="_Toc11140057"/>
      <w:bookmarkStart w:id="117" w:name="_Toc11140475"/>
      <w:bookmarkStart w:id="118" w:name="_Toc11390045"/>
      <w:bookmarkStart w:id="119" w:name="_Toc11839724"/>
      <w:bookmarkStart w:id="120" w:name="_Toc11937260"/>
      <w:r>
        <w:t>Повышение неспецифической резистентности организма поросят иммуностимуляторами нуклеиновой природы</w:t>
      </w:r>
      <w:bookmarkEnd w:id="110"/>
      <w:bookmarkEnd w:id="111"/>
      <w:bookmarkEnd w:id="112"/>
      <w:bookmarkEnd w:id="113"/>
      <w:bookmarkEnd w:id="114"/>
      <w:bookmarkEnd w:id="115"/>
      <w:bookmarkEnd w:id="116"/>
      <w:bookmarkEnd w:id="117"/>
      <w:bookmarkEnd w:id="118"/>
      <w:bookmarkEnd w:id="119"/>
      <w:bookmarkEnd w:id="120"/>
    </w:p>
    <w:p w:rsidR="00F4654E" w:rsidRDefault="00F4654E">
      <w:pPr>
        <w:pStyle w:val="2"/>
      </w:pPr>
      <w:bookmarkStart w:id="121" w:name="_Toc10731521"/>
      <w:bookmarkStart w:id="122" w:name="_Toc11032347"/>
      <w:bookmarkStart w:id="123" w:name="_Toc11137968"/>
      <w:bookmarkStart w:id="124" w:name="_Toc11138386"/>
      <w:bookmarkStart w:id="125" w:name="_Toc11138804"/>
      <w:bookmarkStart w:id="126" w:name="_Toc11139222"/>
      <w:bookmarkStart w:id="127" w:name="_Toc11139640"/>
      <w:bookmarkStart w:id="128" w:name="_Toc11140058"/>
      <w:bookmarkStart w:id="129" w:name="_Toc11140476"/>
      <w:bookmarkStart w:id="130" w:name="_Toc11390046"/>
      <w:bookmarkStart w:id="131" w:name="_Toc11937261"/>
      <w:r>
        <w:t>Прудников С.И., Духовский А.А., Прудникова Т.М.</w:t>
      </w:r>
      <w:bookmarkEnd w:id="121"/>
      <w:bookmarkEnd w:id="122"/>
      <w:bookmarkEnd w:id="123"/>
      <w:bookmarkEnd w:id="124"/>
      <w:bookmarkEnd w:id="125"/>
      <w:bookmarkEnd w:id="126"/>
      <w:bookmarkEnd w:id="127"/>
      <w:bookmarkEnd w:id="128"/>
      <w:bookmarkEnd w:id="129"/>
      <w:bookmarkEnd w:id="130"/>
      <w:bookmarkEnd w:id="131"/>
    </w:p>
    <w:p w:rsidR="00F4654E" w:rsidRDefault="00F4654E">
      <w:pPr>
        <w:pStyle w:val="a5"/>
        <w:rPr>
          <w:caps/>
        </w:rPr>
      </w:pPr>
      <w:r>
        <w:t>Институт экспериментальной ветеринарии Сибири и Дальнего Востока</w:t>
      </w:r>
    </w:p>
    <w:p w:rsidR="00F4654E" w:rsidRDefault="00F4654E">
      <w:pPr>
        <w:pStyle w:val="a6"/>
      </w:pPr>
      <w:r>
        <w:t>Промышленные свиноводческие комплексы и крупные специализир</w:t>
      </w:r>
      <w:r>
        <w:t>о</w:t>
      </w:r>
      <w:r>
        <w:t>ванные фермы с законченным циклом воспроизводства характеризуются высокой концентрацией свиней на ограниченных площадях на организм которых постоянно оказывают влияние большое количество разнообра</w:t>
      </w:r>
      <w:r>
        <w:t>з</w:t>
      </w:r>
      <w:r>
        <w:t>ных стресс-факторов, обусловливающих снижение естественной рез</w:t>
      </w:r>
      <w:r>
        <w:t>и</w:t>
      </w:r>
      <w:r>
        <w:t>стентности и проявление вторичных иммунодефецитов. Все это приводит к массовой заболеваемости желудочно-кишечными и респираторными б</w:t>
      </w:r>
      <w:r>
        <w:t>о</w:t>
      </w:r>
      <w:r>
        <w:t>лезнями поросят-сосунов и отъемышей, вызываемых условно-патогенной микрофлорой. Для повышения резистентности организма молодняка св</w:t>
      </w:r>
      <w:r>
        <w:t>и</w:t>
      </w:r>
      <w:r>
        <w:t>ней и профилактики факторных (условно-патогенных) инфекционных б</w:t>
      </w:r>
      <w:r>
        <w:t>о</w:t>
      </w:r>
      <w:r>
        <w:t>лезней многие исследователи предлагают использовать фармакологич</w:t>
      </w:r>
      <w:r>
        <w:t>е</w:t>
      </w:r>
      <w:r>
        <w:t>ские препараты различных типов: адаптогены стресс-корректоры, антио</w:t>
      </w:r>
      <w:r>
        <w:t>к</w:t>
      </w:r>
      <w:r>
        <w:t>сиданты, пробиотики, детоксиканты, иммуномодуляторы различного пр</w:t>
      </w:r>
      <w:r>
        <w:t>о</w:t>
      </w:r>
      <w:r>
        <w:t>исхождения. В настоящее время в медицине и ветеринарии большое вн</w:t>
      </w:r>
      <w:r>
        <w:t>и</w:t>
      </w:r>
      <w:r>
        <w:t>мание привлекают в качестве иммуномодуляторов биологически активные вещества нуклеиновой природы. В прошлые годы нами разработаны и у</w:t>
      </w:r>
      <w:r>
        <w:t>т</w:t>
      </w:r>
      <w:r>
        <w:t>верждены Департаментом ветеринарии МСХ РФ наставления по примен</w:t>
      </w:r>
      <w:r>
        <w:t>е</w:t>
      </w:r>
      <w:r>
        <w:t>нию полирибоната (натриевая соль вп РНК) и вестина (комплексный пр</w:t>
      </w:r>
      <w:r>
        <w:t>е</w:t>
      </w:r>
      <w:r>
        <w:t>парат РНК) в ветеринарии в качестве иммуномодуляторов.</w:t>
      </w:r>
    </w:p>
    <w:p w:rsidR="00F4654E" w:rsidRDefault="00F4654E">
      <w:pPr>
        <w:pStyle w:val="a6"/>
      </w:pPr>
      <w:r>
        <w:t>В продолжение этих работ нами изучены в качестве иммуномодул</w:t>
      </w:r>
      <w:r>
        <w:t>я</w:t>
      </w:r>
      <w:r>
        <w:t>торов фагостим (препарат на основе иммунологически активных веществ эмбриональных тканей кур и перепелов), комплекс А (препарат на основе натриевых солей одно- и двухспиральных РНК киллерных дрожжей Saccharomices cerevisiae и синтетического полимера-носителя) и комплекс В (препарат на основе натриевых солей одно- и двухспиральных РНК ки</w:t>
      </w:r>
      <w:r>
        <w:t>л</w:t>
      </w:r>
      <w:r>
        <w:t>лерных дрожжей Saccharomices cerevisiae и полисахарида).</w:t>
      </w:r>
    </w:p>
    <w:p w:rsidR="00F4654E" w:rsidRDefault="00F4654E">
      <w:pPr>
        <w:pStyle w:val="a6"/>
      </w:pPr>
      <w:r>
        <w:t>В многочисленных опытах на большом количестве поросят 17 – 45- дневного возраста установлена безвредность и высокая эффективность изучаемых препаратов.</w:t>
      </w:r>
    </w:p>
    <w:p w:rsidR="00F4654E" w:rsidRDefault="00F4654E">
      <w:pPr>
        <w:pStyle w:val="a6"/>
      </w:pPr>
      <w:r>
        <w:t xml:space="preserve">В эксперименте на поросятах 35-дневного возраста установлено, что наиболее эффективной дозой фагостима (в/м) поросятам является 0,2мг/кг. При этой дозе фагоцитарная активность (ФА) нейтрофилов крови поросят была выше фонового значения и  показателя поросят контрольной группы на 7 день на 3,8 % и 24,6 %, а на 16 день на 1,2 % и 14,5 % соответственно. на 16 день фагоцитарный индекс (ФИ) повысился на 60% по сравнению с фоном и на 100 % по сравнению с контролем, а фагоцитарное число (ФЧ) - на 43 % и 67 % соответственно. В эти же сроки установлено в сыворотке </w:t>
      </w:r>
      <w:r>
        <w:lastRenderedPageBreak/>
        <w:t>крови опытных поросят  повышение количества альфа-, бета- и гамма-глобулинов на 63 %, 50,8 % и 51 % соответственно по сравнению с порос</w:t>
      </w:r>
      <w:r>
        <w:t>я</w:t>
      </w:r>
      <w:r>
        <w:t>тами контрольной группы. При лечении поросят страдающих диареями, обусловленными ассоциацией эшерихий, сальмонелл и синегнойной п</w:t>
      </w:r>
      <w:r>
        <w:t>а</w:t>
      </w:r>
      <w:r>
        <w:t>лочки, тиамутином 10%-ным в дозе 10 мг/кг три дня подряд и тиамутином в сочетании с фагостимом в дозе 0,2 мг/кг установлена эффективность о</w:t>
      </w:r>
      <w:r>
        <w:t>д</w:t>
      </w:r>
      <w:r>
        <w:t>ного тиамутина 71,4%, а тиамутина в сочетании с фагостимом 78,6% или на 7,2% выше. У этих поросят и среднесуточный прирост живой массы т</w:t>
      </w:r>
      <w:r>
        <w:t>е</w:t>
      </w:r>
      <w:r>
        <w:t>ла был на 23,4% выше, чем у поросят, леченых одним тиамутином.</w:t>
      </w:r>
    </w:p>
    <w:p w:rsidR="00F4654E" w:rsidRDefault="00F4654E">
      <w:pPr>
        <w:pStyle w:val="a6"/>
      </w:pPr>
      <w:r>
        <w:t>Экспериментальным путем на 18 дневных поросятах установлены о</w:t>
      </w:r>
      <w:r>
        <w:t>п</w:t>
      </w:r>
      <w:r>
        <w:t>тимальные дозы и кратность введения препаратов комплексов А и В. У</w:t>
      </w:r>
      <w:r>
        <w:t>с</w:t>
      </w:r>
      <w:r>
        <w:t>тановлено, что оптимальной дозой при внутримышечном введении явл</w:t>
      </w:r>
      <w:r>
        <w:t>я</w:t>
      </w:r>
      <w:r>
        <w:t>ются дозы 0,3 мг/кг ж. м. Достаточно эффективно для комплекса А одн</w:t>
      </w:r>
      <w:r>
        <w:t>о</w:t>
      </w:r>
      <w:r>
        <w:t>кратное в/м введение, а комплекса В – трехкратное с интервалом 3 дня. После введения комплекса А (ФА) нейтрофилов крови поросят повыш</w:t>
      </w:r>
      <w:r>
        <w:t>а</w:t>
      </w:r>
      <w:r>
        <w:t>лось на 6,8%, а количество гамма-глобулинов через 5 дней в 3,1 после вт</w:t>
      </w:r>
      <w:r>
        <w:t>о</w:t>
      </w:r>
      <w:r>
        <w:t>рого и третьего – в 2,5 и 2,7 раза соответственно. После первого введения комплекса В увеличение ФА нейтрофилов отмечали через 72 часа на 19,1 %, после второго через 24 часа – на 25%, а после третьего – на 4,4%. С</w:t>
      </w:r>
      <w:r>
        <w:t>о</w:t>
      </w:r>
      <w:r>
        <w:t>держание гамма-глобулинов в сыворотке крови после трехкратного введ</w:t>
      </w:r>
      <w:r>
        <w:t>е</w:t>
      </w:r>
      <w:r>
        <w:t xml:space="preserve">ния было в 3 раза выше по сравнению с фоном и контролем. </w:t>
      </w:r>
    </w:p>
    <w:p w:rsidR="00F4654E" w:rsidRDefault="00F4654E">
      <w:pPr>
        <w:pStyle w:val="a6"/>
      </w:pPr>
      <w:r>
        <w:tab/>
        <w:t>Применение модифицированных форм дсРНК позволяет повышать неспецифическую резистентность организма поросят в дозах, меньших в 2-3 раза по действующему веществу, чем у вестина. Таким образом, в кач</w:t>
      </w:r>
      <w:r>
        <w:t>е</w:t>
      </w:r>
      <w:r>
        <w:t>стве иммуномодуляторов на поросятах целесообразно применять комплекс А в дозе 0,3 мг/кг массы тела однократно, а комплекс В - в той же дозе трехкратно, с интервалом 3 дня.</w:t>
      </w:r>
    </w:p>
    <w:p w:rsidR="00F4654E" w:rsidRDefault="00F4654E">
      <w:pPr>
        <w:pStyle w:val="a6"/>
      </w:pPr>
      <w:r>
        <w:t xml:space="preserve"> В условиях промышленного свиноводческого комплекса при факто</w:t>
      </w:r>
      <w:r>
        <w:t>р</w:t>
      </w:r>
      <w:r>
        <w:t>ных инфекционных болезнях поросят изучили лечебно-профилактичес-кую эффективность одновременного использования иммуномодуляторов комплексов А и В и антибактериального препарата тиамутина.</w:t>
      </w:r>
    </w:p>
    <w:p w:rsidR="00F4654E" w:rsidRDefault="00F4654E">
      <w:pPr>
        <w:pStyle w:val="a6"/>
      </w:pPr>
      <w:r>
        <w:t>Животным первой группы вводили 10% раствор тиамутина в дозе 10 мг/кг ежедневно три дня подряд и комплекс А в дозе 0,3 мг/кг однократно, второй группы - 10% раствор тиамутина по той же схеме и комплекс В в дозе 0,3 мг/кг трехкратно с интервалом 3 дня. Поросятам третьей группы вводили только тиамутин. Ежедневно, в течение 14 дней, вели наблюдение за клиническим состоянием поросят.</w:t>
      </w:r>
    </w:p>
    <w:p w:rsidR="00F4654E" w:rsidRDefault="00F4654E">
      <w:pPr>
        <w:pStyle w:val="a6"/>
      </w:pPr>
      <w:r>
        <w:t>После применения тиамутина и комплекса А сохранность составила 92,9%, среднесуточный прирост массы тела 107±7,7 г (P&lt;0,05). После вв</w:t>
      </w:r>
      <w:r>
        <w:t>е</w:t>
      </w:r>
      <w:r>
        <w:t>дения тиамутина и комплекса В сохранность и среднесуточный прирост массы тела составили соответственно 78,6% и 93±7,3 г (P&lt;0,05). В группе животных, которым вводили только тиамутин сохранность и среднесуто</w:t>
      </w:r>
      <w:r>
        <w:t>ч</w:t>
      </w:r>
      <w:r>
        <w:t>ный прирост массы тела были самыми низкими - 71,4 % и 64±5,8 г соо</w:t>
      </w:r>
      <w:r>
        <w:t>т</w:t>
      </w:r>
      <w:r>
        <w:lastRenderedPageBreak/>
        <w:t>ветственно. Лечебно-профилактическая эффективность комплекса А при факторных болезнях в сравнении с левотетрасульфином испытали в усл</w:t>
      </w:r>
      <w:r>
        <w:t>о</w:t>
      </w:r>
      <w:r>
        <w:t>виях крупного свинокомплекса. С этой целью в опыт взяли 308 поросят-аналогов в возрасте 18 дней, массой тела 4,3 кг каждый. Поросятам первой группы (85 гол.) вводили левотетрасульфин в дозе 2 мл/кг однократно. Животным второй группы (53 гол.) на 18 день жизни вводили левотетр</w:t>
      </w:r>
      <w:r>
        <w:t>а</w:t>
      </w:r>
      <w:r>
        <w:t>сульфин в дозе 2 мл/гол и одновременно комплекс А в дозе 0,3 мг/кг. На 25 и 45 дни жизни поросятам вводили только комплекс А в  той же дозе.  Ж</w:t>
      </w:r>
      <w:r>
        <w:t>и</w:t>
      </w:r>
      <w:r>
        <w:t>вотным  третьей группы (73 гол.) вводили только комплекс А в дозе 0,3 мг/кг: на 18-й, 25-й и 45 дни жизни. Животным  четвертой группы (n = 97) никаких препаратов не вводили (контроль). За поросятами ежедневно, в течение 24 дней,  вели клинические наблюдения. Эффективность разли</w:t>
      </w:r>
      <w:r>
        <w:t>ч</w:t>
      </w:r>
      <w:r>
        <w:t>ных схем введения препаратов оценивали по продуктивности и сохранн</w:t>
      </w:r>
      <w:r>
        <w:t>о</w:t>
      </w:r>
      <w:r>
        <w:t>сти поросят. В первой группе после введения левотетрасульфина сохра</w:t>
      </w:r>
      <w:r>
        <w:t>н</w:t>
      </w:r>
      <w:r>
        <w:t>ность составила  87,1%, а среднесуточный прирост массы тела – 102 ± 9,5 г. Из животных, которым вводили комплекс А и левотетрасульфин с</w:t>
      </w:r>
      <w:r>
        <w:t>о</w:t>
      </w:r>
      <w:r>
        <w:t>хранность составила 90,6%, среднесуточный прирост массы - 145 ± 10,5 г (P&lt; 0,05). После введения только комплекса А сохранность и среднесуто</w:t>
      </w:r>
      <w:r>
        <w:t>ч</w:t>
      </w:r>
      <w:r>
        <w:t>ный привес составили 91,8% и 122 ± 12,8 г соответственно. В контрольной группе поросят сохранность составила 82,5 %, а среднесуточный прирост массы тела 117 ± 7,4 г.</w:t>
      </w:r>
    </w:p>
    <w:p w:rsidR="00F4654E" w:rsidRDefault="00F4654E">
      <w:pPr>
        <w:pStyle w:val="a6"/>
      </w:pPr>
      <w:r>
        <w:t>Таким образом, у животных, которым одновременно применяли ко</w:t>
      </w:r>
      <w:r>
        <w:t>м</w:t>
      </w:r>
      <w:r>
        <w:t>плекс А и левотетрасульфин, среднесуточный прирост массы тела оказался на 42%, 19%, 24% выше, чем у поросят первой, третьей и четвертой групп. Лучшая сохранность была среди поросят, которым применяли только ко</w:t>
      </w:r>
      <w:r>
        <w:t>м</w:t>
      </w:r>
      <w:r>
        <w:t>плекс А – 91,8 %. Экономическая эффективность препаратов комплекс А, комплекс В и фагостим в опыте по изучению терапии факторных инфе</w:t>
      </w:r>
      <w:r>
        <w:t>к</w:t>
      </w:r>
      <w:r>
        <w:t>ционных болезней с одновременным использованием тиамутина состав</w:t>
      </w:r>
      <w:r>
        <w:t>и</w:t>
      </w:r>
      <w:r>
        <w:t>ла: 31,7руб., 4,6 руб. и 11,5 руб. на рубль затрат соответственно. Эконом</w:t>
      </w:r>
      <w:r>
        <w:t>и</w:t>
      </w:r>
      <w:r>
        <w:t>ческая эффективность схем профилактики факторных инфекционных б</w:t>
      </w:r>
      <w:r>
        <w:t>о</w:t>
      </w:r>
      <w:r>
        <w:t>лезней с применением только комплекса А, а также с одновременным и</w:t>
      </w:r>
      <w:r>
        <w:t>с</w:t>
      </w:r>
      <w:r>
        <w:t>пользованием левотетрасульфина составила: 21,8 руб. и 20,4 руб. на рубль затрат соответственно.</w:t>
      </w:r>
    </w:p>
    <w:p w:rsidR="00F4654E" w:rsidRDefault="00F4654E">
      <w:pPr>
        <w:pStyle w:val="a4"/>
      </w:pPr>
      <w:r>
        <w:t>УДК 619:616.98:578.835.1:636.4:615.371</w:t>
      </w:r>
    </w:p>
    <w:p w:rsidR="00F4654E" w:rsidRDefault="00F4654E">
      <w:pPr>
        <w:pStyle w:val="1"/>
      </w:pPr>
      <w:bookmarkStart w:id="132" w:name="_Toc10731526"/>
      <w:bookmarkStart w:id="133" w:name="_Toc11137975"/>
      <w:bookmarkStart w:id="134" w:name="_Toc11138393"/>
      <w:bookmarkStart w:id="135" w:name="_Toc11138811"/>
      <w:bookmarkStart w:id="136" w:name="_Toc11139229"/>
      <w:bookmarkStart w:id="137" w:name="_Toc11139647"/>
      <w:bookmarkStart w:id="138" w:name="_Toc11140065"/>
      <w:bookmarkStart w:id="139" w:name="_Toc11140483"/>
      <w:bookmarkStart w:id="140" w:name="_Toc11390047"/>
      <w:bookmarkStart w:id="141" w:name="_Toc11839726"/>
      <w:bookmarkStart w:id="142" w:name="_Toc11937262"/>
      <w:r>
        <w:t xml:space="preserve">Инфекционные болезни поросят и их иммунопрофилактика </w:t>
      </w:r>
      <w:r>
        <w:br/>
        <w:t>в современных условиях</w:t>
      </w:r>
      <w:bookmarkEnd w:id="132"/>
      <w:bookmarkEnd w:id="133"/>
      <w:bookmarkEnd w:id="134"/>
      <w:bookmarkEnd w:id="135"/>
      <w:bookmarkEnd w:id="136"/>
      <w:bookmarkEnd w:id="137"/>
      <w:bookmarkEnd w:id="138"/>
      <w:bookmarkEnd w:id="139"/>
      <w:bookmarkEnd w:id="140"/>
      <w:bookmarkEnd w:id="141"/>
      <w:bookmarkEnd w:id="142"/>
    </w:p>
    <w:p w:rsidR="00F4654E" w:rsidRDefault="00F4654E">
      <w:pPr>
        <w:pStyle w:val="2"/>
      </w:pPr>
      <w:bookmarkStart w:id="143" w:name="_Toc10731527"/>
      <w:bookmarkStart w:id="144" w:name="_Toc11032350"/>
      <w:bookmarkStart w:id="145" w:name="_Toc11137976"/>
      <w:bookmarkStart w:id="146" w:name="_Toc11138394"/>
      <w:bookmarkStart w:id="147" w:name="_Toc11138812"/>
      <w:bookmarkStart w:id="148" w:name="_Toc11139230"/>
      <w:bookmarkStart w:id="149" w:name="_Toc11139648"/>
      <w:bookmarkStart w:id="150" w:name="_Toc11140066"/>
      <w:bookmarkStart w:id="151" w:name="_Toc11140484"/>
      <w:bookmarkStart w:id="152" w:name="_Toc11390048"/>
      <w:bookmarkStart w:id="153" w:name="_Toc11937263"/>
      <w:r>
        <w:t>Рахманов А.М., Яременко Н.А.</w:t>
      </w:r>
      <w:bookmarkEnd w:id="143"/>
      <w:bookmarkEnd w:id="144"/>
      <w:bookmarkEnd w:id="145"/>
      <w:bookmarkEnd w:id="146"/>
      <w:bookmarkEnd w:id="147"/>
      <w:bookmarkEnd w:id="148"/>
      <w:bookmarkEnd w:id="149"/>
      <w:bookmarkEnd w:id="150"/>
      <w:bookmarkEnd w:id="151"/>
      <w:bookmarkEnd w:id="152"/>
      <w:bookmarkEnd w:id="153"/>
    </w:p>
    <w:p w:rsidR="00F4654E" w:rsidRDefault="00F4654E">
      <w:pPr>
        <w:pStyle w:val="a5"/>
      </w:pPr>
      <w:r>
        <w:t xml:space="preserve">Всероссийский научно-исследовательский институт защиты животных </w:t>
      </w:r>
      <w:r>
        <w:br/>
        <w:t>Департамент ветеринарии Минсельхоза России</w:t>
      </w:r>
    </w:p>
    <w:p w:rsidR="00F4654E" w:rsidRDefault="00F4654E">
      <w:pPr>
        <w:pStyle w:val="a6"/>
      </w:pPr>
      <w:r>
        <w:t>Успешному воспроизводству свинопоголовья во многом препятств</w:t>
      </w:r>
      <w:r>
        <w:t>у</w:t>
      </w:r>
      <w:r>
        <w:t>ют инфекционные болезни поросят, приводящие к большому отходу. В д</w:t>
      </w:r>
      <w:r>
        <w:t>е</w:t>
      </w:r>
      <w:r>
        <w:lastRenderedPageBreak/>
        <w:t>ле обеспечения благополучия свиноводства определенную роль должна сыграть ветеринарная служба, в задачу которой входит разработка и ос</w:t>
      </w:r>
      <w:r>
        <w:t>у</w:t>
      </w:r>
      <w:r>
        <w:t>ществление мероприятий по профилактике инфекционных болезней.</w:t>
      </w:r>
    </w:p>
    <w:p w:rsidR="00F4654E" w:rsidRDefault="00F4654E">
      <w:pPr>
        <w:pStyle w:val="a6"/>
      </w:pPr>
      <w:r>
        <w:t>В связи с этим представляется интересным проанализировать забол</w:t>
      </w:r>
      <w:r>
        <w:t>е</w:t>
      </w:r>
      <w:r>
        <w:t>ваемость в стране за последние годы инфекционными болезнями свиней, в том числе и поросят, и показать эффективность иммунопрофилактики.</w:t>
      </w:r>
    </w:p>
    <w:p w:rsidR="00A11B7B" w:rsidRDefault="00F4654E">
      <w:pPr>
        <w:pStyle w:val="a6"/>
      </w:pPr>
      <w:r>
        <w:t>Материалом для анализа послужили официальные отчеты ветерина</w:t>
      </w:r>
      <w:r>
        <w:t>р</w:t>
      </w:r>
      <w:r>
        <w:t>ных служб субъектов Российской Федерации за последние 5 лет (1997-2001гг.). Из представленных данных следует, что основное число неблаг</w:t>
      </w:r>
      <w:r>
        <w:t>о</w:t>
      </w:r>
      <w:r>
        <w:t>получных пунктов (91,9%), заболевших (95.6%) и павших (94.8%) живо</w:t>
      </w:r>
      <w:r>
        <w:t>т</w:t>
      </w:r>
      <w:r>
        <w:t>ных приходится на 14 болезней, из которых 13 (кроме ящура) регистрир</w:t>
      </w:r>
      <w:r>
        <w:t>о</w:t>
      </w:r>
      <w:r>
        <w:t xml:space="preserve">вались ежегодно. </w:t>
      </w:r>
    </w:p>
    <w:p w:rsidR="00F4654E" w:rsidRDefault="00F4654E">
      <w:pPr>
        <w:pStyle w:val="a6"/>
      </w:pPr>
      <w:r>
        <w:t>На долю инфекционных болезней поросят приходится 72.5% неблаг</w:t>
      </w:r>
      <w:r>
        <w:t>о</w:t>
      </w:r>
      <w:r>
        <w:t>получных пунктов, 88.7% заболевших и 85.1% павших животных. К боле</w:t>
      </w:r>
      <w:r>
        <w:t>з</w:t>
      </w:r>
      <w:r>
        <w:t>ням поросят, в соответствии с современной классификацией (А.Н. Кур</w:t>
      </w:r>
      <w:r>
        <w:t>и</w:t>
      </w:r>
      <w:r>
        <w:t>ленко и В.Л. Крупальник, 2000), отнесены сальмонеллез (паратиф), эшер</w:t>
      </w:r>
      <w:r>
        <w:t>и</w:t>
      </w:r>
      <w:r>
        <w:t>хиоз (колибактериоз), пастереллез, гемофилезный полисерозит (гемоф</w:t>
      </w:r>
      <w:r>
        <w:t>и</w:t>
      </w:r>
      <w:r>
        <w:t>лезная плевропневмония), дизентерия и трансмиссивный гастроэнтерит (ТГЭС).</w:t>
      </w:r>
    </w:p>
    <w:p w:rsidR="00F4654E" w:rsidRDefault="00F4654E">
      <w:pPr>
        <w:pStyle w:val="a6"/>
      </w:pPr>
      <w:r>
        <w:t>Следует отметить, что и при других инфекциях свиней, приводимых в официальной отчетности, часто заболевают и погибают поросята (класс</w:t>
      </w:r>
      <w:r>
        <w:t>и</w:t>
      </w:r>
      <w:r>
        <w:t>ческая чума свиней, болезнь Ауески, ящур, диплококковая инфекция, б</w:t>
      </w:r>
      <w:r>
        <w:t>а</w:t>
      </w:r>
      <w:r>
        <w:t>лантидиоз). Если средняя летальность при инфекционных болезнях свиней по данным за 5 лет равнялась 28.5%, то при большинстве болезней поросят она была выше (при гемофилезном полисерозите - 76.4%, при ТГЭС - 59.9%, при пастереллезе - 32.7%, при сальмонеллезе - 31.7%, при эшер</w:t>
      </w:r>
      <w:r>
        <w:t>и</w:t>
      </w:r>
      <w:r>
        <w:t>хиозе - 29.9%) и только при дизентерии - ниже (9.1%).</w:t>
      </w:r>
    </w:p>
    <w:p w:rsidR="00F4654E" w:rsidRDefault="00F4654E">
      <w:pPr>
        <w:pStyle w:val="a6"/>
      </w:pPr>
      <w:r>
        <w:t>В свиноводческих хозяйствах страны, особенно в свинокомплексах, осуществляется большое число прививок против различных инфекцио</w:t>
      </w:r>
      <w:r>
        <w:t>н</w:t>
      </w:r>
      <w:r>
        <w:t>ных болезней. Так, при среднегодовом наличии свиней в хозяйствах всех форм собственности от 15707.5 до 17984.1 тыс. голов в 1997-2001гг. пр</w:t>
      </w:r>
      <w:r>
        <w:t>о</w:t>
      </w:r>
      <w:r>
        <w:t>водилось от 85834.2 тыс. до 89981.0 тыс. прививок, т.е. 1 голова в среднем прививалась в течение года более 5 раз. Следует подчеркнуть, что на долю прививок против КЧС, которые проводились почти повсеместно, приход</w:t>
      </w:r>
      <w:r>
        <w:t>и</w:t>
      </w:r>
      <w:r>
        <w:t>лось около 30%, что позволило обеспечить благополучие подавляющего большинства регионов России по этой опасной инфекции.</w:t>
      </w:r>
    </w:p>
    <w:p w:rsidR="00F4654E" w:rsidRDefault="00F4654E">
      <w:pPr>
        <w:pStyle w:val="a6"/>
      </w:pPr>
      <w:r>
        <w:t>На долю прививок против инфекционных болезней поросят приход</w:t>
      </w:r>
      <w:r>
        <w:t>и</w:t>
      </w:r>
      <w:r>
        <w:t>лось 28%, в том числе против сальмонеллеза - 16.8%, против пастереллеза - 6.4%, против эшерихиоза - 3.2%, против дизентерии + балантидиоза - 0.9%, против ТГЭС - 0.7%. Однако следует отметить, что эти данные не полностью отражают фактическое положение с иммунопрофилактикой п</w:t>
      </w:r>
      <w:r>
        <w:t>о</w:t>
      </w:r>
      <w:r>
        <w:t xml:space="preserve">росят. При вакцинации и против других инфекционных болезней свиней иммунизации подвергается почти весь имеющийся молодняк. Так, при </w:t>
      </w:r>
      <w:r>
        <w:lastRenderedPageBreak/>
        <w:t>вакцинации против КЧС 60-80% от всего привитого свинопоголовья пр</w:t>
      </w:r>
      <w:r>
        <w:t>и</w:t>
      </w:r>
      <w:r>
        <w:t>ходится на поросят различного возраста. Велика доля подвергаемого и</w:t>
      </w:r>
      <w:r>
        <w:t>м</w:t>
      </w:r>
      <w:r>
        <w:t>мунизации молодняка и при вакцинации свинопоголовья против болезни Ауески, рожи. Путем иммунизации свиноматок против ПВИС и РРСС обеспечиваются у них нормальные роды и получение жизнеспособного п</w:t>
      </w:r>
      <w:r>
        <w:t>о</w:t>
      </w:r>
      <w:r>
        <w:t>томства.</w:t>
      </w:r>
    </w:p>
    <w:p w:rsidR="00F4654E" w:rsidRDefault="00F4654E">
      <w:pPr>
        <w:pStyle w:val="a6"/>
        <w:rPr>
          <w:spacing w:val="-4"/>
        </w:rPr>
      </w:pPr>
      <w:r>
        <w:rPr>
          <w:spacing w:val="-4"/>
        </w:rPr>
        <w:t>Следует подчеркнуть, что планы иммунопрофилактики инфекционных болезней свиней в целом по стране ежегодно выполнялись на 109.6-122.1%. Для этого применялись в основном отечественные биопрепараты, выпуска</w:t>
      </w:r>
      <w:r>
        <w:rPr>
          <w:spacing w:val="-4"/>
        </w:rPr>
        <w:t>е</w:t>
      </w:r>
      <w:r>
        <w:rPr>
          <w:spacing w:val="-4"/>
        </w:rPr>
        <w:t xml:space="preserve">мые многими биопредприятиями, в том числе ВНИИЗЖ. </w:t>
      </w:r>
    </w:p>
    <w:p w:rsidR="00F4654E" w:rsidRDefault="00F4654E">
      <w:pPr>
        <w:pStyle w:val="a6"/>
        <w:rPr>
          <w:spacing w:val="-4"/>
        </w:rPr>
      </w:pPr>
      <w:r>
        <w:rPr>
          <w:spacing w:val="-4"/>
        </w:rPr>
        <w:t>В последние годы сотрудниками этого института разработан ряд вакцин для профилактики инфекционных болезней свиней, в частности эмульсио</w:t>
      </w:r>
      <w:r>
        <w:rPr>
          <w:spacing w:val="-4"/>
        </w:rPr>
        <w:t>н</w:t>
      </w:r>
      <w:r>
        <w:rPr>
          <w:spacing w:val="-4"/>
        </w:rPr>
        <w:t>ные инактивированные вакцины против сальмонеллеза свиней, пастереллеза свиней, ассоциированная против сальмонеллеза и пастереллеза свиней, п</w:t>
      </w:r>
      <w:r>
        <w:rPr>
          <w:spacing w:val="-4"/>
        </w:rPr>
        <w:t>о</w:t>
      </w:r>
      <w:r>
        <w:rPr>
          <w:spacing w:val="-4"/>
        </w:rPr>
        <w:t>лиштаммовая против ТГЭС, против ПВИС, против РРСС, ассоциированная против ПВИС и РРСС, против болезни Ауески, а также живые сухие вакцины против КЧС из штамма "СИНЛАК", против РРСС, против болезни Ауески и другие. Своевременное и рациональное применение их в свиноводческих х</w:t>
      </w:r>
      <w:r>
        <w:rPr>
          <w:spacing w:val="-4"/>
        </w:rPr>
        <w:t>о</w:t>
      </w:r>
      <w:r>
        <w:rPr>
          <w:spacing w:val="-4"/>
        </w:rPr>
        <w:t>зяйствах позволяет предупреждать возникновение вспышек и эпизоотий и</w:t>
      </w:r>
      <w:r>
        <w:rPr>
          <w:spacing w:val="-4"/>
        </w:rPr>
        <w:t>н</w:t>
      </w:r>
      <w:r>
        <w:rPr>
          <w:spacing w:val="-4"/>
        </w:rPr>
        <w:t>фекционных болезней среди свиней, в том числе и среди п</w:t>
      </w:r>
      <w:r>
        <w:rPr>
          <w:spacing w:val="-4"/>
        </w:rPr>
        <w:t>о</w:t>
      </w:r>
      <w:r>
        <w:rPr>
          <w:spacing w:val="-4"/>
        </w:rPr>
        <w:t>росят.</w:t>
      </w:r>
    </w:p>
    <w:p w:rsidR="00F4654E" w:rsidRDefault="00F4654E">
      <w:pPr>
        <w:pStyle w:val="a4"/>
      </w:pPr>
      <w:r>
        <w:t>УДК 619.577.1:612.017.11/.12:636</w:t>
      </w:r>
    </w:p>
    <w:p w:rsidR="00F4654E" w:rsidRDefault="00F4654E">
      <w:pPr>
        <w:pStyle w:val="1"/>
      </w:pPr>
      <w:bookmarkStart w:id="154" w:name="_Toc10731534"/>
      <w:bookmarkStart w:id="155" w:name="_Toc10891528"/>
      <w:bookmarkStart w:id="156" w:name="_Toc10892203"/>
      <w:bookmarkStart w:id="157" w:name="_Toc11390049"/>
      <w:bookmarkStart w:id="158" w:name="_Toc11839728"/>
      <w:bookmarkStart w:id="159" w:name="_Toc11937264"/>
      <w:r>
        <w:t>ЗНАЧЕНИЕ антиоксидантного статуса в адаптивной гетерогенности и иммунологической резистентности животных</w:t>
      </w:r>
      <w:bookmarkEnd w:id="154"/>
      <w:bookmarkEnd w:id="155"/>
      <w:bookmarkEnd w:id="156"/>
      <w:bookmarkEnd w:id="157"/>
      <w:bookmarkEnd w:id="158"/>
      <w:bookmarkEnd w:id="159"/>
      <w:r>
        <w:t xml:space="preserve"> </w:t>
      </w:r>
    </w:p>
    <w:p w:rsidR="00F4654E" w:rsidRDefault="00F4654E">
      <w:pPr>
        <w:pStyle w:val="2"/>
      </w:pPr>
      <w:bookmarkStart w:id="160" w:name="_Toc10731535"/>
      <w:bookmarkStart w:id="161" w:name="_Toc10891529"/>
      <w:bookmarkStart w:id="162" w:name="_Toc10892204"/>
      <w:bookmarkStart w:id="163" w:name="_Toc11390050"/>
      <w:bookmarkStart w:id="164" w:name="_Toc11937265"/>
      <w:r>
        <w:t>Рецкий М.И., Бузлама В.С, Шахов А.Г.</w:t>
      </w:r>
      <w:bookmarkEnd w:id="160"/>
      <w:bookmarkEnd w:id="161"/>
      <w:bookmarkEnd w:id="162"/>
      <w:bookmarkEnd w:id="163"/>
      <w:bookmarkEnd w:id="164"/>
    </w:p>
    <w:p w:rsidR="00F4654E" w:rsidRDefault="00F4654E">
      <w:pPr>
        <w:pStyle w:val="a5"/>
      </w:pPr>
      <w:r>
        <w:t>Всероссийский НИВИ патологии, фармакологии и терапии</w:t>
      </w:r>
    </w:p>
    <w:p w:rsidR="00F4654E" w:rsidRDefault="00F4654E">
      <w:pPr>
        <w:pStyle w:val="a6"/>
      </w:pPr>
      <w:r>
        <w:t>Исследованиями, проведенными на различных видах сельскохозяйс</w:t>
      </w:r>
      <w:r>
        <w:t>т</w:t>
      </w:r>
      <w:r>
        <w:t>венных животных разных возрастных групп, установлено, что экстремал</w:t>
      </w:r>
      <w:r>
        <w:t>ь</w:t>
      </w:r>
      <w:r>
        <w:t>ные воздействия на организм, независимо от их природы, приводят к акт</w:t>
      </w:r>
      <w:r>
        <w:t>и</w:t>
      </w:r>
      <w:r>
        <w:t>вации процессов пероксидного окисления липидов (ПОЛ). Адаптация к ним сопровождается существенной перестройкой и использование во</w:t>
      </w:r>
      <w:r>
        <w:t>з</w:t>
      </w:r>
      <w:r>
        <w:t>можностей всех звеньев функциональной системы антиоксидантной защ</w:t>
      </w:r>
      <w:r>
        <w:t>и</w:t>
      </w:r>
      <w:r>
        <w:t xml:space="preserve">ты (АОЗ) для достижения полезного для организма результата действия, выражающегося в повышении резистентности организма. В связи с этим проблема «здоровье–болезнь», «адаптация–дезадаптация» – это во многом вопрос сохранения или нарушения оптимального соотношения и уровня функционирования различных компонентов антиоксидантной системы. </w:t>
      </w:r>
    </w:p>
    <w:p w:rsidR="00F4654E" w:rsidRDefault="00F4654E">
      <w:pPr>
        <w:pStyle w:val="a6"/>
      </w:pPr>
      <w:r>
        <w:t>До настоящего времени роль и значение исходного состояния системы антиоксидантной защиты организма и процессов перекисного окисления липидов в адаптивной гетерогенности животных, зависимости характера ответной реакции этих систем на экстремальные воздействия, а также и</w:t>
      </w:r>
      <w:r>
        <w:t>з</w:t>
      </w:r>
      <w:r>
        <w:lastRenderedPageBreak/>
        <w:t>менения продуктивности и возникновения патологических состояний у животных, как результата функциональной недостаточности системы а</w:t>
      </w:r>
      <w:r>
        <w:t>н</w:t>
      </w:r>
      <w:r>
        <w:t xml:space="preserve">тиоксидантной защиты организма остаются мало изученными. </w:t>
      </w:r>
    </w:p>
    <w:p w:rsidR="00F4654E" w:rsidRDefault="00F4654E">
      <w:pPr>
        <w:pStyle w:val="a6"/>
      </w:pPr>
      <w:r>
        <w:t>На примере развития транспортного стресса и последующей адапт</w:t>
      </w:r>
      <w:r>
        <w:t>а</w:t>
      </w:r>
      <w:r>
        <w:t>ции крупного рогатого скота после стрессорного воздействия с использ</w:t>
      </w:r>
      <w:r>
        <w:t>о</w:t>
      </w:r>
      <w:r>
        <w:t>ванием метода многофакторного кластерного анализа установлено, что с</w:t>
      </w:r>
      <w:r>
        <w:t>о</w:t>
      </w:r>
      <w:r>
        <w:t>стояние системы АОЗ и, связанная с этим интенсивность течения проце</w:t>
      </w:r>
      <w:r>
        <w:t>с</w:t>
      </w:r>
      <w:r>
        <w:t>сов ПОЛ играет важную роль в адаптивной гетерогенности животных. У особей, имеющих сниженный адаптивный потенциал, по сравнению с животными адекватно реагирующими на внешние факторы, еще до эк</w:t>
      </w:r>
      <w:r>
        <w:t>с</w:t>
      </w:r>
      <w:r>
        <w:t>тремального воздействия неферментативное звено системы АОЗ характ</w:t>
      </w:r>
      <w:r>
        <w:t>е</w:t>
      </w:r>
      <w:r>
        <w:t xml:space="preserve">ризуется более низким уровнем </w:t>
      </w:r>
      <w:r>
        <w:sym w:font="Symbol" w:char="F061"/>
      </w:r>
      <w:r>
        <w:t>-токоферола, церулоплазмина, восст</w:t>
      </w:r>
      <w:r>
        <w:t>а</w:t>
      </w:r>
      <w:r>
        <w:t>новленного глутатиона (ВГ) при более высокой концентрации в крови его окисленной формы (ОГ). Вследствие этого соотношение ВГ/ОГ у таких особей снижено более, чем в два раза, что является свидетельством уменьшения «буферной» емкости антиоксидантной системы. Наряду с этим для животных с пониженным адаптивным потенциалом характерна более низкая активность таких антиоксидантных ферментов, как суперо</w:t>
      </w:r>
      <w:r>
        <w:t>к</w:t>
      </w:r>
      <w:r>
        <w:t xml:space="preserve">сиддисмутаза, каталаза, глутатионпероксидаза и глутатионредуктаза. </w:t>
      </w:r>
    </w:p>
    <w:p w:rsidR="00F4654E" w:rsidRDefault="00F4654E">
      <w:pPr>
        <w:pStyle w:val="a6"/>
      </w:pPr>
      <w:r>
        <w:t>Такое состояние неферментативного и ферментативного звеньев си</w:t>
      </w:r>
      <w:r>
        <w:t>с</w:t>
      </w:r>
      <w:r>
        <w:t>темы антиоксидантной защиты позволяет говорить о ее сниженной фун</w:t>
      </w:r>
      <w:r>
        <w:t>к</w:t>
      </w:r>
      <w:r>
        <w:t>циональной активности у животных с низким адаптивным потенциалом, а более высокий уровень у них в крови промежуточных и конечных проду</w:t>
      </w:r>
      <w:r>
        <w:t>к</w:t>
      </w:r>
      <w:r>
        <w:t xml:space="preserve">тов ПОЛ свидетельствует о нарушении соотношения прооксидантных и антиоксидантных систем, которое определяет в целом так называемый «антиоксидантный статус организма». </w:t>
      </w:r>
    </w:p>
    <w:p w:rsidR="00F4654E" w:rsidRDefault="00F4654E">
      <w:pPr>
        <w:pStyle w:val="a6"/>
      </w:pPr>
      <w:r>
        <w:t>У животных с высоким адаптивным потенциалом, адекватно реаг</w:t>
      </w:r>
      <w:r>
        <w:t>и</w:t>
      </w:r>
      <w:r>
        <w:t>рующих на экстремальное воздействие, более высокий функциональный уровень неферментативного и ферментативного звеньев системы АОЗ обеспечивает эффективную регуляцию процессов ПОЛ при стрессе и п</w:t>
      </w:r>
      <w:r>
        <w:t>о</w:t>
      </w:r>
      <w:r>
        <w:t>следующей адаптации. У этих животных на начальном этапе после возде</w:t>
      </w:r>
      <w:r>
        <w:t>й</w:t>
      </w:r>
      <w:r>
        <w:t>ствия происходит менее значительная активация процессов ПОЛ и мен</w:t>
      </w:r>
      <w:r>
        <w:t>ь</w:t>
      </w:r>
      <w:r>
        <w:t>шее накопления в крови его продуктов. По мере адаптации уровень пе</w:t>
      </w:r>
      <w:r>
        <w:t>р</w:t>
      </w:r>
      <w:r>
        <w:t>вичных, вторичных и конечных продуктов переоксидации быстро сниж</w:t>
      </w:r>
      <w:r>
        <w:t>а</w:t>
      </w:r>
      <w:r>
        <w:t xml:space="preserve">ется, что свидетельствует о достаточных резервных возможностях системы АОЗ у животных. </w:t>
      </w:r>
    </w:p>
    <w:p w:rsidR="00F4654E" w:rsidRDefault="00F4654E">
      <w:pPr>
        <w:pStyle w:val="a6"/>
      </w:pPr>
      <w:r>
        <w:t>У особей с низким адаптивным потенциалом при повышении фун</w:t>
      </w:r>
      <w:r>
        <w:t>к</w:t>
      </w:r>
      <w:r>
        <w:t>циональной нагрузки на систему АОЗ в результате активации ПОЛ в усл</w:t>
      </w:r>
      <w:r>
        <w:t>о</w:t>
      </w:r>
      <w:r>
        <w:t>виях действия экстремальных факторов и развития состояния стресса пр</w:t>
      </w:r>
      <w:r>
        <w:t>о</w:t>
      </w:r>
      <w:r>
        <w:t>исходит выраженная дестабилизация антиоксидантной системы, проя</w:t>
      </w:r>
      <w:r>
        <w:t>в</w:t>
      </w:r>
      <w:r>
        <w:t>ляющаяся в несостоятельности ее отдельных звеньев. Это приводит к еще большей активации свободнорадикального окисления липидов и избыто</w:t>
      </w:r>
      <w:r>
        <w:t>ч</w:t>
      </w:r>
      <w:r>
        <w:t xml:space="preserve">ного накопления в организме его токсических продуктов. Такое течение </w:t>
      </w:r>
      <w:r>
        <w:lastRenderedPageBreak/>
        <w:t>процессов в условиях стресса при недостаточности системы АОЗ отриц</w:t>
      </w:r>
      <w:r>
        <w:t>а</w:t>
      </w:r>
      <w:r>
        <w:t>тельно сказывается на активности мембраносвязанных ферментов, нар</w:t>
      </w:r>
      <w:r>
        <w:t>у</w:t>
      </w:r>
      <w:r>
        <w:t>шает структуру и функции митохондрий, рибосом, эндоплазматического ретикулума. Вследствие этого нарушается пластическое и энергетическое обеспечение функций организма в условиях осуществления им защитно-приспособительных реакций в ответ на действие экстремальных факторов и стресс из общего звена адаптации превращается в неспецифическое п</w:t>
      </w:r>
      <w:r>
        <w:t>а</w:t>
      </w:r>
      <w:r>
        <w:t>тогенетическое звено большинства заболеваний. При этом в возникнов</w:t>
      </w:r>
      <w:r>
        <w:t>е</w:t>
      </w:r>
      <w:r>
        <w:t>нии той или иной патологии существенное значение имеет как характер действующего фактора, так и условия в которых он действует, опред</w:t>
      </w:r>
      <w:r>
        <w:t>е</w:t>
      </w:r>
      <w:r>
        <w:t>ляющие орган-мишень где развивается патологический процесс.</w:t>
      </w:r>
    </w:p>
    <w:p w:rsidR="00F4654E" w:rsidRDefault="00F4654E">
      <w:pPr>
        <w:pStyle w:val="a6"/>
      </w:pPr>
      <w:r>
        <w:t>Так со стрессом, как одной из этиологических причин, связывают во</w:t>
      </w:r>
      <w:r>
        <w:t>з</w:t>
      </w:r>
      <w:r>
        <w:t>никновение у сельскохозяйственных животных желудочно-кишечных и респираторных заболеваний, в развитии которых существенная роль пр</w:t>
      </w:r>
      <w:r>
        <w:t>и</w:t>
      </w:r>
      <w:r>
        <w:t>надлежит условно-патогенной и патогенной микрофлоре. Кроме этого весьма важным обстоятельством является и общепризнанное иммунос</w:t>
      </w:r>
      <w:r>
        <w:t>у</w:t>
      </w:r>
      <w:r>
        <w:t>прессивное действие стресса, проявляющееся в угнетении как факторов клеточного, так и гуморального иммунитета.</w:t>
      </w:r>
    </w:p>
    <w:p w:rsidR="00F4654E" w:rsidRDefault="00F4654E">
      <w:pPr>
        <w:pStyle w:val="a6"/>
      </w:pPr>
      <w:r>
        <w:t>Анализ результатов проведенных исследований свидетельствует о том, что одной из причин, приводящих к супрессии факторов неспециф</w:t>
      </w:r>
      <w:r>
        <w:t>и</w:t>
      </w:r>
      <w:r>
        <w:t>ческой иммунологической резистентности организма, является накопление в организме высокоактивных продуктов свободнорадикального окисления липидов, практически всегда сопровождающее развитие стрессового с</w:t>
      </w:r>
      <w:r>
        <w:t>о</w:t>
      </w:r>
      <w:r>
        <w:t>стояния. На это указывает существование достаточно сильной корреляти</w:t>
      </w:r>
      <w:r>
        <w:t>в</w:t>
      </w:r>
      <w:r>
        <w:t>ной взаимосвязи между уровнем продуктов ПОЛ и показателями неспец</w:t>
      </w:r>
      <w:r>
        <w:t>и</w:t>
      </w:r>
      <w:r>
        <w:t>фического гуморального иммунитета в динамике развития состояния стресса и последующей адаптации, установленной в опытах на разных в</w:t>
      </w:r>
      <w:r>
        <w:t>и</w:t>
      </w:r>
      <w:r>
        <w:t xml:space="preserve">дах животных и при различных экстремальных воздействиях. </w:t>
      </w:r>
    </w:p>
    <w:p w:rsidR="00F4654E" w:rsidRDefault="00F4654E">
      <w:pPr>
        <w:pStyle w:val="a6"/>
        <w:rPr>
          <w:spacing w:val="-2"/>
        </w:rPr>
      </w:pPr>
      <w:r>
        <w:rPr>
          <w:spacing w:val="-2"/>
        </w:rPr>
        <w:t>Снижение уровня гуморальных факторов неспецифической резистен</w:t>
      </w:r>
      <w:r>
        <w:rPr>
          <w:spacing w:val="-2"/>
        </w:rPr>
        <w:t>т</w:t>
      </w:r>
      <w:r>
        <w:rPr>
          <w:spacing w:val="-2"/>
        </w:rPr>
        <w:t xml:space="preserve">ности может быть вызвано, по меньшей мере, двумя причинами. </w:t>
      </w:r>
    </w:p>
    <w:p w:rsidR="00F4654E" w:rsidRDefault="00F4654E">
      <w:pPr>
        <w:pStyle w:val="a6"/>
        <w:rPr>
          <w:spacing w:val="-2"/>
        </w:rPr>
      </w:pPr>
      <w:r>
        <w:rPr>
          <w:spacing w:val="-2"/>
        </w:rPr>
        <w:t>Во-первых, в условиях, способствующих накоплению перекисных пр</w:t>
      </w:r>
      <w:r>
        <w:rPr>
          <w:spacing w:val="-2"/>
        </w:rPr>
        <w:t>о</w:t>
      </w:r>
      <w:r>
        <w:rPr>
          <w:spacing w:val="-2"/>
        </w:rPr>
        <w:t>дуктов, происх</w:t>
      </w:r>
      <w:r>
        <w:rPr>
          <w:spacing w:val="-2"/>
        </w:rPr>
        <w:t>о</w:t>
      </w:r>
      <w:r>
        <w:rPr>
          <w:spacing w:val="-2"/>
        </w:rPr>
        <w:t xml:space="preserve">дят нарушения в системе мононуклеарных фагоцитов-макрофагов, связанное с угнетением их функций в результате нарушения структуры клеточных мембран фагоцитов. </w:t>
      </w:r>
    </w:p>
    <w:p w:rsidR="00F4654E" w:rsidRDefault="00F4654E">
      <w:pPr>
        <w:pStyle w:val="a6"/>
        <w:rPr>
          <w:spacing w:val="-2"/>
        </w:rPr>
      </w:pPr>
      <w:r>
        <w:rPr>
          <w:spacing w:val="-2"/>
        </w:rPr>
        <w:t>Во-вторых, не менее существенной причиной снижения активности факторов неспецифической резистентности при стрессе, является модиф</w:t>
      </w:r>
      <w:r>
        <w:rPr>
          <w:spacing w:val="-2"/>
        </w:rPr>
        <w:t>и</w:t>
      </w:r>
      <w:r>
        <w:rPr>
          <w:spacing w:val="-2"/>
        </w:rPr>
        <w:t>цирующее действие вторичных продуктов ПОЛ на молекулярную структуру циркулирующих в организме неспецифических гуморальных факторов и</w:t>
      </w:r>
      <w:r>
        <w:rPr>
          <w:spacing w:val="-2"/>
        </w:rPr>
        <w:t>м</w:t>
      </w:r>
      <w:r>
        <w:rPr>
          <w:spacing w:val="-2"/>
        </w:rPr>
        <w:t>мунитета, имеющих белковую природу и механизм биологического дейс</w:t>
      </w:r>
      <w:r>
        <w:rPr>
          <w:spacing w:val="-2"/>
        </w:rPr>
        <w:t>т</w:t>
      </w:r>
      <w:r>
        <w:rPr>
          <w:spacing w:val="-2"/>
        </w:rPr>
        <w:t>вия которых обусловлен, в той или иной степени, их ферментативной а</w:t>
      </w:r>
      <w:r>
        <w:rPr>
          <w:spacing w:val="-2"/>
        </w:rPr>
        <w:t>к</w:t>
      </w:r>
      <w:r>
        <w:rPr>
          <w:spacing w:val="-2"/>
        </w:rPr>
        <w:t xml:space="preserve">тивностью. </w:t>
      </w:r>
    </w:p>
    <w:p w:rsidR="00F4654E" w:rsidRDefault="00F4654E">
      <w:pPr>
        <w:pStyle w:val="a6"/>
        <w:rPr>
          <w:spacing w:val="-2"/>
        </w:rPr>
      </w:pPr>
      <w:r>
        <w:rPr>
          <w:spacing w:val="-2"/>
        </w:rPr>
        <w:t xml:space="preserve">Модифицирующее действие токсических продуктов ПОЛ на белковую молекулу связано с окислением входящих в ее структуру SH-групп, нередко </w:t>
      </w:r>
      <w:r>
        <w:rPr>
          <w:spacing w:val="-2"/>
        </w:rPr>
        <w:lastRenderedPageBreak/>
        <w:t>локализованных в активных центрах белков-ферментов, а также с образов</w:t>
      </w:r>
      <w:r>
        <w:rPr>
          <w:spacing w:val="-2"/>
        </w:rPr>
        <w:t>а</w:t>
      </w:r>
      <w:r>
        <w:rPr>
          <w:spacing w:val="-2"/>
        </w:rPr>
        <w:t xml:space="preserve">нием межмолекулярных «сшивок» при взаимодействии с концевыми </w:t>
      </w:r>
      <w:r>
        <w:rPr>
          <w:spacing w:val="-2"/>
        </w:rPr>
        <w:sym w:font="Symbol" w:char="F061"/>
      </w:r>
      <w:r>
        <w:rPr>
          <w:spacing w:val="-2"/>
        </w:rPr>
        <w:t>-NH</w:t>
      </w:r>
      <w:r>
        <w:rPr>
          <w:spacing w:val="-2"/>
          <w:vertAlign w:val="subscript"/>
        </w:rPr>
        <w:t>2</w:t>
      </w:r>
      <w:r>
        <w:rPr>
          <w:spacing w:val="-2"/>
        </w:rPr>
        <w:t> - группами полипептидной цепи с образованием оснований Шиффа. На это косвенно указывает снижение уровня общих тиолов в крови, основная масса которых представлена SH-группами белков, а также значительное увеличением содержания в крови флуоресцирующих оснований Шиффа, наблюдаемое при различных экстремальных воздействиях. Результатом т</w:t>
      </w:r>
      <w:r>
        <w:rPr>
          <w:spacing w:val="-2"/>
        </w:rPr>
        <w:t>а</w:t>
      </w:r>
      <w:r>
        <w:rPr>
          <w:spacing w:val="-2"/>
        </w:rPr>
        <w:t>кого модифицирующего действия продуктов ПОЛ на белковую молекулу является снижение ее каталитической активности. В связи с этим станови</w:t>
      </w:r>
      <w:r>
        <w:rPr>
          <w:spacing w:val="-2"/>
        </w:rPr>
        <w:t>т</w:t>
      </w:r>
      <w:r>
        <w:rPr>
          <w:spacing w:val="-2"/>
        </w:rPr>
        <w:t>ся более понятным, что когда речь идет о снижении, в частности, уровня л</w:t>
      </w:r>
      <w:r>
        <w:rPr>
          <w:spacing w:val="-2"/>
        </w:rPr>
        <w:t>и</w:t>
      </w:r>
      <w:r>
        <w:rPr>
          <w:spacing w:val="-2"/>
        </w:rPr>
        <w:t xml:space="preserve">зоцима, </w:t>
      </w:r>
      <w:r>
        <w:rPr>
          <w:spacing w:val="-2"/>
        </w:rPr>
        <w:sym w:font="Symbol" w:char="F062"/>
      </w:r>
      <w:r>
        <w:rPr>
          <w:spacing w:val="-2"/>
        </w:rPr>
        <w:noBreakHyphen/>
        <w:t>лизинов, активности комплемента, и т.п., то имеется в виду сн</w:t>
      </w:r>
      <w:r>
        <w:rPr>
          <w:spacing w:val="-2"/>
        </w:rPr>
        <w:t>и</w:t>
      </w:r>
      <w:r>
        <w:rPr>
          <w:spacing w:val="-2"/>
        </w:rPr>
        <w:t>жение их специфической каталитической активности, так как большинство методов определения указанных факторов неспецифической иммунолог</w:t>
      </w:r>
      <w:r>
        <w:rPr>
          <w:spacing w:val="-2"/>
        </w:rPr>
        <w:t>и</w:t>
      </w:r>
      <w:r>
        <w:rPr>
          <w:spacing w:val="-2"/>
        </w:rPr>
        <w:t>ческой резистентности основаны на регистрации именно их ферментати</w:t>
      </w:r>
      <w:r>
        <w:rPr>
          <w:spacing w:val="-2"/>
        </w:rPr>
        <w:t>в</w:t>
      </w:r>
      <w:r>
        <w:rPr>
          <w:spacing w:val="-2"/>
        </w:rPr>
        <w:t>ной акти</w:t>
      </w:r>
      <w:r>
        <w:rPr>
          <w:spacing w:val="-2"/>
        </w:rPr>
        <w:t>в</w:t>
      </w:r>
      <w:r>
        <w:rPr>
          <w:spacing w:val="-2"/>
        </w:rPr>
        <w:t>ности.</w:t>
      </w:r>
    </w:p>
    <w:p w:rsidR="00F4654E" w:rsidRDefault="00F4654E">
      <w:pPr>
        <w:pStyle w:val="a6"/>
      </w:pPr>
      <w:r>
        <w:t>Высказанное предположение подтверждается наличием тесной вза</w:t>
      </w:r>
      <w:r>
        <w:t>и</w:t>
      </w:r>
      <w:r>
        <w:t xml:space="preserve">мосвязи  (r = </w:t>
      </w:r>
      <w:r>
        <w:sym w:font="Symbol" w:char="F0B1"/>
      </w:r>
      <w:r>
        <w:t xml:space="preserve"> 0,6 – 0,8) показателей неспецифической иммунологической сопротивляемости с показателями, характеризующими не только инте</w:t>
      </w:r>
      <w:r>
        <w:t>н</w:t>
      </w:r>
      <w:r>
        <w:t>сивность течения процессов ПОЛ, но и состояние различных звеньев си</w:t>
      </w:r>
      <w:r>
        <w:t>с</w:t>
      </w:r>
      <w:r>
        <w:t>темы АОЗ организма. При этом результаты корреляционного анализа п</w:t>
      </w:r>
      <w:r>
        <w:t>о</w:t>
      </w:r>
      <w:r>
        <w:t>казывают, что уровень факторов гуморального иммунитета в большей ст</w:t>
      </w:r>
      <w:r>
        <w:t>е</w:t>
      </w:r>
      <w:r>
        <w:t>пени зависит от состояния неферментативного звена системы АОЗ, а ур</w:t>
      </w:r>
      <w:r>
        <w:t>о</w:t>
      </w:r>
      <w:r>
        <w:t>вень метаболической активности нейтрофилов, характеризующей в какой-то мере состояние клеточного звена неспецифической иммунологической резистентности, в большей степени взаимосвязан с показателями ферме</w:t>
      </w:r>
      <w:r>
        <w:t>н</w:t>
      </w:r>
      <w:r>
        <w:t>тативного звена системы АОЗ, что, вероятно, объясняется особой ролью активных форм кислорода в процессах фагоцитоза.</w:t>
      </w:r>
    </w:p>
    <w:p w:rsidR="00A11B7B" w:rsidRDefault="00F4654E">
      <w:pPr>
        <w:pStyle w:val="a6"/>
      </w:pPr>
      <w:r>
        <w:t>Таким образом, понимание важнейшей роли реакций свободнорад</w:t>
      </w:r>
      <w:r>
        <w:t>и</w:t>
      </w:r>
      <w:r>
        <w:t>кального окисления липидов и состояния антиоксидантной системы при изменении условий внешней и внутренней среды является важнейшим фактором, который надо учитывать при разработке научно-обоснованных подходов к управлению продуктивным здоровьем животных, методов профилактики и комплексной терапии наиболее распространенных забол</w:t>
      </w:r>
      <w:r>
        <w:t>е</w:t>
      </w:r>
      <w:r>
        <w:t xml:space="preserve">ваний животных. </w:t>
      </w:r>
    </w:p>
    <w:p w:rsidR="00F4654E" w:rsidRPr="00A11B7B" w:rsidRDefault="00F4654E">
      <w:pPr>
        <w:pStyle w:val="a6"/>
        <w:rPr>
          <w:spacing w:val="-2"/>
        </w:rPr>
      </w:pPr>
      <w:r w:rsidRPr="00A11B7B">
        <w:rPr>
          <w:spacing w:val="-2"/>
        </w:rPr>
        <w:t>Кроме этого комплексный подход к изучению этих процессов позвол</w:t>
      </w:r>
      <w:r w:rsidRPr="00A11B7B">
        <w:rPr>
          <w:spacing w:val="-2"/>
        </w:rPr>
        <w:t>я</w:t>
      </w:r>
      <w:r w:rsidRPr="00A11B7B">
        <w:rPr>
          <w:spacing w:val="-2"/>
        </w:rPr>
        <w:t>ет понять многие фундаментальные закономерности не только индивид</w:t>
      </w:r>
      <w:r w:rsidRPr="00A11B7B">
        <w:rPr>
          <w:spacing w:val="-2"/>
        </w:rPr>
        <w:t>у</w:t>
      </w:r>
      <w:r w:rsidRPr="00A11B7B">
        <w:rPr>
          <w:spacing w:val="-2"/>
        </w:rPr>
        <w:t>ального, но и эволюционного развития биохимических адаптаций живо</w:t>
      </w:r>
      <w:r w:rsidRPr="00A11B7B">
        <w:rPr>
          <w:spacing w:val="-2"/>
        </w:rPr>
        <w:t>т</w:t>
      </w:r>
      <w:r w:rsidRPr="00A11B7B">
        <w:rPr>
          <w:spacing w:val="-2"/>
        </w:rPr>
        <w:t>ных, определить основные звенья метаболизма изменяющиеся при взаим</w:t>
      </w:r>
      <w:r w:rsidRPr="00A11B7B">
        <w:rPr>
          <w:spacing w:val="-2"/>
        </w:rPr>
        <w:t>о</w:t>
      </w:r>
      <w:r w:rsidRPr="00A11B7B">
        <w:rPr>
          <w:spacing w:val="-2"/>
        </w:rPr>
        <w:t>действии организма с факторами окружающей среды и более глубоко о</w:t>
      </w:r>
      <w:r w:rsidRPr="00A11B7B">
        <w:rPr>
          <w:spacing w:val="-2"/>
        </w:rPr>
        <w:t>с</w:t>
      </w:r>
      <w:r w:rsidRPr="00A11B7B">
        <w:rPr>
          <w:spacing w:val="-2"/>
        </w:rPr>
        <w:t xml:space="preserve">мыслить те клеточные и молекулярные </w:t>
      </w:r>
      <w:r w:rsidR="00A11B7B" w:rsidRPr="00A11B7B">
        <w:rPr>
          <w:spacing w:val="-2"/>
        </w:rPr>
        <w:t>механизмы</w:t>
      </w:r>
      <w:r w:rsidRPr="00A11B7B">
        <w:rPr>
          <w:spacing w:val="-2"/>
        </w:rPr>
        <w:t>, которые л</w:t>
      </w:r>
      <w:r w:rsidRPr="00A11B7B">
        <w:rPr>
          <w:spacing w:val="-2"/>
        </w:rPr>
        <w:t>е</w:t>
      </w:r>
      <w:r w:rsidRPr="00A11B7B">
        <w:rPr>
          <w:spacing w:val="-2"/>
        </w:rPr>
        <w:t>жат в основе регуляции гомеостаза в норме, пр</w:t>
      </w:r>
      <w:r w:rsidR="00A11B7B" w:rsidRPr="00A11B7B">
        <w:rPr>
          <w:spacing w:val="-2"/>
        </w:rPr>
        <w:t xml:space="preserve">оцессах </w:t>
      </w:r>
      <w:r w:rsidRPr="00A11B7B">
        <w:rPr>
          <w:spacing w:val="-2"/>
        </w:rPr>
        <w:t>адаптации и при патол</w:t>
      </w:r>
      <w:r w:rsidRPr="00A11B7B">
        <w:rPr>
          <w:spacing w:val="-2"/>
        </w:rPr>
        <w:t>о</w:t>
      </w:r>
      <w:r w:rsidRPr="00A11B7B">
        <w:rPr>
          <w:spacing w:val="-2"/>
        </w:rPr>
        <w:t>гии.</w:t>
      </w:r>
    </w:p>
    <w:p w:rsidR="00F4654E" w:rsidRDefault="00F4654E">
      <w:pPr>
        <w:pStyle w:val="a6"/>
      </w:pPr>
    </w:p>
    <w:p w:rsidR="00F4654E" w:rsidRDefault="00F4654E">
      <w:pPr>
        <w:pStyle w:val="a4"/>
      </w:pPr>
      <w:r>
        <w:lastRenderedPageBreak/>
        <w:t>удк 619:612.015.3:616-053.31-084:636.22/.28</w:t>
      </w:r>
    </w:p>
    <w:p w:rsidR="00F4654E" w:rsidRDefault="00F4654E">
      <w:pPr>
        <w:pStyle w:val="1"/>
      </w:pPr>
      <w:bookmarkStart w:id="165" w:name="_Toc10731552"/>
      <w:bookmarkStart w:id="166" w:name="_Toc11390051"/>
      <w:bookmarkStart w:id="167" w:name="_Toc11839730"/>
      <w:bookmarkStart w:id="168" w:name="_Toc11937266"/>
      <w:r>
        <w:t>Оптимизация метаболического статуса коров-матереЙ –основа профилактики неонатальных болезней телят</w:t>
      </w:r>
      <w:bookmarkEnd w:id="165"/>
      <w:bookmarkEnd w:id="166"/>
      <w:bookmarkEnd w:id="167"/>
      <w:bookmarkEnd w:id="168"/>
    </w:p>
    <w:p w:rsidR="00F4654E" w:rsidRDefault="00F4654E">
      <w:pPr>
        <w:pStyle w:val="2"/>
      </w:pPr>
      <w:bookmarkStart w:id="169" w:name="_Toc10731553"/>
      <w:bookmarkStart w:id="170" w:name="_Toc11032366"/>
      <w:bookmarkStart w:id="171" w:name="_Toc11390052"/>
      <w:bookmarkStart w:id="172" w:name="_Toc11937267"/>
      <w:r>
        <w:t>Самохин В.Т., Рецкий М.И., Шушлебин В.И.</w:t>
      </w:r>
      <w:bookmarkEnd w:id="169"/>
      <w:bookmarkEnd w:id="170"/>
      <w:bookmarkEnd w:id="171"/>
      <w:bookmarkEnd w:id="172"/>
    </w:p>
    <w:p w:rsidR="00F4654E" w:rsidRDefault="00F4654E">
      <w:pPr>
        <w:pStyle w:val="a5"/>
      </w:pPr>
      <w:r>
        <w:t>Всероссийский НИВИ патологии, фармакологии и терапии</w:t>
      </w:r>
    </w:p>
    <w:p w:rsidR="00F4654E" w:rsidRDefault="00F4654E">
      <w:pPr>
        <w:pStyle w:val="a6"/>
      </w:pPr>
      <w:r>
        <w:t>Биологический комплекс «мать–плод–новорожденный» следует ра</w:t>
      </w:r>
      <w:r>
        <w:t>с</w:t>
      </w:r>
      <w:r>
        <w:t>сматривать как единую систему при разработке рациональных методов профилактики и борьбы с неонатальными болезнями, т.к. существует пр</w:t>
      </w:r>
      <w:r>
        <w:t>я</w:t>
      </w:r>
      <w:r>
        <w:t>мая зависимость между состоянием обмена веществ, уровнем естественной резистентности организма коров, внутриутробным развитием плода, с</w:t>
      </w:r>
      <w:r>
        <w:t>о</w:t>
      </w:r>
      <w:r>
        <w:t xml:space="preserve">стоянием здоровья и сохранностью новорожденных телят. </w:t>
      </w:r>
    </w:p>
    <w:p w:rsidR="00F4654E" w:rsidRDefault="00F4654E">
      <w:pPr>
        <w:pStyle w:val="a6"/>
      </w:pPr>
      <w:r>
        <w:rPr>
          <w:spacing w:val="-4"/>
        </w:rPr>
        <w:t>Главными причинами нарушений течения процессов всех видов обмена веществ, низкого уровня естественной резистентности и иммунологической реактивности у коров-матерей и родившихся от них телят являются:</w:t>
      </w:r>
      <w:r w:rsidR="00A11B7B">
        <w:rPr>
          <w:spacing w:val="-4"/>
        </w:rPr>
        <w:t xml:space="preserve"> </w:t>
      </w:r>
      <w:r>
        <w:t>дисб</w:t>
      </w:r>
      <w:r>
        <w:t>а</w:t>
      </w:r>
      <w:r>
        <w:t>ланс питательных веществ в рационах кормления, несоблюдение разраб</w:t>
      </w:r>
      <w:r>
        <w:t>о</w:t>
      </w:r>
      <w:r>
        <w:t>танных нормативов полноценного сбалансированного питания;</w:t>
      </w:r>
      <w:r w:rsidR="00A11B7B">
        <w:t xml:space="preserve"> </w:t>
      </w:r>
      <w:r>
        <w:t xml:space="preserve"> скармл</w:t>
      </w:r>
      <w:r>
        <w:t>и</w:t>
      </w:r>
      <w:r>
        <w:t>вание грубых кормов, пораженных грибами, комбикормов и концентратов, приготовленных их некачественного зерна;</w:t>
      </w:r>
      <w:r w:rsidR="00A11B7B">
        <w:t xml:space="preserve"> </w:t>
      </w:r>
      <w:r>
        <w:t>постоянное стойловое соде</w:t>
      </w:r>
      <w:r>
        <w:t>р</w:t>
      </w:r>
      <w:r>
        <w:t>жание, отсутствие активного моциона, УФ-облучения, содержание живо</w:t>
      </w:r>
      <w:r>
        <w:t>т</w:t>
      </w:r>
      <w:r>
        <w:t>ных в помещениях с неудовлетвор</w:t>
      </w:r>
      <w:r>
        <w:t>и</w:t>
      </w:r>
      <w:r>
        <w:t>тельными параметрами микроклимата и др.;</w:t>
      </w:r>
      <w:r w:rsidR="00A11B7B">
        <w:t xml:space="preserve"> </w:t>
      </w:r>
      <w:r>
        <w:t>стрессовый характер отдельных этапов технологии получения ж</w:t>
      </w:r>
      <w:r>
        <w:t>и</w:t>
      </w:r>
      <w:r>
        <w:t>вотноводческой продукции.</w:t>
      </w:r>
    </w:p>
    <w:p w:rsidR="00F4654E" w:rsidRDefault="00F4654E">
      <w:pPr>
        <w:pStyle w:val="a6"/>
      </w:pPr>
      <w:r>
        <w:tab/>
        <w:t>Указанные этиологические и предрасполагающие факторы оказыв</w:t>
      </w:r>
      <w:r>
        <w:t>а</w:t>
      </w:r>
      <w:r>
        <w:t>ют неблагоприятное воздействие на организм стельных коров и нетелей чаще всего в различных сочетаниях. Однако одними из ведущих являются дефицит в рационе и, соответственно, в организме животных жиро - и в</w:t>
      </w:r>
      <w:r>
        <w:t>о</w:t>
      </w:r>
      <w:r>
        <w:t>дорастворимых витаминов, меди, цинка, марганца, кобальта, йода, селена. В зимне-стойловый период уровень дефицита витамином и микроэлеме</w:t>
      </w:r>
      <w:r>
        <w:t>н</w:t>
      </w:r>
      <w:r>
        <w:t>тов составляет от 30 до 70% норм потребности в них животных.</w:t>
      </w:r>
    </w:p>
    <w:p w:rsidR="00F4654E" w:rsidRDefault="00F4654E">
      <w:pPr>
        <w:pStyle w:val="a6"/>
      </w:pPr>
      <w:r>
        <w:tab/>
        <w:t>В этих условиях в организме коров регистрируют нарушения теч</w:t>
      </w:r>
      <w:r>
        <w:t>е</w:t>
      </w:r>
      <w:r>
        <w:t>ния практически всех видов обмена веществ и, прежде всего, снижение и</w:t>
      </w:r>
      <w:r>
        <w:t>н</w:t>
      </w:r>
      <w:r>
        <w:t>тенсивности обмена нуклеиновых кислот, что определяет интенсивность биосинтеза белков, в том числе ферментов, гормонов, иммуноглобулинов и т.д. Это ведет к нарушениям внутритканевого обмена белков, липидов, углеводов, витаминов, минеральных веществ, что приводит к развитию субклеточных патологических изменений, определяющих характер теч</w:t>
      </w:r>
      <w:r>
        <w:t>е</w:t>
      </w:r>
      <w:r>
        <w:t>ния процессов обмена в органах и тканях. В конечном итоге все это прив</w:t>
      </w:r>
      <w:r>
        <w:t>о</w:t>
      </w:r>
      <w:r>
        <w:t>дит к снижению их функциональной активности и проявляется нарушен</w:t>
      </w:r>
      <w:r>
        <w:t>и</w:t>
      </w:r>
      <w:r>
        <w:t>ем воспроизводительной способности, снижением продуктивности, рез</w:t>
      </w:r>
      <w:r>
        <w:t>и</w:t>
      </w:r>
      <w:r>
        <w:t>стентности и иммунобиологической реактивности коров-матерей.</w:t>
      </w:r>
    </w:p>
    <w:p w:rsidR="00A11B7B" w:rsidRDefault="00F4654E">
      <w:pPr>
        <w:pStyle w:val="a6"/>
      </w:pPr>
      <w:r>
        <w:t xml:space="preserve">Патологические изменения в обмене веществ, морфофункциональном состоянии органов и систем в организме беременных животных являются </w:t>
      </w:r>
      <w:r>
        <w:lastRenderedPageBreak/>
        <w:t>одной из основных причин патологических изменений в обмене, структуре и функции всех органов и систем плода в процессе внутриутробного ра</w:t>
      </w:r>
      <w:r>
        <w:t>з</w:t>
      </w:r>
      <w:r>
        <w:t>вития. В результате этого рождается гипотрофичный молодняк с низким уровнем естественной резистентности и иммунобиологической реактивн</w:t>
      </w:r>
      <w:r>
        <w:t>о</w:t>
      </w:r>
      <w:r>
        <w:t xml:space="preserve">сти (иммунодефицит). В связи с этим новорожденные не может адекватно адаптироваться к воздействию различных факторов внешней среды. </w:t>
      </w:r>
    </w:p>
    <w:p w:rsidR="00F4654E" w:rsidRDefault="00F4654E">
      <w:pPr>
        <w:pStyle w:val="a6"/>
      </w:pPr>
      <w:r>
        <w:t>Н</w:t>
      </w:r>
      <w:r>
        <w:t>а</w:t>
      </w:r>
      <w:r>
        <w:t>рушение и несовершенство адаптационных процессов в первые дни жизни проявляются, чаще всего, в развитии желудочно-кишечных, респ</w:t>
      </w:r>
      <w:r>
        <w:t>и</w:t>
      </w:r>
      <w:r>
        <w:t>раторных заболеваний, в том числе и инфекционной этиологии. На леч</w:t>
      </w:r>
      <w:r>
        <w:t>е</w:t>
      </w:r>
      <w:r>
        <w:t>ние ра</w:t>
      </w:r>
      <w:r>
        <w:t>с</w:t>
      </w:r>
      <w:r>
        <w:t>ходуются большие силы ветспециалистов и материальные средства на приобретение лекарственных препаратов. При этом лечение не всегда бывает успешным. У переболевших телят резко снижается возможность оптимального проявления генетического потенциала высокой продукти</w:t>
      </w:r>
      <w:r>
        <w:t>в</w:t>
      </w:r>
      <w:r>
        <w:t>ности. Все это наносит хозяйствам огромный экономический ущерб.</w:t>
      </w:r>
    </w:p>
    <w:p w:rsidR="00F4654E" w:rsidRDefault="00F4654E">
      <w:pPr>
        <w:pStyle w:val="a6"/>
      </w:pPr>
      <w:r>
        <w:t>Профилактика заболеваний новорожденных телят должна быть пл</w:t>
      </w:r>
      <w:r>
        <w:t>а</w:t>
      </w:r>
      <w:r>
        <w:t>новой, групповой и включать комплекс мероприятий по контролю за с</w:t>
      </w:r>
      <w:r>
        <w:t>о</w:t>
      </w:r>
      <w:r>
        <w:t>стоянием обмена веществ у маточного поголовья и его оптимизации по итогам лабораторных исследований. Систематический контроль за обм</w:t>
      </w:r>
      <w:r>
        <w:t>е</w:t>
      </w:r>
      <w:r>
        <w:t>ном осуществляется путем проведения биохимических исследований кр</w:t>
      </w:r>
      <w:r>
        <w:t>о</w:t>
      </w:r>
      <w:r>
        <w:t>ви и определения полноценности рационов кормления. Лабораторные и</w:t>
      </w:r>
      <w:r>
        <w:t>с</w:t>
      </w:r>
      <w:r>
        <w:t>следования проводят планово не реже 1 раза в квартал и внепланово при резкой смене рациона кормления. Особое внимание необходимо уделять полноценности питания по витаминам и минеральным элементам. При д</w:t>
      </w:r>
      <w:r>
        <w:t>е</w:t>
      </w:r>
      <w:r>
        <w:t>фиците их в крови у стельных коров необходимо обязательное их введение в рацион животных путем скармливания солей натрия, фосфора, йода, к</w:t>
      </w:r>
      <w:r>
        <w:t>о</w:t>
      </w:r>
      <w:r>
        <w:t>бальта, меди, марганца, цинка, селена. Состав и дозы добавок должны быть обоснованы с учетом фактического содержания минеральных в</w:t>
      </w:r>
      <w:r>
        <w:t>е</w:t>
      </w:r>
      <w:r>
        <w:t>ществ и витаминов в рационе и подтверждены данными об их содержании в крови животных.</w:t>
      </w:r>
    </w:p>
    <w:p w:rsidR="00F4654E" w:rsidRDefault="00F4654E">
      <w:pPr>
        <w:pStyle w:val="a6"/>
      </w:pPr>
      <w:r>
        <w:t>Многолетние наблюдения свидетельствуют, что строгое соблюдение приведенных выше условий оптимизации метаболического статуса у м</w:t>
      </w:r>
      <w:r>
        <w:t>а</w:t>
      </w:r>
      <w:r>
        <w:t>точного поголовья обеспечивает нормализацию их воспроизводительной функции и получение крепкого жизнеспособного, устойчивого к заболев</w:t>
      </w:r>
      <w:r>
        <w:t>а</w:t>
      </w:r>
      <w:r>
        <w:t>ниям в первые дни жизни приплода не только у молочных коров, но также у свиней и овец.</w:t>
      </w:r>
    </w:p>
    <w:p w:rsidR="00F4654E" w:rsidRDefault="00F4654E">
      <w:pPr>
        <w:pStyle w:val="a4"/>
      </w:pPr>
      <w:r>
        <w:t xml:space="preserve">УДК 619:616-084:619:616.2:619:616-053.2 </w:t>
      </w:r>
    </w:p>
    <w:p w:rsidR="00F4654E" w:rsidRDefault="00F4654E">
      <w:pPr>
        <w:pStyle w:val="1"/>
        <w:spacing w:after="0"/>
      </w:pPr>
      <w:bookmarkStart w:id="173" w:name="_Toc10731590"/>
      <w:bookmarkStart w:id="174" w:name="_Toc11138025"/>
      <w:bookmarkStart w:id="175" w:name="_Toc11138443"/>
      <w:bookmarkStart w:id="176" w:name="_Toc11138861"/>
      <w:bookmarkStart w:id="177" w:name="_Toc11139279"/>
      <w:bookmarkStart w:id="178" w:name="_Toc11139697"/>
      <w:bookmarkStart w:id="179" w:name="_Toc11140115"/>
      <w:bookmarkStart w:id="180" w:name="_Toc11140533"/>
      <w:bookmarkStart w:id="181" w:name="_Toc11390053"/>
      <w:bookmarkStart w:id="182" w:name="_Toc11839732"/>
      <w:bookmarkStart w:id="183" w:name="_Toc11937268"/>
      <w:r>
        <w:t>Профилактика вирусных респираторных болезней телят</w:t>
      </w:r>
      <w:bookmarkEnd w:id="173"/>
      <w:bookmarkEnd w:id="174"/>
      <w:bookmarkEnd w:id="175"/>
      <w:bookmarkEnd w:id="176"/>
      <w:bookmarkEnd w:id="177"/>
      <w:bookmarkEnd w:id="178"/>
      <w:bookmarkEnd w:id="179"/>
      <w:bookmarkEnd w:id="180"/>
      <w:bookmarkEnd w:id="181"/>
      <w:bookmarkEnd w:id="182"/>
      <w:bookmarkEnd w:id="183"/>
    </w:p>
    <w:p w:rsidR="00F4654E" w:rsidRDefault="00F4654E">
      <w:pPr>
        <w:pStyle w:val="2"/>
      </w:pPr>
      <w:bookmarkStart w:id="184" w:name="_Toc10731591"/>
      <w:bookmarkStart w:id="185" w:name="_Toc11032376"/>
      <w:bookmarkStart w:id="186" w:name="_Toc11138026"/>
      <w:bookmarkStart w:id="187" w:name="_Toc11138444"/>
      <w:bookmarkStart w:id="188" w:name="_Toc11138862"/>
      <w:bookmarkStart w:id="189" w:name="_Toc11139280"/>
      <w:bookmarkStart w:id="190" w:name="_Toc11139698"/>
      <w:bookmarkStart w:id="191" w:name="_Toc11140116"/>
      <w:bookmarkStart w:id="192" w:name="_Toc11140534"/>
      <w:bookmarkStart w:id="193" w:name="_Toc11390054"/>
      <w:bookmarkStart w:id="194" w:name="_Toc11937269"/>
      <w:r>
        <w:t>Сисягин П.Н., Реджепова Г.Р., Убитина И.В., Зоткин Г.В.</w:t>
      </w:r>
      <w:bookmarkEnd w:id="184"/>
      <w:bookmarkEnd w:id="185"/>
      <w:bookmarkEnd w:id="186"/>
      <w:bookmarkEnd w:id="187"/>
      <w:bookmarkEnd w:id="188"/>
      <w:bookmarkEnd w:id="189"/>
      <w:bookmarkEnd w:id="190"/>
      <w:bookmarkEnd w:id="191"/>
      <w:bookmarkEnd w:id="192"/>
      <w:bookmarkEnd w:id="193"/>
      <w:bookmarkEnd w:id="194"/>
    </w:p>
    <w:p w:rsidR="00F4654E" w:rsidRDefault="00F4654E">
      <w:pPr>
        <w:pStyle w:val="a5"/>
      </w:pPr>
      <w:r>
        <w:t xml:space="preserve">Научно-исследовательский ветеринарный институт Нечерноземной зоны РФ </w:t>
      </w:r>
    </w:p>
    <w:p w:rsidR="00F4654E" w:rsidRDefault="00F4654E">
      <w:pPr>
        <w:pStyle w:val="a6"/>
      </w:pPr>
      <w:r>
        <w:t>В условиях хозяйств Нечерноземной зоны РФ респираторные болезни телят имеют широкое распространение и наносят животноводству бол</w:t>
      </w:r>
      <w:r>
        <w:t>ь</w:t>
      </w:r>
      <w:r>
        <w:lastRenderedPageBreak/>
        <w:t>шой экономический ущерб. Так, проведенные нами в 47 хозяйствах иссл</w:t>
      </w:r>
      <w:r>
        <w:t>е</w:t>
      </w:r>
      <w:r>
        <w:t>дования показали, что уровень заболеваемости респираторными болезнями телят 1-3-мес. возраста составлял от 38 до 87%, отход – 7,8% в среднем к полученному приплоду.</w:t>
      </w:r>
    </w:p>
    <w:p w:rsidR="00F4654E" w:rsidRDefault="00F4654E">
      <w:pPr>
        <w:pStyle w:val="a6"/>
      </w:pPr>
      <w:r>
        <w:t>Этиология массовых респираторных болезней телят является мног</w:t>
      </w:r>
      <w:r>
        <w:t>о</w:t>
      </w:r>
      <w:r>
        <w:t>факторной. Инфекционные факторы включали различные сочетания вир</w:t>
      </w:r>
      <w:r>
        <w:t>у</w:t>
      </w:r>
      <w:r>
        <w:t>сов, бактерий и хламидий.</w:t>
      </w:r>
    </w:p>
    <w:p w:rsidR="00F4654E" w:rsidRDefault="00F4654E">
      <w:pPr>
        <w:pStyle w:val="a6"/>
      </w:pPr>
      <w:r>
        <w:t>Значительная роль в возникновении, течении и исходе массовых ре</w:t>
      </w:r>
      <w:r>
        <w:t>с</w:t>
      </w:r>
      <w:r>
        <w:t>пираторных болезней принадлежит иммунному потенциалу молодняка, к</w:t>
      </w:r>
      <w:r>
        <w:t>о</w:t>
      </w:r>
      <w:r>
        <w:t>торый находится в прямой зависимости от существующей технологии с</w:t>
      </w:r>
      <w:r>
        <w:t>о</w:t>
      </w:r>
      <w:r>
        <w:t>держания, и ее нарушения увеличивают число неблагоприятных факторов внешней среды, способствующих снижению адаптационных возможностей организма животных, что, в конечном итоге, ведет к состоянию стресса, снижению естественной резистентности организма и повышению воспр</w:t>
      </w:r>
      <w:r>
        <w:t>и</w:t>
      </w:r>
      <w:r>
        <w:t>имчивости животных к респираторным болезням. При оценке иммунного статуса телят выявлен выраженный иммунодефицит, характеризующийся снижением абсолютного и относительного содержания Т-лимфоцитов и теофиллинерезистентных Т-лимфоцитов, угнетением функционально-</w:t>
      </w:r>
      <w:r>
        <w:br/>
        <w:t>метаболической активности нейтрофилов крови, снижением уровня имм</w:t>
      </w:r>
      <w:r>
        <w:t>у</w:t>
      </w:r>
      <w:r>
        <w:t>ноглобулинов класса G  и  M, лизоцимной и бактерицидной активности сыворотки крови. Иммунодефицитные состояния организма угнетают формирование специфического иммунитета и, в этой связи, известные сп</w:t>
      </w:r>
      <w:r>
        <w:t>о</w:t>
      </w:r>
      <w:r>
        <w:t>собы вакцинопрофилактики вирусных респираторных болезней телят я</w:t>
      </w:r>
      <w:r>
        <w:t>в</w:t>
      </w:r>
      <w:r>
        <w:t>ляются недостаточно эффективными.</w:t>
      </w:r>
    </w:p>
    <w:p w:rsidR="00F4654E" w:rsidRDefault="00F4654E">
      <w:pPr>
        <w:pStyle w:val="a6"/>
      </w:pPr>
      <w:r>
        <w:t>Целью наших исследований было повышение эффективности вакц</w:t>
      </w:r>
      <w:r>
        <w:t>и</w:t>
      </w:r>
      <w:r>
        <w:t>нопрофилактики вирусных респираторных болезней телят.</w:t>
      </w:r>
    </w:p>
    <w:p w:rsidR="00F4654E" w:rsidRDefault="00F4654E">
      <w:pPr>
        <w:pStyle w:val="a6"/>
      </w:pPr>
      <w:r>
        <w:t>Работу проводили в условиях двух неблагополучных хозяйств Ниж</w:t>
      </w:r>
      <w:r>
        <w:t>е</w:t>
      </w:r>
      <w:r>
        <w:t>городской области. Исследованиями 190 проб сыворотки крови с примен</w:t>
      </w:r>
      <w:r>
        <w:t>е</w:t>
      </w:r>
      <w:r>
        <w:t>нием реакции непрямой гемагглютинации (РНГА) установлена активная циркуляция вируса инфекционного ринотрахеита (ИРТ) у 40-60% живо</w:t>
      </w:r>
      <w:r>
        <w:t>т</w:t>
      </w:r>
      <w:r>
        <w:t>ных, вируса диареи (ВД) – у 54-63% и парагриппа-3 (ПГ-3) у 68,6-80,0%. При этом у 40-57% животных в сыворотке крови обнаружено одновреме</w:t>
      </w:r>
      <w:r>
        <w:t>н</w:t>
      </w:r>
      <w:r>
        <w:t>ное присутствие антител ко всем трем возбудителям. Эксперименты по п</w:t>
      </w:r>
      <w:r>
        <w:t>о</w:t>
      </w:r>
      <w:r>
        <w:t>вышению вакцинопрофилактики провели на 2 группах телят 30-дневного возраста по 100 голов в каждой. В 1-ой группе телят вакцинировали ва</w:t>
      </w:r>
      <w:r>
        <w:t>к</w:t>
      </w:r>
      <w:r>
        <w:t>циной тривак в соответствии с наставлением по применению. Во 2-ой группе дополнительно к вакцинации применяли зоолан внутримышечно в виде 0,3%-ного водного раствора в дозе 2 мл за 24 часа до и двукратно с интервалом 24 часа после вакцинации. Эффективность иммунизации оц</w:t>
      </w:r>
      <w:r>
        <w:t>е</w:t>
      </w:r>
      <w:r>
        <w:t>нивали по напряженности иммунитета через 21 день после вакцинации и ревакцинации в РНГА, показателям клеточного и гуморального иммунит</w:t>
      </w:r>
      <w:r>
        <w:t>е</w:t>
      </w:r>
      <w:r>
        <w:t>та (Т- и В-лимфоциты, НСТ, иммуноглобулины G  и  M) и заболеваемости телят.</w:t>
      </w:r>
    </w:p>
    <w:p w:rsidR="00F4654E" w:rsidRDefault="00F4654E">
      <w:pPr>
        <w:pStyle w:val="a6"/>
      </w:pPr>
      <w:r>
        <w:lastRenderedPageBreak/>
        <w:t>Результаты исследований показали, что применение зоолана во 2-ой группе телят способствовало повышению поствакцинального иммунитета за счет стимуляции продукции антител, активизации клеточного и гум</w:t>
      </w:r>
      <w:r>
        <w:t>о</w:t>
      </w:r>
      <w:r>
        <w:t>рального иммунитета, что обеспечило повышение профилактической э</w:t>
      </w:r>
      <w:r>
        <w:t>ф</w:t>
      </w:r>
      <w:r>
        <w:t>фективности вакцины тривак. Так, по сравнению с 1-ой группой титры а</w:t>
      </w:r>
      <w:r>
        <w:t>н</w:t>
      </w:r>
      <w:r>
        <w:t xml:space="preserve">тител через 21 день  после ревакцинации были достоверно выше к вирусам ИРТ на 18%, ПГ-3 – на 21%, ВД – на 23%, содержание Т- и В-лимфоцитов – 1,7 раза, НСТ-спонтанный – на 39%, НСТ-индуцированный – на 27%, уровень IgG – на 27%, IgМ – на 30%; профилактическая эффективность во 2-ой группе была на 11% выше и составила 97%. </w:t>
      </w:r>
    </w:p>
    <w:p w:rsidR="00F4654E" w:rsidRDefault="00F4654E">
      <w:pPr>
        <w:pStyle w:val="a6"/>
      </w:pPr>
      <w:r>
        <w:t>Таким образом, полученные данные свидетельствуют, что применение зоолана, включающего пептид дельта-сна и аминокислоту глицин, оказ</w:t>
      </w:r>
      <w:r>
        <w:t>ы</w:t>
      </w:r>
      <w:r>
        <w:t>вает стимулирующее влияние на иммунобиологические показатели и пр</w:t>
      </w:r>
      <w:r>
        <w:t>о</w:t>
      </w:r>
      <w:r>
        <w:t>цесс антителообразования при вакцинации телят. С целью повышения профилактической эффективности вакцины тривак целесообразно испол</w:t>
      </w:r>
      <w:r>
        <w:t>ь</w:t>
      </w:r>
      <w:r>
        <w:t>зование зоолана.</w:t>
      </w:r>
    </w:p>
    <w:p w:rsidR="00F4654E" w:rsidRDefault="00F4654E">
      <w:pPr>
        <w:pStyle w:val="a4"/>
      </w:pPr>
      <w:r>
        <w:t>УДК 619:616.96:578.08:579.017.1</w:t>
      </w:r>
    </w:p>
    <w:p w:rsidR="00F4654E" w:rsidRDefault="00F4654E">
      <w:pPr>
        <w:pStyle w:val="1"/>
      </w:pPr>
      <w:bookmarkStart w:id="195" w:name="_Toc10731594"/>
      <w:bookmarkStart w:id="196" w:name="_Toc11138041"/>
      <w:bookmarkStart w:id="197" w:name="_Toc11138459"/>
      <w:bookmarkStart w:id="198" w:name="_Toc11138877"/>
      <w:bookmarkStart w:id="199" w:name="_Toc11139295"/>
      <w:bookmarkStart w:id="200" w:name="_Toc11139713"/>
      <w:bookmarkStart w:id="201" w:name="_Toc11140131"/>
      <w:bookmarkStart w:id="202" w:name="_Toc11140549"/>
      <w:bookmarkStart w:id="203" w:name="_Toc11390055"/>
      <w:bookmarkStart w:id="204" w:name="_Toc11839734"/>
      <w:bookmarkStart w:id="205" w:name="_Toc11937270"/>
      <w:r>
        <w:t xml:space="preserve">ЭТИОЛОГИЧЕСКАЯ СТРУКТУРА ИНФЕКЦИОННЫХ БОЛЕЗНЕЙ </w:t>
      </w:r>
      <w:r>
        <w:br/>
        <w:t>ПОРОСЯТ-ОТЪЕМЫШЕЙ В СВИНОВОДЧЕСКИХ КОМПЛЕКСАХ</w:t>
      </w:r>
      <w:bookmarkEnd w:id="195"/>
      <w:bookmarkEnd w:id="196"/>
      <w:bookmarkEnd w:id="197"/>
      <w:bookmarkEnd w:id="198"/>
      <w:bookmarkEnd w:id="199"/>
      <w:bookmarkEnd w:id="200"/>
      <w:bookmarkEnd w:id="201"/>
      <w:bookmarkEnd w:id="202"/>
      <w:bookmarkEnd w:id="203"/>
      <w:bookmarkEnd w:id="204"/>
      <w:bookmarkEnd w:id="205"/>
    </w:p>
    <w:p w:rsidR="00F4654E" w:rsidRDefault="00F4654E">
      <w:pPr>
        <w:pStyle w:val="2"/>
      </w:pPr>
      <w:bookmarkStart w:id="206" w:name="_Toc10731595"/>
      <w:bookmarkStart w:id="207" w:name="_Toc11032384"/>
      <w:bookmarkStart w:id="208" w:name="_Toc11138042"/>
      <w:bookmarkStart w:id="209" w:name="_Toc11138460"/>
      <w:bookmarkStart w:id="210" w:name="_Toc11138878"/>
      <w:bookmarkStart w:id="211" w:name="_Toc11139296"/>
      <w:bookmarkStart w:id="212" w:name="_Toc11139714"/>
      <w:bookmarkStart w:id="213" w:name="_Toc11140132"/>
      <w:bookmarkStart w:id="214" w:name="_Toc11140550"/>
      <w:bookmarkStart w:id="215" w:name="_Toc11390056"/>
      <w:bookmarkStart w:id="216" w:name="_Toc11937271"/>
      <w:r>
        <w:t>Спиридонов Г.Н., Гаффаров Х.З., Ефимова М.А., Сидорова Н.В.</w:t>
      </w:r>
      <w:bookmarkEnd w:id="206"/>
      <w:bookmarkEnd w:id="207"/>
      <w:bookmarkEnd w:id="208"/>
      <w:bookmarkEnd w:id="209"/>
      <w:bookmarkEnd w:id="210"/>
      <w:bookmarkEnd w:id="211"/>
      <w:bookmarkEnd w:id="212"/>
      <w:bookmarkEnd w:id="213"/>
      <w:bookmarkEnd w:id="214"/>
      <w:bookmarkEnd w:id="215"/>
      <w:bookmarkEnd w:id="216"/>
    </w:p>
    <w:p w:rsidR="00F4654E" w:rsidRDefault="00F4654E">
      <w:pPr>
        <w:pStyle w:val="a5"/>
      </w:pPr>
      <w:r>
        <w:t xml:space="preserve">Всероссийский научно-исследовательский ветеринарный институт </w:t>
      </w:r>
    </w:p>
    <w:p w:rsidR="00F4654E" w:rsidRDefault="00F4654E">
      <w:pPr>
        <w:pStyle w:val="a6"/>
      </w:pPr>
      <w:r>
        <w:t>Система профилактических мероприятий в животноводческих хозя</w:t>
      </w:r>
      <w:r>
        <w:t>й</w:t>
      </w:r>
      <w:r>
        <w:t>ствах должна строиться с учетом иммунобиологических особенностей о</w:t>
      </w:r>
      <w:r>
        <w:t>р</w:t>
      </w:r>
      <w:r>
        <w:t>ганизма животных, эпизоотической и экологической ситуации, уровня кормления, особенностей технологии выращивания, принятой в хозяйстве, ветеринарно-санитарных правил получения и выращивания молодняка. Успешная борьба с инфекционными болезнями невозможна без объекти</w:t>
      </w:r>
      <w:r>
        <w:t>в</w:t>
      </w:r>
      <w:r>
        <w:t>ной оценки эпизоотической ситуации и определения этиологического зн</w:t>
      </w:r>
      <w:r>
        <w:t>а</w:t>
      </w:r>
      <w:r>
        <w:t>чения выделяющихся микроорганизмов. Причиной многих заболеваний животных являются не отдельные бактерии, вирусы, а их ассоциации. При вирусно-бактериальных инфекциях связи между возбудителями носят с</w:t>
      </w:r>
      <w:r>
        <w:t>и</w:t>
      </w:r>
      <w:r>
        <w:t>нергический характер и способствуют более выраженному проявлению п</w:t>
      </w:r>
      <w:r>
        <w:t>а</w:t>
      </w:r>
      <w:r>
        <w:t>тологии.</w:t>
      </w:r>
    </w:p>
    <w:p w:rsidR="00F4654E" w:rsidRDefault="00F4654E">
      <w:pPr>
        <w:pStyle w:val="a6"/>
      </w:pPr>
      <w:r>
        <w:t>Целью наших исследований явилось изучение этиологической стру</w:t>
      </w:r>
      <w:r>
        <w:t>к</w:t>
      </w:r>
      <w:r>
        <w:t>туры заболеваний молодняка в четырех крупных свиноводческих компле</w:t>
      </w:r>
      <w:r>
        <w:t>к</w:t>
      </w:r>
      <w:r>
        <w:t>сах Башкортостана и Татарстана, где наблюдались массовые заболевания поросят-отъемышей с признаками поражения органов дыхания и пищев</w:t>
      </w:r>
      <w:r>
        <w:t>а</w:t>
      </w:r>
      <w:r>
        <w:t>рения. Установлено, что высокая заболеваемость поросят-отъемышей в этих хозяйствах была обусловлена комплексом причин, в числе которых – нарушение ветеринарно-санитарных требований содержания и кормления поросят и свиноматок, а также низкий естественный уровень специфич</w:t>
      </w:r>
      <w:r>
        <w:t>е</w:t>
      </w:r>
      <w:r>
        <w:lastRenderedPageBreak/>
        <w:t>ской защиты поросят от воздействия не только патогенной, но и условно-патогенной микрофлоры. При вирусологическом исследовании патмат</w:t>
      </w:r>
      <w:r>
        <w:t>е</w:t>
      </w:r>
      <w:r>
        <w:t>риала от больных и павших с признаками диареи поросят 2 – 4-х месячн</w:t>
      </w:r>
      <w:r>
        <w:t>о</w:t>
      </w:r>
      <w:r>
        <w:t>го возраста  выделены  в свинокомплексе «Рощинский» ротавирус и вирус трансмиссивного гастроэнтерита, в совхозе «Шинник» – ротавирус свиней, а при бактериологическом исследовании в обоих хозяйствах изолированы гемолитические, энтеротоксигенные штаммы Е.сoli, продуцирующие адг</w:t>
      </w:r>
      <w:r>
        <w:t>е</w:t>
      </w:r>
      <w:r>
        <w:t>зивные антигены К88 и К99.</w:t>
      </w:r>
    </w:p>
    <w:p w:rsidR="00F4654E" w:rsidRDefault="00F4654E">
      <w:pPr>
        <w:pStyle w:val="a6"/>
      </w:pPr>
      <w:r>
        <w:t>В свинокомплексе “Кисинский” диарея была обусловлена гемолит</w:t>
      </w:r>
      <w:r>
        <w:t>и</w:t>
      </w:r>
      <w:r>
        <w:t>ческими штаммами Е.сoli, продуцирующими адгезивный антиген К88, и сальмонеллами. К сальмонеллезу наиболее восприимчивы были поросята в возрасте от 3–4-х недель до 3–5-ти месяцев. У большинства из них забол</w:t>
      </w:r>
      <w:r>
        <w:t>е</w:t>
      </w:r>
      <w:r>
        <w:t>вание осложнялось пневмонией. При этом основные патологоанатомич</w:t>
      </w:r>
      <w:r>
        <w:t>е</w:t>
      </w:r>
      <w:r>
        <w:t>ские изменения локализовались как в желудочно-кишечном тракте, так и в органах дыхания. В желудочно-кишечном тракте наблюдалось катарально-геморрагическое воспаление. При хроническом течении болезни в толстом отделе кишечника отмечался очаговый или диффузный дифтеритический тифлит и колит, а в легких - лобулярная острая катарально-гнойная пне</w:t>
      </w:r>
      <w:r>
        <w:t>в</w:t>
      </w:r>
      <w:r>
        <w:t>мония. У взрослых свиней заболевание протекало латентно. У супоросных свиноматок наблюдались аборты на последнем месяце супоросности, а также рождение маложизнеспособных поросят. При бактериологическом исследовании из абортированных плодов выделены сальмонеллы – S.cholerae su</w:t>
      </w:r>
      <w:r>
        <w:rPr>
          <w:lang w:val="en-US"/>
        </w:rPr>
        <w:t>i</w:t>
      </w:r>
      <w:r>
        <w:t>s, в основном из сердца и легких. Диарея сальмонеллезной этиологии отмечена также в совхозе «Шинник», где инфекция проявлялась в острой и хронической формах с поражением как желудочно-кишечного тракта, так и органов дыхания. У поросят 2 – 4-х месячного возраста н</w:t>
      </w:r>
      <w:r>
        <w:t>а</w:t>
      </w:r>
      <w:r>
        <w:t>блюдались фибринозно-геморрагические пневмонии, а также серозно-фибринозное воспаление легочной и костальной плевры, наружного и внутреннего листка перикарда и эпикарда. При лабораторном исследов</w:t>
      </w:r>
      <w:r>
        <w:t>а</w:t>
      </w:r>
      <w:r>
        <w:t>нии пораженных долей легких от этих животных нами изолированы нар</w:t>
      </w:r>
      <w:r>
        <w:t>я</w:t>
      </w:r>
      <w:r>
        <w:t>ду с сальмонеллами возбудитель гемофилезной плевропневмонии – Haemophilus pleuropneumoniae. В ОПХ им.Ленина мы наблюдали пневм</w:t>
      </w:r>
      <w:r>
        <w:t>о</w:t>
      </w:r>
      <w:r>
        <w:t>кокковую инфекцию, которая протекала у поросят 1 – 4-месячного возра</w:t>
      </w:r>
      <w:r>
        <w:t>с</w:t>
      </w:r>
      <w:r>
        <w:t>та в основном в легочной форме.</w:t>
      </w:r>
    </w:p>
    <w:p w:rsidR="00F4654E" w:rsidRDefault="00F4654E">
      <w:pPr>
        <w:pStyle w:val="a6"/>
      </w:pPr>
      <w:r>
        <w:t>Таким образом, заболевания поросят-отъемышей в крупных свин</w:t>
      </w:r>
      <w:r>
        <w:t>о</w:t>
      </w:r>
      <w:r>
        <w:t>водческих комплексах носят смешанный характер. В одних случаях заб</w:t>
      </w:r>
      <w:r>
        <w:t>о</w:t>
      </w:r>
      <w:r>
        <w:t>левание вызывается ассоциировано вирусами и бактериями, в других сл</w:t>
      </w:r>
      <w:r>
        <w:t>у</w:t>
      </w:r>
      <w:r>
        <w:t>чаях – несколькими видами бактерий, что значительно осложняет течение болезней. При разработке средств, методов профилактики и борьбы с эт</w:t>
      </w:r>
      <w:r>
        <w:t>и</w:t>
      </w:r>
      <w:r>
        <w:t>ми заболеваниями необходимо учитывать смешанный характер течения болезней и применять комплексные биологические и химиотерапевтич</w:t>
      </w:r>
      <w:r>
        <w:t>е</w:t>
      </w:r>
      <w:r>
        <w:t>ские препараты.</w:t>
      </w:r>
    </w:p>
    <w:p w:rsidR="00F4654E" w:rsidRDefault="00F4654E">
      <w:pPr>
        <w:pStyle w:val="a4"/>
      </w:pPr>
      <w:r>
        <w:lastRenderedPageBreak/>
        <w:t>УДК 619.616-085.371</w:t>
      </w:r>
    </w:p>
    <w:p w:rsidR="00F4654E" w:rsidRDefault="00F4654E">
      <w:pPr>
        <w:pStyle w:val="1"/>
      </w:pPr>
      <w:bookmarkStart w:id="217" w:name="_Toc11138043"/>
      <w:bookmarkStart w:id="218" w:name="_Toc11138461"/>
      <w:bookmarkStart w:id="219" w:name="_Toc11138879"/>
      <w:bookmarkStart w:id="220" w:name="_Toc11139297"/>
      <w:bookmarkStart w:id="221" w:name="_Toc11139715"/>
      <w:bookmarkStart w:id="222" w:name="_Toc11140133"/>
      <w:bookmarkStart w:id="223" w:name="_Toc11140551"/>
      <w:bookmarkStart w:id="224" w:name="_Toc11390057"/>
      <w:bookmarkStart w:id="225" w:name="_Toc11839736"/>
      <w:bookmarkStart w:id="226" w:name="_Toc11937272"/>
      <w:r>
        <w:t>УРОВЕНЬ ПЕРЕКИСНОГО ОКИСЛЕНИЯ ЛИПИДОВ И АНТИОКСИДАНТНОЙ ЗАЩИТЫ В КРОВИ ЛОШАДЕЙ ПРИ ИХ ВАКЦИНАЦИИ ПРОТИВ ГРИППА</w:t>
      </w:r>
      <w:bookmarkEnd w:id="217"/>
      <w:bookmarkEnd w:id="218"/>
      <w:bookmarkEnd w:id="219"/>
      <w:bookmarkEnd w:id="220"/>
      <w:bookmarkEnd w:id="221"/>
      <w:bookmarkEnd w:id="222"/>
      <w:bookmarkEnd w:id="223"/>
      <w:bookmarkEnd w:id="224"/>
      <w:bookmarkEnd w:id="225"/>
      <w:bookmarkEnd w:id="226"/>
      <w:r>
        <w:t xml:space="preserve"> </w:t>
      </w:r>
    </w:p>
    <w:p w:rsidR="00F4654E" w:rsidRDefault="00F4654E">
      <w:pPr>
        <w:pStyle w:val="2"/>
      </w:pPr>
      <w:bookmarkStart w:id="227" w:name="_Toc11032385"/>
      <w:bookmarkStart w:id="228" w:name="_Toc11138044"/>
      <w:bookmarkStart w:id="229" w:name="_Toc11138462"/>
      <w:bookmarkStart w:id="230" w:name="_Toc11138880"/>
      <w:bookmarkStart w:id="231" w:name="_Toc11139298"/>
      <w:bookmarkStart w:id="232" w:name="_Toc11139716"/>
      <w:bookmarkStart w:id="233" w:name="_Toc11140134"/>
      <w:bookmarkStart w:id="234" w:name="_Toc11140552"/>
      <w:bookmarkStart w:id="235" w:name="_Toc11390058"/>
      <w:bookmarkStart w:id="236" w:name="_Toc11937273"/>
      <w:r>
        <w:t>Старчеус А.П., Сокирко Т.А., Гура П.Н.</w:t>
      </w:r>
      <w:bookmarkEnd w:id="227"/>
      <w:bookmarkEnd w:id="228"/>
      <w:bookmarkEnd w:id="229"/>
      <w:bookmarkEnd w:id="230"/>
      <w:bookmarkEnd w:id="231"/>
      <w:bookmarkEnd w:id="232"/>
      <w:bookmarkEnd w:id="233"/>
      <w:bookmarkEnd w:id="234"/>
      <w:bookmarkEnd w:id="235"/>
      <w:bookmarkEnd w:id="236"/>
    </w:p>
    <w:p w:rsidR="00F4654E" w:rsidRDefault="00F4654E">
      <w:pPr>
        <w:pStyle w:val="a5"/>
      </w:pPr>
      <w:r>
        <w:t>Институт ветеринарной медицины УААН, Украина</w:t>
      </w:r>
    </w:p>
    <w:p w:rsidR="00F4654E" w:rsidRDefault="00F4654E">
      <w:pPr>
        <w:pStyle w:val="a6"/>
      </w:pPr>
      <w:r>
        <w:t>Возможность проведения анализа в небольшом объеме крови живо</w:t>
      </w:r>
      <w:r>
        <w:t>т</w:t>
      </w:r>
      <w:r>
        <w:t>ных и относительная простота, оперативность и доступность методик би</w:t>
      </w:r>
      <w:r>
        <w:t>о</w:t>
      </w:r>
      <w:r>
        <w:t>химического анализа делают рациональным его применение при обслед</w:t>
      </w:r>
      <w:r>
        <w:t>о</w:t>
      </w:r>
      <w:r>
        <w:t xml:space="preserve">вании и лечении продуктивных животных. </w:t>
      </w:r>
    </w:p>
    <w:p w:rsidR="00F4654E" w:rsidRDefault="00F4654E">
      <w:pPr>
        <w:pStyle w:val="a6"/>
      </w:pPr>
      <w:r>
        <w:t>Нами проведены исследования по использованию биохимических п</w:t>
      </w:r>
      <w:r>
        <w:t>о</w:t>
      </w:r>
      <w:r>
        <w:t>казателей при ранней доклинической диагностике и профилактике респ</w:t>
      </w:r>
      <w:r>
        <w:t>и</w:t>
      </w:r>
      <w:r>
        <w:t>раторных болезней лошадей вирусного генеза. Было выявлено, что инфо</w:t>
      </w:r>
      <w:r>
        <w:t>р</w:t>
      </w:r>
      <w:r>
        <w:t>мативным и репрезентативным комплексом биохимических показателей при такой патологии являются, в частности, параметры перекисного оки</w:t>
      </w:r>
      <w:r>
        <w:t>с</w:t>
      </w:r>
      <w:r>
        <w:t>ления липидов (ПОЛ) и антиоксидантной защиты.</w:t>
      </w:r>
    </w:p>
    <w:p w:rsidR="00F4654E" w:rsidRDefault="00F4654E">
      <w:pPr>
        <w:pStyle w:val="a6"/>
      </w:pPr>
      <w:r>
        <w:t>Как известно, ПОЛ, которое происходит, главным образом, в липи</w:t>
      </w:r>
      <w:r>
        <w:t>д</w:t>
      </w:r>
      <w:r>
        <w:t>ных структурных мембран - один из наиболее распространенных видов свободнорадикальных реакций в клетках живых организмов. В результате таких реакций образовываются гидроперекиси липидов и продукты их распада - токсические соединения, которые могут быть опасными для но</w:t>
      </w:r>
      <w:r>
        <w:t>р</w:t>
      </w:r>
      <w:r>
        <w:t>мальной деятельности клетки и ее структур.</w:t>
      </w:r>
    </w:p>
    <w:p w:rsidR="00F4654E" w:rsidRDefault="00F4654E">
      <w:pPr>
        <w:pStyle w:val="a6"/>
      </w:pPr>
      <w:r>
        <w:t>ПОЛ при условии низкой его интенсивности - процесс, который в норме происходит в клетке. Более того, невысокие концентрации гидроп</w:t>
      </w:r>
      <w:r>
        <w:t>е</w:t>
      </w:r>
      <w:r>
        <w:t>рекисей и других продуктов свободнорадикального окисления необходимы для функционирования клетки, поскольку участвуют в регуляции роста о</w:t>
      </w:r>
      <w:r>
        <w:t>р</w:t>
      </w:r>
      <w:r>
        <w:t>ганизма, делении клеток, оптимизации проницаемости мембран, а также синтезе простагландинов, микробицидном действии фагоцитов и т.д. О</w:t>
      </w:r>
      <w:r>
        <w:t>д</w:t>
      </w:r>
      <w:r>
        <w:t xml:space="preserve">нако при резком усилении процессов ПОЛ в организме могут возникать патологические симптомы. </w:t>
      </w:r>
    </w:p>
    <w:p w:rsidR="00F4654E" w:rsidRDefault="00F4654E">
      <w:pPr>
        <w:pStyle w:val="a6"/>
        <w:rPr>
          <w:color w:val="FF0000"/>
        </w:rPr>
      </w:pPr>
      <w:r>
        <w:t>Известно несколько десятков экстремальных состояний, которые зн</w:t>
      </w:r>
      <w:r>
        <w:t>а</w:t>
      </w:r>
      <w:r>
        <w:t>чительно усиливают свободнорадикальное окисление и, в частности, ПОЛ. Это, например, длительный стресс, гиподинамия, влияние высоких и ни</w:t>
      </w:r>
      <w:r>
        <w:t>з</w:t>
      </w:r>
      <w:r>
        <w:t>ких температур, интоксикации различного генеза и т.д. Процессы ПОЛ не только играют важную роль в нормальной физиологии и биохимии клетки, но и выступают как универсальное неспецифическое звено механизмов развития разных патологических состояний.</w:t>
      </w:r>
    </w:p>
    <w:p w:rsidR="00F4654E" w:rsidRDefault="00F4654E">
      <w:pPr>
        <w:pStyle w:val="a6"/>
      </w:pPr>
      <w:r>
        <w:t>Поэтому определение у сельскохозяйственных животных характера реакций ПОЛ, а также состояния регулирующей антиоксидантной системы может служить обоснованием диагностики и терапии заболеваний, в час</w:t>
      </w:r>
      <w:r>
        <w:t>т</w:t>
      </w:r>
      <w:r>
        <w:t>ности, вирусной этиологии. Таким заболеванием является грипп лошадей - распространенное вирусное заболевание, которое является важным инфе</w:t>
      </w:r>
      <w:r>
        <w:t>к</w:t>
      </w:r>
      <w:r>
        <w:lastRenderedPageBreak/>
        <w:t>ционным заболеванием верхних дыхательных путей у этих животных. Это заболевание  может вызывать до 30 % летальных случаев, а также знач</w:t>
      </w:r>
      <w:r>
        <w:t>и</w:t>
      </w:r>
      <w:r>
        <w:t>тельные осложнения у переболевших лошадей. Особенно актуально это заболевание для спортивных (беговых) лошадей (Локота В.В., 1998).</w:t>
      </w:r>
    </w:p>
    <w:p w:rsidR="00F4654E" w:rsidRDefault="00F4654E">
      <w:pPr>
        <w:pStyle w:val="a6"/>
      </w:pPr>
      <w:r>
        <w:t>Лошади из ЦОПСП «Динамо» и КСШ «Авангард» (Украина) были вакцинированы против гриппа вакциной российского производства. Спу</w:t>
      </w:r>
      <w:r>
        <w:t>с</w:t>
      </w:r>
      <w:r>
        <w:t>тя 10 месяцев в сыворотках крови животных в реакции торможения г</w:t>
      </w:r>
      <w:r>
        <w:t>е</w:t>
      </w:r>
      <w:r>
        <w:t>магглютинации определяли наличие антител к вирусу гриппа. Было обсл</w:t>
      </w:r>
      <w:r>
        <w:t>е</w:t>
      </w:r>
      <w:r>
        <w:t>довано 75 животных. При постановке реакции с вирусом гриппа лошадей штамма А/лошадь/1/Кембридж/63 антител в сыворотках обнаружено не было. В отношении штамма А/лошадь/2/Майами/63 были обнаружены а</w:t>
      </w:r>
      <w:r>
        <w:t>н</w:t>
      </w:r>
      <w:r>
        <w:t>титела в довольно высоких титрах. Это может свидетельствовать о цирк</w:t>
      </w:r>
      <w:r>
        <w:t>у</w:t>
      </w:r>
      <w:r>
        <w:t>ляции вируса среди поголовья, возможно также, что эти  титры являются поствакцинальными.</w:t>
      </w:r>
    </w:p>
    <w:p w:rsidR="00F4654E" w:rsidRDefault="00F4654E">
      <w:pPr>
        <w:pStyle w:val="a6"/>
      </w:pPr>
      <w:r>
        <w:t>Нами были получены значения показателей ПОЛ и ферментативного звена антиоксидантной защиты в крови взрослых  здоровых лошадей и лошадей, инфицированных вирусом гриппа. Определяли значение сл</w:t>
      </w:r>
      <w:r>
        <w:t>е</w:t>
      </w:r>
      <w:r>
        <w:t>дующих параметров: малоновый диальдегид - МДА и перекисная рез</w:t>
      </w:r>
      <w:r>
        <w:t>и</w:t>
      </w:r>
      <w:r>
        <w:t>стентность эритроцитов - ПРЭ (Бенисович Н.А., Идельсон Л.И., 1973; П</w:t>
      </w:r>
      <w:r>
        <w:t>о</w:t>
      </w:r>
      <w:r>
        <w:t>пова Э.М. и др., 1993); диеновые конъюгаты - ДК (Стальная И.Д., 1977), гидроперекиси липидов (Романова Л.А., Стальная И.Д., 1977), активность ферментов - супероксиддисмутазы (Fried R., 1975; Рудая Н.В., Сокирко Т.А., 1993), каталазы (Архипова О.Г., 1988) и  глутатионпероксидазы (Бу</w:t>
      </w:r>
      <w:r>
        <w:t>з</w:t>
      </w:r>
      <w:r>
        <w:t xml:space="preserve">лама В.С. и др., 1995). </w:t>
      </w:r>
    </w:p>
    <w:p w:rsidR="00F4654E" w:rsidRDefault="00F4654E">
      <w:pPr>
        <w:pStyle w:val="a6"/>
      </w:pPr>
      <w:r>
        <w:t>Интересно, что концентрация первичных продуктов липоперокси-дации в крови здоровых лошадей и животных с высоким титром антител к вирусу гриппа не имеет статистически достоверных отличий. В то же вр</w:t>
      </w:r>
      <w:r>
        <w:t>е</w:t>
      </w:r>
      <w:r>
        <w:t>мя карбонильный продукт ПОЛ - малоновый диальдегид -  в крови  здор</w:t>
      </w:r>
      <w:r>
        <w:t>о</w:t>
      </w:r>
      <w:r>
        <w:t xml:space="preserve">вых лошадей находится в границах 60,7-118 нмоль/мл эр. и повышается в 1,5-2 раза при высоком титре антител, т.е. при титре 1:40 - 1:180 (титр 1:40 является диагностическим).  </w:t>
      </w:r>
    </w:p>
    <w:p w:rsidR="00F4654E" w:rsidRDefault="00F4654E">
      <w:pPr>
        <w:pStyle w:val="a6"/>
      </w:pPr>
      <w:r>
        <w:t xml:space="preserve"> Выраженную тенденцию имеет показатель ПРЭ, который является важным критерием устойчивости эритроцитарной мембраны к перекис-ному гемолизу. В крови лошадей с высоким титром антител к вирусу гриппа ПРЭ находится в пределах 45,0-48,5 %  (контрольные показатели - 57,0-65,5 %). Снижение устойчивости эритроцитарных мембран происх</w:t>
      </w:r>
      <w:r>
        <w:t>о</w:t>
      </w:r>
      <w:r>
        <w:t xml:space="preserve">дит на фоне значительного накопления продуктов липопероксидации. </w:t>
      </w:r>
    </w:p>
    <w:p w:rsidR="00F4654E" w:rsidRDefault="00F4654E">
      <w:pPr>
        <w:pStyle w:val="a6"/>
      </w:pPr>
      <w:r>
        <w:t>Поскольку от интенсивности процессов ПОЛ зависит выраженность и стойкость воспалительной реакции, пероксидация липидов имеет сам</w:t>
      </w:r>
      <w:r>
        <w:t>о</w:t>
      </w:r>
      <w:r>
        <w:t>стоятельное значение при наличии высоких титров к вирусу гриппа лош</w:t>
      </w:r>
      <w:r>
        <w:t>а</w:t>
      </w:r>
      <w:r>
        <w:t>дей.</w:t>
      </w:r>
    </w:p>
    <w:p w:rsidR="00F4654E" w:rsidRDefault="00F4654E">
      <w:pPr>
        <w:pStyle w:val="a6"/>
      </w:pPr>
      <w:r>
        <w:t>Установлены изменения состояния ферментного звена антиоксидан</w:t>
      </w:r>
      <w:r>
        <w:t>т</w:t>
      </w:r>
      <w:r>
        <w:t>ной системы крови лошадей, у которых выявлены значительные титры а</w:t>
      </w:r>
      <w:r>
        <w:t>н</w:t>
      </w:r>
      <w:r>
        <w:lastRenderedPageBreak/>
        <w:t>тител к вирусу гриппа. Так, активность ключевого фермента антиокс</w:t>
      </w:r>
      <w:r>
        <w:t>и</w:t>
      </w:r>
      <w:r>
        <w:t>дантной защиты - супероксиддисмутазы (СОД),  которая непосредственно катализирует обрыв цепи свободнорадикальных реакций, в крови указа</w:t>
      </w:r>
      <w:r>
        <w:t>н</w:t>
      </w:r>
      <w:r>
        <w:t xml:space="preserve">ных животных снижена на 17-20 %.  </w:t>
      </w:r>
    </w:p>
    <w:p w:rsidR="00F4654E" w:rsidRDefault="00F4654E">
      <w:pPr>
        <w:pStyle w:val="a6"/>
      </w:pPr>
      <w:r>
        <w:t>Активность каталазы, которая  обезвреживает перекись водорода, н</w:t>
      </w:r>
      <w:r>
        <w:t>а</w:t>
      </w:r>
      <w:r>
        <w:t>против, несколько увеличена. Как известно, каталаза является синергистом СОД, и в условиях нормы между активностями этих ферментов существ</w:t>
      </w:r>
      <w:r>
        <w:t>у</w:t>
      </w:r>
      <w:r>
        <w:t>ет положительная корреляция. Нарушение корреляции между активност</w:t>
      </w:r>
      <w:r>
        <w:t>я</w:t>
      </w:r>
      <w:r>
        <w:t>ми сопряженных ферментов антиоксидантной системы способствует акт</w:t>
      </w:r>
      <w:r>
        <w:t>и</w:t>
      </w:r>
      <w:r>
        <w:t xml:space="preserve">вации липопероксидации. </w:t>
      </w:r>
    </w:p>
    <w:p w:rsidR="00F4654E" w:rsidRDefault="00F4654E">
      <w:pPr>
        <w:pStyle w:val="a6"/>
      </w:pPr>
      <w:r>
        <w:t>Активность глутатионпероксидазы, которая катализирует превращ</w:t>
      </w:r>
      <w:r>
        <w:t>е</w:t>
      </w:r>
      <w:r>
        <w:t>ние перекиси водорода и органических гидроперекисей, несколько сниж</w:t>
      </w:r>
      <w:r>
        <w:t>е</w:t>
      </w:r>
      <w:r>
        <w:t xml:space="preserve">на (от 10 до 15 % по сравнению с контрольным уровнем)  у животных с высоким титром антител к вирусу гриппа.  </w:t>
      </w:r>
    </w:p>
    <w:p w:rsidR="00F4654E" w:rsidRDefault="00F4654E">
      <w:pPr>
        <w:pStyle w:val="a6"/>
      </w:pPr>
      <w:r>
        <w:t>Таким образом, установлены определенные нарушения биохимич</w:t>
      </w:r>
      <w:r>
        <w:t>е</w:t>
      </w:r>
      <w:r>
        <w:t>ского гомеостаза в крови животных,  инфицированных вирусом гриппа второго подтипа, в частности, нарушение сопряженности ферментов ант</w:t>
      </w:r>
      <w:r>
        <w:t>и</w:t>
      </w:r>
      <w:r>
        <w:t xml:space="preserve">оксидантной системы. </w:t>
      </w:r>
    </w:p>
    <w:p w:rsidR="00F4654E" w:rsidRDefault="00F4654E">
      <w:pPr>
        <w:pStyle w:val="a6"/>
      </w:pPr>
      <w:r>
        <w:t>Необходимо отметить, что описанные биохимические исследования могут быть использованы для оценки степени активности воспалительного процесса и для контроля эффективности лечения. Некоторые из них могут иметь диагностическую и прогностическую ценность (в частности, ко</w:t>
      </w:r>
      <w:r>
        <w:t>н</w:t>
      </w:r>
      <w:r>
        <w:t>центрация МДА, а также характер активности ферментов антиоксидантн</w:t>
      </w:r>
      <w:r>
        <w:t>о</w:t>
      </w:r>
      <w:r>
        <w:t xml:space="preserve">го действия, особенно при определении  в динамике).  </w:t>
      </w:r>
    </w:p>
    <w:p w:rsidR="00F4654E" w:rsidRDefault="00F4654E">
      <w:pPr>
        <w:pStyle w:val="a4"/>
      </w:pPr>
      <w:r>
        <w:t>УДК  636.53:591.2</w:t>
      </w:r>
    </w:p>
    <w:p w:rsidR="00F4654E" w:rsidRDefault="00F4654E">
      <w:pPr>
        <w:pStyle w:val="1"/>
      </w:pPr>
      <w:bookmarkStart w:id="237" w:name="_Toc11390059"/>
      <w:bookmarkStart w:id="238" w:name="_Toc11839738"/>
      <w:bookmarkStart w:id="239" w:name="_Toc11937274"/>
      <w:r>
        <w:t>Морфологические аспекты изучения массовых незаразных и факторных заболеваний молодняка животных</w:t>
      </w:r>
      <w:bookmarkEnd w:id="237"/>
      <w:bookmarkEnd w:id="238"/>
      <w:bookmarkEnd w:id="239"/>
    </w:p>
    <w:p w:rsidR="00F4654E" w:rsidRDefault="00F4654E">
      <w:pPr>
        <w:pStyle w:val="2"/>
      </w:pPr>
      <w:bookmarkStart w:id="240" w:name="_Toc11390060"/>
      <w:bookmarkStart w:id="241" w:name="_Toc11937275"/>
      <w:r>
        <w:t>Сулейманов С.М.</w:t>
      </w:r>
      <w:bookmarkEnd w:id="240"/>
      <w:bookmarkEnd w:id="241"/>
      <w:r>
        <w:t>, Слободяник В.С.</w:t>
      </w:r>
    </w:p>
    <w:p w:rsidR="00F4654E" w:rsidRDefault="00F4654E">
      <w:pPr>
        <w:pStyle w:val="a5"/>
      </w:pPr>
      <w:r>
        <w:t>Всероссийский НИВИ патологии, фармакологии и терапии</w:t>
      </w:r>
    </w:p>
    <w:p w:rsidR="00F4654E" w:rsidRDefault="00F4654E">
      <w:pPr>
        <w:pStyle w:val="a6"/>
      </w:pPr>
      <w:r>
        <w:t>Анализ структуры заболеваемости крупного рогатого скота и свиней по регионам и в целом по стране показывает, что за последние 10 лет на фоне относительно стабильного эпизоотического благополучия по класс</w:t>
      </w:r>
      <w:r>
        <w:t>и</w:t>
      </w:r>
      <w:r>
        <w:t>ческим инфекциям повседневные массовые заболевания, особенно моло</w:t>
      </w:r>
      <w:r>
        <w:t>д</w:t>
      </w:r>
      <w:r>
        <w:t>няка, носят эпизоотический характер. При этом из года в год более 70% телят и поросят переболевают различными болезнями с общими клинич</w:t>
      </w:r>
      <w:r>
        <w:t>е</w:t>
      </w:r>
      <w:r>
        <w:t>скими синдромами нарушения функции систем органов пищеварения и дыхания (Шахов А.Г. с соавт., 2000) и практически трудно найти животное без признаков гепатодистрофии, кетоза, гипогликемии, иммунодефицита, остеодистрофии и т.д. Однако, до настоящего времени не достаточно из</w:t>
      </w:r>
      <w:r>
        <w:t>у</w:t>
      </w:r>
      <w:r>
        <w:t>чены на молекулярно-биохимическом, структурно-функциональном и эк</w:t>
      </w:r>
      <w:r>
        <w:t>о</w:t>
      </w:r>
      <w:r>
        <w:t>логическом уровнях и определены причины и механизмы перехода орг</w:t>
      </w:r>
      <w:r>
        <w:t>а</w:t>
      </w:r>
      <w:r>
        <w:lastRenderedPageBreak/>
        <w:t>низма из нормального состояния в патологическое, недостаточно изучены системные иммунодефициты в возникновении массовых желудочных и респираторных болезней молодняка животных.</w:t>
      </w:r>
    </w:p>
    <w:p w:rsidR="00F4654E" w:rsidRDefault="00F4654E">
      <w:pPr>
        <w:pStyle w:val="a6"/>
      </w:pPr>
      <w:r>
        <w:t>Начало перехода организма из нормального состояния в патологич</w:t>
      </w:r>
      <w:r>
        <w:t>е</w:t>
      </w:r>
      <w:r>
        <w:t>ское проявляется на уровне структурной организации клеток и тканей о</w:t>
      </w:r>
      <w:r>
        <w:t>р</w:t>
      </w:r>
      <w:r>
        <w:t xml:space="preserve">ганов при отсутствии клинических отклонений от физиологических норм организма (Серов В.В., 1999). Поэтому необходимо разработать методы прижизненной оценки структурной организации паренхиматозных органов с </w:t>
      </w:r>
      <w:r w:rsidR="00723C7C">
        <w:t>помощью,</w:t>
      </w:r>
      <w:r>
        <w:t xml:space="preserve"> как биопсийного материала, так и убойного материала на предклинической стадии развития патологии.</w:t>
      </w:r>
    </w:p>
    <w:p w:rsidR="00F4654E" w:rsidRDefault="00F4654E">
      <w:pPr>
        <w:pStyle w:val="a6"/>
      </w:pPr>
      <w:r>
        <w:t>В 1996-2000 г.г. в отделе патологической морфологии были разрабо-таны морфологические методы прогнозирования развития патологии в п</w:t>
      </w:r>
      <w:r>
        <w:t>а</w:t>
      </w:r>
      <w:r>
        <w:t>ренхиматозных органах животных в зависимости от степени и характера повреждающего фактора внешней среды, отобраны наиболее информа-тивные морфологические показатели структуры органов и испытаны в производственных условиях.</w:t>
      </w:r>
    </w:p>
    <w:p w:rsidR="00F4654E" w:rsidRDefault="00F4654E">
      <w:pPr>
        <w:pStyle w:val="a6"/>
      </w:pPr>
      <w:r>
        <w:t>Развитие патологии на уровне световой микроскопии сопровождалось дистрофическими изменениями в паренхиматозных органах, особенно в печени, слизистой оболочке кишечника, лёгких, поджелудочной и щит</w:t>
      </w:r>
      <w:r>
        <w:t>о</w:t>
      </w:r>
      <w:r>
        <w:t>видной железах, надпочечниках и лимфоидных органах.</w:t>
      </w:r>
    </w:p>
    <w:p w:rsidR="00F4654E" w:rsidRDefault="00F4654E">
      <w:pPr>
        <w:pStyle w:val="a6"/>
      </w:pPr>
      <w:r>
        <w:t>В печени и слизистой оболочке тощей кишки изменения носили то</w:t>
      </w:r>
      <w:r>
        <w:t>к</w:t>
      </w:r>
      <w:r>
        <w:t>сический характер (отсутствие гликогена в печени, наличие ареактивных некробиотических участков, набухание плазмолеммы клеток, отёк стр</w:t>
      </w:r>
      <w:r>
        <w:t>о</w:t>
      </w:r>
      <w:r>
        <w:t>мы). Субклеточная организация клеток паренхиматозных органов уточняла характер изменений, отмеченных при световой микроскопии. При этом отмечено нарушение мембранных структур гепатоцитов, энтероцитов, ал</w:t>
      </w:r>
      <w:r>
        <w:t>ь</w:t>
      </w:r>
      <w:r>
        <w:t>веолоцитов, кортикоцитов за счёт гранулярной эндоплазматической сети. На мембранах изредка встречались рибосомы, пластинчатые комплексы были уплощены и менее активными, митохондрии электроносветлыми, полиморфными и нередко вакуолизированными. В гепатоцитах гликоген почти полностью исчезал и появлялись недифференцированные миелин</w:t>
      </w:r>
      <w:r>
        <w:t>о</w:t>
      </w:r>
      <w:r>
        <w:t>вые комплексы, а также липидные включения. В щитовидной железе отм</w:t>
      </w:r>
      <w:r>
        <w:t>е</w:t>
      </w:r>
      <w:r>
        <w:t>чена гипофункция органа, в лимфоидной ткани перибронхов отмечалось наличие недифференцированных плазматических клеток.</w:t>
      </w:r>
    </w:p>
    <w:p w:rsidR="00F4654E" w:rsidRDefault="00F4654E">
      <w:pPr>
        <w:pStyle w:val="a6"/>
      </w:pPr>
      <w:r>
        <w:t>Глубокие структурные изменения паренхиматозных органов живо</w:t>
      </w:r>
      <w:r>
        <w:t>т</w:t>
      </w:r>
      <w:r>
        <w:t>ных, особенно в зоне химического загрязнения, указывали на наличие э</w:t>
      </w:r>
      <w:r>
        <w:t>н</w:t>
      </w:r>
      <w:r>
        <w:t>догенной интоксикации с нарушением мембранных структур клеток и м</w:t>
      </w:r>
      <w:r>
        <w:t>о</w:t>
      </w:r>
      <w:r>
        <w:t>гут быть использованы при прогнозировании патологии в организме. В р</w:t>
      </w:r>
      <w:r>
        <w:t>е</w:t>
      </w:r>
      <w:r>
        <w:t>зультате были получены нов</w:t>
      </w:r>
      <w:r w:rsidR="00251F7C">
        <w:t>ые данные по структурно-функцио</w:t>
      </w:r>
      <w:r>
        <w:t>нальным механизмам возникновения и развития патологии у молодняка животных в экологически неблагополучных условиях окружающей среды, что позв</w:t>
      </w:r>
      <w:r>
        <w:t>о</w:t>
      </w:r>
      <w:r>
        <w:t xml:space="preserve">лило в экологически безопасной системе ветеринарной защиты здоровья </w:t>
      </w:r>
      <w:r>
        <w:lastRenderedPageBreak/>
        <w:t>животных дать структурно-функциональные основы формирования здор</w:t>
      </w:r>
      <w:r>
        <w:t>о</w:t>
      </w:r>
      <w:r>
        <w:t>вья молодняка животных.</w:t>
      </w:r>
    </w:p>
    <w:p w:rsidR="00F4654E" w:rsidRDefault="00F4654E">
      <w:pPr>
        <w:pStyle w:val="a6"/>
      </w:pPr>
      <w:r>
        <w:t>В 2001-2002 г.г. на примере щитовидной железы изучение биопсийн</w:t>
      </w:r>
      <w:r>
        <w:t>о</w:t>
      </w:r>
      <w:r>
        <w:t>го материала показало, что микроскопически у клинически здоровых н</w:t>
      </w:r>
      <w:r>
        <w:t>о</w:t>
      </w:r>
      <w:r>
        <w:t>ворождённых телят железа снаружи покрыта плотной соединительнотка</w:t>
      </w:r>
      <w:r>
        <w:t>н</w:t>
      </w:r>
      <w:r>
        <w:t>ной капсулой. Обе доли её хорошо были развиты, от капсулы железы о</w:t>
      </w:r>
      <w:r>
        <w:t>т</w:t>
      </w:r>
      <w:r>
        <w:t>ходили тонкие соединительнотканные перегородки, делящие железу на дольки, представляющие собой паренхиму органа. Паренхима железы с</w:t>
      </w:r>
      <w:r>
        <w:t>о</w:t>
      </w:r>
      <w:r>
        <w:t>стояла из фолликулов округлой, овальной и нередко неправильной формы. Стереологический индекс резорбции составлял 92</w:t>
      </w:r>
      <w:r>
        <w:sym w:font="Symbol" w:char="F0B1"/>
      </w:r>
      <w:r>
        <w:t>5 мкм, Д/Н фактор – 1,8</w:t>
      </w:r>
      <w:r>
        <w:sym w:font="Symbol" w:char="F0B1"/>
      </w:r>
      <w:r>
        <w:t>0,2.</w:t>
      </w:r>
    </w:p>
    <w:p w:rsidR="00F4654E" w:rsidRDefault="00F4654E">
      <w:pPr>
        <w:pStyle w:val="a6"/>
      </w:pPr>
      <w:r>
        <w:t>При возникновении патологии у новорождённых телят наблюдалась гипофункция щитовидной железы. При этом отмечалось расширение пр</w:t>
      </w:r>
      <w:r>
        <w:t>о</w:t>
      </w:r>
      <w:r>
        <w:t>света кровеносных сосудов и капилляров стромы, а паренхима железы преимущественно была представлена крупными фолликулами, заполне</w:t>
      </w:r>
      <w:r>
        <w:t>н</w:t>
      </w:r>
      <w:r>
        <w:t>ными оптически плотным гомогенным коллоидом. Стереологический и</w:t>
      </w:r>
      <w:r>
        <w:t>н</w:t>
      </w:r>
      <w:r>
        <w:t>декс резорбции щитовидной железы увеличивался на 22,2% и составлял 113</w:t>
      </w:r>
      <w:r>
        <w:sym w:font="Symbol" w:char="F0B1"/>
      </w:r>
      <w:r>
        <w:t>24 мкм, а Д/Н фактор увеличивался на 11,1% и составлял 2,0</w:t>
      </w:r>
      <w:r>
        <w:sym w:font="Symbol" w:char="F0B1"/>
      </w:r>
      <w:r>
        <w:t>0,24. В фолликулах отмечалось уплощение тироцитов, средний объём которых уменьшался на 26% и составлял 130</w:t>
      </w:r>
      <w:r>
        <w:sym w:font="Symbol" w:char="F0B1"/>
      </w:r>
      <w:r>
        <w:t>0,07мкм. Цитоплазма тироцитов в</w:t>
      </w:r>
      <w:r>
        <w:t>ы</w:t>
      </w:r>
      <w:r>
        <w:t>глядела вакуолизированной в различной степени, местами содержала н</w:t>
      </w:r>
      <w:r>
        <w:t>е</w:t>
      </w:r>
      <w:r>
        <w:t>большие миелиновые включения на фоне расширенных мембран гран</w:t>
      </w:r>
      <w:r>
        <w:t>у</w:t>
      </w:r>
      <w:r>
        <w:t>лярной эндоплазматической сети. Здесь же встречались единичные мелкие митохондрии с электронноплотным матриксом. Ядра тироцитов были слегка пикнотичными, электронноплотными и маленькими, располагались преимущественно в базальной части клеток, объём ядер тироцитов умен</w:t>
      </w:r>
      <w:r>
        <w:t>ь</w:t>
      </w:r>
      <w:r>
        <w:t>шался на 54,6%. Гистохимически о низком функциональном состоянии т</w:t>
      </w:r>
      <w:r>
        <w:t>и</w:t>
      </w:r>
      <w:r>
        <w:t>роцитов – клеток фолликулярных стенок щитовидной железы телят при возникновении патологии свидетельствовало снижение активности оки</w:t>
      </w:r>
      <w:r>
        <w:t>с</w:t>
      </w:r>
      <w:r>
        <w:t>лительно-восстановительных и гидролитических ферментов.</w:t>
      </w:r>
    </w:p>
    <w:p w:rsidR="00F4654E" w:rsidRDefault="00F4654E">
      <w:pPr>
        <w:pStyle w:val="a6"/>
      </w:pPr>
      <w:r>
        <w:t>На примере патологии печени у поросят установлено, что у 57,14% из общего числа заболевших поросят зарегистрирован гепатодепрессивный синдром, подтверждённый патологоанатомически и биохимически.</w:t>
      </w:r>
    </w:p>
    <w:p w:rsidR="00F4654E" w:rsidRDefault="00F4654E">
      <w:pPr>
        <w:pStyle w:val="a6"/>
      </w:pPr>
      <w:r>
        <w:t>Морфологически печень у больных поросят была нормальных разм</w:t>
      </w:r>
      <w:r>
        <w:t>е</w:t>
      </w:r>
      <w:r>
        <w:t>ров, кровенаполнена, с гладкой поверхностью, немного напряжённой ка</w:t>
      </w:r>
      <w:r>
        <w:t>п</w:t>
      </w:r>
      <w:r>
        <w:t>сулой. По консистенции наблюдали упругую, тестоватую, мягкую и дря</w:t>
      </w:r>
      <w:r>
        <w:t>б</w:t>
      </w:r>
      <w:r>
        <w:t>лую печень, лилово-глинистого, фиолетово-лилового, глинисто-лилового, с и без кровоизлияний, бледно-лиловых, лилово-желтоватых и буро-жёл-тых цветов.</w:t>
      </w:r>
    </w:p>
    <w:p w:rsidR="00F4654E" w:rsidRDefault="00F4654E">
      <w:pPr>
        <w:pStyle w:val="a6"/>
      </w:pPr>
      <w:r>
        <w:t>В результате проведённых исследований было установлено, что с ра</w:t>
      </w:r>
      <w:r>
        <w:t>з</w:t>
      </w:r>
      <w:r>
        <w:t>витием гепатодистрофий у поросят отмечались глубокие динамические нарушения как структуры, так и функции органа. Низкий уровень окисл</w:t>
      </w:r>
      <w:r>
        <w:t>и</w:t>
      </w:r>
      <w:r>
        <w:t>тельно-восстановительных процессов (СДГ и ЦХО), обеднённый энерг</w:t>
      </w:r>
      <w:r>
        <w:t>е</w:t>
      </w:r>
      <w:r>
        <w:lastRenderedPageBreak/>
        <w:t>тический резерв (гликоген), понижение синтетических возможностей (о</w:t>
      </w:r>
      <w:r>
        <w:t>б</w:t>
      </w:r>
      <w:r>
        <w:t>щие белки) и начало инфильтративных процессов (жиры) в печени таких поросят приводили к гепатодистрофическим и гиперпластическим измен</w:t>
      </w:r>
      <w:r>
        <w:t>е</w:t>
      </w:r>
      <w:r>
        <w:t>ниям печёночной ткани.</w:t>
      </w:r>
    </w:p>
    <w:p w:rsidR="00F4654E" w:rsidRDefault="00F4654E">
      <w:pPr>
        <w:pStyle w:val="a6"/>
      </w:pPr>
      <w:r>
        <w:t>При проведении токсико-экологической оценки неблагополучных х</w:t>
      </w:r>
      <w:r>
        <w:t>о</w:t>
      </w:r>
      <w:r>
        <w:t>зяйств для выявления аномальных содержаний различных сочетаний то</w:t>
      </w:r>
      <w:r>
        <w:t>к</w:t>
      </w:r>
      <w:r>
        <w:t xml:space="preserve">сикантов в объектах животноводства необходима гистотопохимия ткани. В этой связи отработан метод с сульфидом для выявления солей свинца по Тимму, который особенно пригоден для выявления отложений свинца в костях. В срезах свинец выявлялся в виде коричневых гранул </w:t>
      </w:r>
      <w:r>
        <w:rPr>
          <w:lang w:val="en-US"/>
        </w:rPr>
        <w:t>PbS</w:t>
      </w:r>
      <w:r>
        <w:t>.</w:t>
      </w:r>
    </w:p>
    <w:p w:rsidR="00F4654E" w:rsidRDefault="00F4654E">
      <w:pPr>
        <w:pStyle w:val="a6"/>
      </w:pPr>
      <w:r>
        <w:t>Изучение структурной организации молочной железы у свиноматок на 90, 105 и 110 днях супоросности и после опороса выявило начало разв</w:t>
      </w:r>
      <w:r>
        <w:t>и</w:t>
      </w:r>
      <w:r>
        <w:t>тия субклинического мастита в период супоросности. Так, в 90 дней суп</w:t>
      </w:r>
      <w:r>
        <w:t>о</w:t>
      </w:r>
      <w:r>
        <w:t>росности в молочной железе свиноматок наблюдалась развитая строма с крупными кровеносными сосудами вокруг спавшихся молочных ходов и прослоек жировой клетчатки. Редко встречались альвеолярные протоки и очаги клеточной пролиферации.</w:t>
      </w:r>
    </w:p>
    <w:p w:rsidR="00F4654E" w:rsidRDefault="00F4654E">
      <w:pPr>
        <w:pStyle w:val="a6"/>
      </w:pPr>
      <w:r>
        <w:t>На 105-й день супоросности в молочной железе свиноматок отмеч</w:t>
      </w:r>
      <w:r>
        <w:t>а</w:t>
      </w:r>
      <w:r>
        <w:t>лись фиброзные и жировые прослойки между дольками, гетерогенность (чередование крупных, светлоокрашенных альвеол и мелких базофильных) плотной массы альвеол. Наряду с пролиферативными процессами во всех молочных железах выявлялись очаги начальной деструкции (отёчность альвеолоцитов, индурация, инкапсуляция, эозинофилия).</w:t>
      </w:r>
    </w:p>
    <w:p w:rsidR="00F4654E" w:rsidRDefault="00F4654E">
      <w:pPr>
        <w:pStyle w:val="a6"/>
      </w:pPr>
      <w:r>
        <w:t>На 110-й день супоросности в молочной железе свиноматок были о</w:t>
      </w:r>
      <w:r>
        <w:t>т</w:t>
      </w:r>
      <w:r>
        <w:t>мечены расширенные альвеолы, заполненные розовым вакуолизирова</w:t>
      </w:r>
      <w:r>
        <w:t>н</w:t>
      </w:r>
      <w:r>
        <w:t>ным содержимым, иногда содержащим дистрофичные макрофаги или ле</w:t>
      </w:r>
      <w:r>
        <w:t>й</w:t>
      </w:r>
      <w:r>
        <w:t>коциты. Эпителий альвеол был уплощён, встречались поля пустых и слипшихся альвеол. Секрет молока в альвеолоцитах встречался как искл</w:t>
      </w:r>
      <w:r>
        <w:t>ю</w:t>
      </w:r>
      <w:r>
        <w:t>чение.</w:t>
      </w:r>
    </w:p>
    <w:p w:rsidR="00F4654E" w:rsidRDefault="00F4654E">
      <w:pPr>
        <w:pStyle w:val="a6"/>
      </w:pPr>
      <w:r>
        <w:t>Изучение образцов слизистой оболочки матки методом биопсии из середины рогов матки коров больных острым послеродовым гнойно-ката-ральным эндометритом (8-10 день после отёла), а также в процессе ко</w:t>
      </w:r>
      <w:r>
        <w:t>м</w:t>
      </w:r>
      <w:r>
        <w:t>плексного лечения (10 день лечения) позволило установить, что острый послеродовый гнойно-катаральный эндометрит у коров характеризовался десквамацией покровного эпителия слизистой оболочки матки. А также участками, лишёнными эпителиальной выстилки, подслизистая основа слизистой оболочки матки была отёчной и обильно инфильтрирована ги</w:t>
      </w:r>
      <w:r>
        <w:t>с</w:t>
      </w:r>
      <w:r>
        <w:t>тиоцитарными и лимфоидными клетками. Течение воспалительного пр</w:t>
      </w:r>
      <w:r>
        <w:t>о</w:t>
      </w:r>
      <w:r>
        <w:t>цесса также отражалось на морфологии маточных желёз (просвет их ра</w:t>
      </w:r>
      <w:r>
        <w:t>с</w:t>
      </w:r>
      <w:r>
        <w:t>ширен, строма отёчна). При гнойно-катаральном эндометрите отмечался некробиоз и десквамация клеток железистого эпителия, а также скопление гнойных телец в просвете маточных желёз. Комплексное лечение больных эндометритом коров сопровождалось ослаблением воспалительной реа</w:t>
      </w:r>
      <w:r>
        <w:t>к</w:t>
      </w:r>
      <w:r>
        <w:lastRenderedPageBreak/>
        <w:t>ции, а также частичным или полным восстановлением структурной орг</w:t>
      </w:r>
      <w:r>
        <w:t>а</w:t>
      </w:r>
      <w:r>
        <w:t>низации маточных желёз и покровного эпителия эндометрия.</w:t>
      </w:r>
    </w:p>
    <w:p w:rsidR="00F4654E" w:rsidRDefault="00F4654E">
      <w:pPr>
        <w:pStyle w:val="a6"/>
      </w:pPr>
      <w:r>
        <w:t>Таким образом, независимо от этиологического характера патологии при проведении морфологических исследований световая микроскопия я</w:t>
      </w:r>
      <w:r>
        <w:t>в</w:t>
      </w:r>
      <w:r>
        <w:t>ляется основополагающей для определения характера и степени развития патологического процесса в органах и тканях организма животного и п</w:t>
      </w:r>
      <w:r>
        <w:t>о</w:t>
      </w:r>
      <w:r>
        <w:t>зволяет расшифровать изменения структурной организации клеток и тк</w:t>
      </w:r>
      <w:r>
        <w:t>а</w:t>
      </w:r>
      <w:r>
        <w:t>ней в начальной стадии развития патологии. Однако, переход организма из нормального состояния в патологическое возможно определить только на уровне ультраструктурной организации органоидов клетки любой ткани и органа. Следовательно, в перспективе при изучении незаразных и факто</w:t>
      </w:r>
      <w:r>
        <w:t>р</w:t>
      </w:r>
      <w:r>
        <w:t>ных заболеваний молодняка животных необходимость проведения морф</w:t>
      </w:r>
      <w:r>
        <w:t>о</w:t>
      </w:r>
      <w:r>
        <w:t xml:space="preserve">логических исследований очевидна, а ультраструктурных – тем более. </w:t>
      </w:r>
    </w:p>
    <w:p w:rsidR="00F4654E" w:rsidRDefault="00F4654E">
      <w:pPr>
        <w:pStyle w:val="a4"/>
      </w:pPr>
      <w:r>
        <w:t>УДК 619:616.33:636.085</w:t>
      </w:r>
    </w:p>
    <w:p w:rsidR="00F4654E" w:rsidRDefault="00F4654E">
      <w:pPr>
        <w:pStyle w:val="1"/>
      </w:pPr>
      <w:bookmarkStart w:id="242" w:name="_Toc11138073"/>
      <w:bookmarkStart w:id="243" w:name="_Toc11138491"/>
      <w:bookmarkStart w:id="244" w:name="_Toc11138909"/>
      <w:bookmarkStart w:id="245" w:name="_Toc11139327"/>
      <w:bookmarkStart w:id="246" w:name="_Toc11139745"/>
      <w:bookmarkStart w:id="247" w:name="_Toc11140163"/>
      <w:bookmarkStart w:id="248" w:name="_Toc11140581"/>
      <w:bookmarkStart w:id="249" w:name="_Toc11390061"/>
      <w:bookmarkStart w:id="250" w:name="_Toc11839740"/>
      <w:bookmarkStart w:id="251" w:name="_Toc11937276"/>
      <w:r>
        <w:t>Проблемы острых кишечных болезней молодняка сельскохозяйственных животных и пути их решения</w:t>
      </w:r>
      <w:bookmarkEnd w:id="242"/>
      <w:bookmarkEnd w:id="243"/>
      <w:bookmarkEnd w:id="244"/>
      <w:bookmarkEnd w:id="245"/>
      <w:bookmarkEnd w:id="246"/>
      <w:bookmarkEnd w:id="247"/>
      <w:bookmarkEnd w:id="248"/>
      <w:bookmarkEnd w:id="249"/>
      <w:bookmarkEnd w:id="250"/>
      <w:bookmarkEnd w:id="251"/>
    </w:p>
    <w:p w:rsidR="00F4654E" w:rsidRDefault="00F4654E">
      <w:pPr>
        <w:pStyle w:val="2"/>
      </w:pPr>
      <w:bookmarkStart w:id="252" w:name="_Toc11032400"/>
      <w:bookmarkStart w:id="253" w:name="_Toc11138074"/>
      <w:bookmarkStart w:id="254" w:name="_Toc11138492"/>
      <w:bookmarkStart w:id="255" w:name="_Toc11138910"/>
      <w:bookmarkStart w:id="256" w:name="_Toc11139328"/>
      <w:bookmarkStart w:id="257" w:name="_Toc11139746"/>
      <w:bookmarkStart w:id="258" w:name="_Toc11140164"/>
      <w:bookmarkStart w:id="259" w:name="_Toc11140582"/>
      <w:bookmarkStart w:id="260" w:name="_Toc11390062"/>
      <w:bookmarkStart w:id="261" w:name="_Toc11937277"/>
      <w:r>
        <w:t>Терехов В.И.</w:t>
      </w:r>
      <w:bookmarkEnd w:id="252"/>
      <w:bookmarkEnd w:id="253"/>
      <w:bookmarkEnd w:id="254"/>
      <w:bookmarkEnd w:id="255"/>
      <w:bookmarkEnd w:id="256"/>
      <w:bookmarkEnd w:id="257"/>
      <w:bookmarkEnd w:id="258"/>
      <w:bookmarkEnd w:id="259"/>
      <w:bookmarkEnd w:id="260"/>
      <w:bookmarkEnd w:id="261"/>
    </w:p>
    <w:p w:rsidR="00F4654E" w:rsidRDefault="00F4654E">
      <w:pPr>
        <w:pStyle w:val="a5"/>
      </w:pPr>
      <w:r>
        <w:t>Краснодарский научно-исследовательский ветеринарный институт</w:t>
      </w:r>
    </w:p>
    <w:p w:rsidR="00F4654E" w:rsidRDefault="00F4654E">
      <w:pPr>
        <w:pStyle w:val="a6"/>
      </w:pPr>
      <w:r>
        <w:t>Как показывает опыт для полноценного оборота стада важно не тол</w:t>
      </w:r>
      <w:r>
        <w:t>ь</w:t>
      </w:r>
      <w:r>
        <w:t>ко получить приплод, но и его сохранить. К сожалению, на фермах Кра</w:t>
      </w:r>
      <w:r>
        <w:t>с</w:t>
      </w:r>
      <w:r>
        <w:t>нодарского края сохранность молодняка крупного рогатого скота и свиней не достаточно высока. Наибольшее количество случаев заболевания и г</w:t>
      </w:r>
      <w:r>
        <w:t>и</w:t>
      </w:r>
      <w:r>
        <w:t>бели молодняка сельскохозяйственных животных происходит по причине острых кишечных заболеваний. Экономический ущерб от этой патологии огромен, так как ежегодно заболевает 42-45% (30-40 тыс. гол) новоро</w:t>
      </w:r>
      <w:r>
        <w:t>ж</w:t>
      </w:r>
      <w:r>
        <w:t>денных телят и 25-30% (490-510 тыс. гол) поросят. Из числа заболевших погибает 20-22% (30-35 тыс. гол) телят и 34-37% (140-170 тыс.гол.) пор</w:t>
      </w:r>
      <w:r>
        <w:t>о</w:t>
      </w:r>
      <w:r>
        <w:t xml:space="preserve">сят. В отдельных хозяйствах заболеваемость молодняка может доходить до 80-100%, а падеж – 30-50%. </w:t>
      </w:r>
    </w:p>
    <w:p w:rsidR="00F4654E" w:rsidRDefault="00F4654E">
      <w:pPr>
        <w:pStyle w:val="a6"/>
      </w:pPr>
      <w:r>
        <w:t>При анализе значительного количества (1516) случаев заболеваний телят и поросят в хозяйствах края установлено, что непосредственно ал</w:t>
      </w:r>
      <w:r>
        <w:t>и</w:t>
      </w:r>
      <w:r>
        <w:t>ментарно-функциональная диарея имеет место в 9-10%, обусловленная смешанной кишечной инфекцией – 80-85% и моноинфекциями – 5-10%.</w:t>
      </w:r>
    </w:p>
    <w:p w:rsidR="00F4654E" w:rsidRDefault="00F4654E">
      <w:pPr>
        <w:pStyle w:val="a6"/>
      </w:pPr>
      <w:r>
        <w:t>Нашими исследованиями было установлено, что ключевыми мех</w:t>
      </w:r>
      <w:r>
        <w:t>а</w:t>
      </w:r>
      <w:r>
        <w:t>низмами в развитии острых кишечных заболеваний смешанной этиологии являются следующие моменты:</w:t>
      </w:r>
    </w:p>
    <w:p w:rsidR="00F4654E" w:rsidRDefault="00F4654E">
      <w:pPr>
        <w:pStyle w:val="a6"/>
      </w:pPr>
      <w:r>
        <w:t>1. Несоответствие кормовой базы потребностям  маточного поголовья, а именно при достаточном объеме кормовых единиц рациона, низка его питательность и качество. Данное обстоятельство привело к тому, что практически круглогодично у беременных животных отмечаются скрытые и клинически выраженные авитаминозы, микро- и макроэлементозы, гип</w:t>
      </w:r>
      <w:r>
        <w:t>о</w:t>
      </w:r>
      <w:r>
        <w:lastRenderedPageBreak/>
        <w:t>протеинемии, микотоксикозы, а это в свою очередь влечет за собой  разв</w:t>
      </w:r>
      <w:r>
        <w:t>и</w:t>
      </w:r>
      <w:r>
        <w:t>тие не только вторичных иммунодефицитных состояний у матерей с  п</w:t>
      </w:r>
      <w:r>
        <w:t>о</w:t>
      </w:r>
      <w:r>
        <w:t>следующим появлением у них различных послеродовых патологий, но и к рождению физиологически неполноценного приплода с явными признак</w:t>
      </w:r>
      <w:r>
        <w:t>а</w:t>
      </w:r>
      <w:r>
        <w:t>ми внутриутробной токсикоинфекции, гипоксии, гипотрофии и иммуноп</w:t>
      </w:r>
      <w:r>
        <w:t>а</w:t>
      </w:r>
      <w:r>
        <w:t>тологии.</w:t>
      </w:r>
    </w:p>
    <w:p w:rsidR="00F4654E" w:rsidRDefault="00F4654E">
      <w:pPr>
        <w:pStyle w:val="a6"/>
      </w:pPr>
      <w:r>
        <w:t>2. Наличие ослабленного поголовья, отсутствие жесткого контроля за санитарно-гигиеническими нормами его содержания и специфических биопрепаратов, отвечающих в полной мере антигенной структуре боле</w:t>
      </w:r>
      <w:r>
        <w:t>з</w:t>
      </w:r>
      <w:r>
        <w:t>ней, способствовало широкому распространению потенциально патоге</w:t>
      </w:r>
      <w:r>
        <w:t>н</w:t>
      </w:r>
      <w:r>
        <w:t>ных бактерий. Особую актуальность среди которых  составляют стрепт</w:t>
      </w:r>
      <w:r>
        <w:t>о</w:t>
      </w:r>
      <w:r>
        <w:t>кокки, энтерококки, протеи, клебсиеллы, энтеробактеры, синегнойная п</w:t>
      </w:r>
      <w:r>
        <w:t>а</w:t>
      </w:r>
      <w:r>
        <w:t>лочка, кишечная палочка, шигеллы. Из числа двух последних довольно часто выделяются диареегенные варианты опасные не только для живо</w:t>
      </w:r>
      <w:r>
        <w:t>т</w:t>
      </w:r>
      <w:r>
        <w:t xml:space="preserve">ных, но и человека, у которого они вызывают гемолитико-уремический синдром с большим процентом летальности. </w:t>
      </w:r>
    </w:p>
    <w:p w:rsidR="00F4654E" w:rsidRDefault="00F4654E">
      <w:pPr>
        <w:pStyle w:val="a6"/>
      </w:pPr>
      <w:r>
        <w:t>Нами установлено, что в настоящее время в развитии острых кише</w:t>
      </w:r>
      <w:r>
        <w:t>ч</w:t>
      </w:r>
      <w:r>
        <w:t>ных заболеваний у молодняка крупного рогатого скота и свиней могут принимать участие более 20 различных видов бактерий,  а также грибы кандида, рота- коронавирусы, эймерии и криптоспории.</w:t>
      </w:r>
    </w:p>
    <w:p w:rsidR="00F4654E" w:rsidRDefault="00F4654E">
      <w:pPr>
        <w:pStyle w:val="a6"/>
      </w:pPr>
      <w:r>
        <w:t>Результаты постоянно осуществляемого лекарственного мониторинга показали, что среди условно патогенных бактерий, выделенных от телят и поросят при диареях, довольно широко распространены антибиотикорез</w:t>
      </w:r>
      <w:r>
        <w:t>и</w:t>
      </w:r>
      <w:r>
        <w:t>стентные штаммы. Наибольшее количество кишечных палочек, энтероба</w:t>
      </w:r>
      <w:r>
        <w:t>к</w:t>
      </w:r>
      <w:r>
        <w:t>теров, протеев, провиденсий, кливер, синегнойных палочек и энтерококков устойчиво к 10 и более препаратам, ни один из 36 тестируемых антибиот</w:t>
      </w:r>
      <w:r>
        <w:t>и</w:t>
      </w:r>
      <w:r>
        <w:t>ков и химиотерапевтических препаратов не имел 100% активности в отн</w:t>
      </w:r>
      <w:r>
        <w:t>о</w:t>
      </w:r>
      <w:r>
        <w:t xml:space="preserve">шении перечисленных микроорганизмов. Бактериальные ассоциации </w:t>
      </w:r>
      <w:r>
        <w:rPr>
          <w:lang w:val="en-US"/>
        </w:rPr>
        <w:t>in</w:t>
      </w:r>
      <w:r>
        <w:t xml:space="preserve"> </w:t>
      </w:r>
      <w:r>
        <w:rPr>
          <w:lang w:val="en-US"/>
        </w:rPr>
        <w:t>v</w:t>
      </w:r>
      <w:r>
        <w:rPr>
          <w:lang w:val="en-US"/>
        </w:rPr>
        <w:t>i</w:t>
      </w:r>
      <w:r>
        <w:rPr>
          <w:lang w:val="en-US"/>
        </w:rPr>
        <w:t>tro</w:t>
      </w:r>
      <w:r>
        <w:t xml:space="preserve"> были менее чувствительны к антибиотикам, чем монокультуры и могли противостоять, даже редко используемым, в ветеринарии цефатоксиму, нитроксолину, норфлоксацину и пефлоксацину. </w:t>
      </w:r>
    </w:p>
    <w:p w:rsidR="00F4654E" w:rsidRDefault="00F4654E">
      <w:pPr>
        <w:pStyle w:val="a6"/>
      </w:pPr>
      <w:r>
        <w:t>Лабораторные исследования показали, что большинство штаммов у</w:t>
      </w:r>
      <w:r>
        <w:t>с</w:t>
      </w:r>
      <w:r>
        <w:t>ловно патогенных бактерий, выделенных от больных и павших новоро</w:t>
      </w:r>
      <w:r>
        <w:t>ж</w:t>
      </w:r>
      <w:r>
        <w:t>денных животных при острых кишечных инфекциях, способны вызывать гибель белых мышей. Однако степень вирулентности была различной, и не зависела от видовой и родовой принадлежности микробов. LD</w:t>
      </w:r>
      <w:r>
        <w:rPr>
          <w:vertAlign w:val="subscript"/>
        </w:rPr>
        <w:t>50</w:t>
      </w:r>
      <w:r>
        <w:t xml:space="preserve"> у бол</w:t>
      </w:r>
      <w:r>
        <w:t>ь</w:t>
      </w:r>
      <w:r>
        <w:t>шинства штаммов была в пределах 300…800 млн.м.т.</w:t>
      </w:r>
    </w:p>
    <w:p w:rsidR="00F4654E" w:rsidRDefault="00F4654E">
      <w:pPr>
        <w:pStyle w:val="a6"/>
      </w:pPr>
      <w:r>
        <w:t>Среди изучаемых видов бактерий достаточно часто встречаются штаммы, продуцирующие гемолизины, наибольшее их количество было среди эшерихий, энтеробактеров, клебсиелл, стрепто-энтерококков. Эти же бактерии в 39,8-83,4% случаев обладают выраженными адгезивными сво</w:t>
      </w:r>
      <w:r>
        <w:t>й</w:t>
      </w:r>
      <w:r>
        <w:t>ствами. У энтеробактеров и клебсиелл установили присутствие адгезинов первого типа. У 39,1-47,2% штаммов эшерихий, энтеробактеров и клебс</w:t>
      </w:r>
      <w:r>
        <w:t>и</w:t>
      </w:r>
      <w:r>
        <w:lastRenderedPageBreak/>
        <w:t>елл обнаружена способность продуцировать энтеротоксины и примерно у такого же количества способность инактивировать лизоцим в количестве 4-5 мкг/мл и лейкоцитарный интерферон в объеме 1,5-2 ед.</w:t>
      </w:r>
    </w:p>
    <w:p w:rsidR="00F4654E" w:rsidRDefault="00F4654E">
      <w:pPr>
        <w:pStyle w:val="a6"/>
      </w:pPr>
      <w:r>
        <w:t>3. Слабое экономическое положение хозяйств и дороговизна медик</w:t>
      </w:r>
      <w:r>
        <w:t>а</w:t>
      </w:r>
      <w:r>
        <w:t>ментов привели к тому, что значительно сократились денежные ассигнов</w:t>
      </w:r>
      <w:r>
        <w:t>а</w:t>
      </w:r>
      <w:r>
        <w:t>ния на лечебные мероприятия и ветеринарное обслуживание новорожде</w:t>
      </w:r>
      <w:r>
        <w:t>н</w:t>
      </w:r>
      <w:r>
        <w:t>ных животных. В большинстве случаев ветеринарные работники ферм н</w:t>
      </w:r>
      <w:r>
        <w:t>е</w:t>
      </w:r>
      <w:r>
        <w:t>достаточно квалифицированно подходят к диагностике, лечению и проф</w:t>
      </w:r>
      <w:r>
        <w:t>и</w:t>
      </w:r>
      <w:r>
        <w:t>лактике острых кишечных заболеваний телят и поросят. Арсенал нозол</w:t>
      </w:r>
      <w:r>
        <w:t>о</w:t>
      </w:r>
      <w:r>
        <w:t>гических форм заболеваний проявляющихся расстройством функции п</w:t>
      </w:r>
      <w:r>
        <w:t>и</w:t>
      </w:r>
      <w:r>
        <w:t>щеварения чаще всего ограничен диспепсией и колибактериозом.</w:t>
      </w:r>
    </w:p>
    <w:p w:rsidR="00F4654E" w:rsidRDefault="00F4654E">
      <w:pPr>
        <w:pStyle w:val="a6"/>
      </w:pPr>
      <w:r>
        <w:t>С учетом основных этиологических факторов  профилактика диаре</w:t>
      </w:r>
      <w:r>
        <w:t>й</w:t>
      </w:r>
      <w:r>
        <w:t>ных болезней телят и поросят должна строиться на комплексе организац</w:t>
      </w:r>
      <w:r>
        <w:t>и</w:t>
      </w:r>
      <w:r>
        <w:t>онно-хозяйственных и специальных зооветеринарных мероприятий, н</w:t>
      </w:r>
      <w:r>
        <w:t>а</w:t>
      </w:r>
      <w:r>
        <w:t>правленных на получение здорового приплода и выращивание высокор</w:t>
      </w:r>
      <w:r>
        <w:t>е</w:t>
      </w:r>
      <w:r>
        <w:t xml:space="preserve">зистентного молодняка. </w:t>
      </w:r>
    </w:p>
    <w:p w:rsidR="00F4654E" w:rsidRDefault="00F4654E">
      <w:pPr>
        <w:pStyle w:val="a6"/>
        <w:rPr>
          <w:spacing w:val="2"/>
        </w:rPr>
      </w:pPr>
      <w:r>
        <w:rPr>
          <w:spacing w:val="2"/>
        </w:rPr>
        <w:t>Одним из главных моментов противоинфекционной защиты является создание у новорожденных телят и поросят раннего напряженного имм</w:t>
      </w:r>
      <w:r>
        <w:rPr>
          <w:spacing w:val="2"/>
        </w:rPr>
        <w:t>у</w:t>
      </w:r>
      <w:r>
        <w:rPr>
          <w:spacing w:val="2"/>
        </w:rPr>
        <w:t>нитета против этиологически значимых микроорганизмов и формиров</w:t>
      </w:r>
      <w:r>
        <w:rPr>
          <w:spacing w:val="2"/>
        </w:rPr>
        <w:t>а</w:t>
      </w:r>
      <w:r>
        <w:rPr>
          <w:spacing w:val="2"/>
        </w:rPr>
        <w:t>ние групп доращивания и откорма только из равных по иммунному и ф</w:t>
      </w:r>
      <w:r>
        <w:rPr>
          <w:spacing w:val="2"/>
        </w:rPr>
        <w:t>и</w:t>
      </w:r>
      <w:r>
        <w:rPr>
          <w:spacing w:val="2"/>
        </w:rPr>
        <w:t>зиологическому статусу животных. Лечебные мероприятия должны стр</w:t>
      </w:r>
      <w:r>
        <w:rPr>
          <w:spacing w:val="2"/>
        </w:rPr>
        <w:t>о</w:t>
      </w:r>
      <w:r>
        <w:rPr>
          <w:spacing w:val="2"/>
        </w:rPr>
        <w:t>иться с учетом этиологической структуры заболевания, свойств микроо</w:t>
      </w:r>
      <w:r>
        <w:rPr>
          <w:spacing w:val="2"/>
        </w:rPr>
        <w:t>р</w:t>
      </w:r>
      <w:r>
        <w:rPr>
          <w:spacing w:val="2"/>
        </w:rPr>
        <w:t>ганизмов и патофизиологического состояния макроорганизма. Поэтому применение антибактериальных средств мы осуществляет только после составления антибиотикограммы, либо, если поджимает время, с ко</w:t>
      </w:r>
      <w:r>
        <w:rPr>
          <w:spacing w:val="2"/>
        </w:rPr>
        <w:t>м</w:t>
      </w:r>
      <w:r>
        <w:rPr>
          <w:spacing w:val="2"/>
        </w:rPr>
        <w:t>плексных преп</w:t>
      </w:r>
      <w:r>
        <w:rPr>
          <w:spacing w:val="2"/>
        </w:rPr>
        <w:t>а</w:t>
      </w:r>
      <w:r>
        <w:rPr>
          <w:spacing w:val="2"/>
        </w:rPr>
        <w:t xml:space="preserve">ратов. </w:t>
      </w:r>
    </w:p>
    <w:p w:rsidR="00F4654E" w:rsidRDefault="00F4654E">
      <w:pPr>
        <w:pStyle w:val="a6"/>
        <w:rPr>
          <w:spacing w:val="-2"/>
        </w:rPr>
      </w:pPr>
      <w:r>
        <w:rPr>
          <w:spacing w:val="-2"/>
        </w:rPr>
        <w:t>Этиотропную терапии в обязательном порядке сочетаем со средствами регидратационной (ветсептол), заместительной (микроэлементы, витамины) и симптоматической (отвары трав, полипаренхимин) терапии. Поскольку острые кишечные инфекции у новорожденных животных развиваются по причине ранней и массированной контаминации их желудочного тракта у</w:t>
      </w:r>
      <w:r>
        <w:rPr>
          <w:spacing w:val="-2"/>
        </w:rPr>
        <w:t>с</w:t>
      </w:r>
      <w:r>
        <w:rPr>
          <w:spacing w:val="-2"/>
        </w:rPr>
        <w:t>ловно патогенными бактериями, то весьма эффективным приемом является становление и регуляция кишечной экосистемы с помощью пробиотических и пребиотических средств. Разработанный нами в этом плане препарат ги</w:t>
      </w:r>
      <w:r>
        <w:rPr>
          <w:spacing w:val="-2"/>
        </w:rPr>
        <w:t>д</w:t>
      </w:r>
      <w:r>
        <w:rPr>
          <w:spacing w:val="-2"/>
        </w:rPr>
        <w:t>рогимол, на основе кислотного гидролизата крови и биоорганических к</w:t>
      </w:r>
      <w:r>
        <w:rPr>
          <w:spacing w:val="-2"/>
        </w:rPr>
        <w:t>и</w:t>
      </w:r>
      <w:r>
        <w:rPr>
          <w:spacing w:val="-2"/>
        </w:rPr>
        <w:t>слот позволяет сокращать в 2-3 раза заболеваемость и в 3-5 раз гибель м</w:t>
      </w:r>
      <w:r>
        <w:rPr>
          <w:spacing w:val="-2"/>
        </w:rPr>
        <w:t>о</w:t>
      </w:r>
      <w:r>
        <w:rPr>
          <w:spacing w:val="-2"/>
        </w:rPr>
        <w:t>лодняка от диарей, кроме того, препарат активизирует и нормализует бе</w:t>
      </w:r>
      <w:r>
        <w:rPr>
          <w:spacing w:val="-2"/>
        </w:rPr>
        <w:t>л</w:t>
      </w:r>
      <w:r>
        <w:rPr>
          <w:spacing w:val="-2"/>
        </w:rPr>
        <w:t>ковый, углеводный и минеральный обмен, клеточную систему иммунитета и гемопоэз. В плане специфических профилактических мероприятий хор</w:t>
      </w:r>
      <w:r>
        <w:rPr>
          <w:spacing w:val="-2"/>
        </w:rPr>
        <w:t>о</w:t>
      </w:r>
      <w:r>
        <w:rPr>
          <w:spacing w:val="-2"/>
        </w:rPr>
        <w:t>ший эффект достигается после применения вакцин из местных штаммов бактерий. Кроме того, нами с успехом была апробирована поликомпонен</w:t>
      </w:r>
      <w:r>
        <w:rPr>
          <w:spacing w:val="-2"/>
        </w:rPr>
        <w:t>т</w:t>
      </w:r>
      <w:r>
        <w:rPr>
          <w:spacing w:val="-2"/>
        </w:rPr>
        <w:t xml:space="preserve">ная вакцины, изготовленные из липополисахаридно-белковых комплексов энтеробактерий на неполном адъюванте Фрейнда и полиакриловой кислоте. </w:t>
      </w:r>
      <w:r>
        <w:rPr>
          <w:spacing w:val="-2"/>
        </w:rPr>
        <w:lastRenderedPageBreak/>
        <w:t xml:space="preserve">При их применении падеж новорожденных телят и поросят от смешанных кишечных инфекций снизился на фермах на 81-89%. </w:t>
      </w:r>
    </w:p>
    <w:p w:rsidR="00F4654E" w:rsidRDefault="00F4654E">
      <w:pPr>
        <w:pStyle w:val="a6"/>
      </w:pPr>
      <w:r>
        <w:t>Эффективным профилактическим мероприятием является поголовная двукратная (пероральная или парентеральная) обработка новорожденных животных гипериммунной сывороткой в дозе 0,5-1 мл/кг, которую осущ</w:t>
      </w:r>
      <w:r>
        <w:t>е</w:t>
      </w:r>
      <w:r>
        <w:t>ствляли сразу после их рождения. Для иммунизации доноров использовали вакцину из местных штаммов бактерий. Препарат вводили подкожно в возрастающих дозах в течение месяца, при этом титр агглютинов в отн</w:t>
      </w:r>
      <w:r>
        <w:t>о</w:t>
      </w:r>
      <w:r>
        <w:t>шении энтеробактерий достигал 1:3200, а энтеро-стрептококков – 1:30-1:60, что вполне обеспечивало не только предупреждающий, но и лече</w:t>
      </w:r>
      <w:r>
        <w:t>б</w:t>
      </w:r>
      <w:r>
        <w:t>ный эффект.</w:t>
      </w:r>
    </w:p>
    <w:p w:rsidR="00F4654E" w:rsidRDefault="00F4654E">
      <w:pPr>
        <w:pStyle w:val="a4"/>
      </w:pPr>
      <w:r>
        <w:t>УДК 612.017:577.3:537.5.</w:t>
      </w:r>
    </w:p>
    <w:p w:rsidR="00F4654E" w:rsidRDefault="00F4654E">
      <w:pPr>
        <w:pStyle w:val="1"/>
      </w:pPr>
      <w:bookmarkStart w:id="262" w:name="_Toc10731622"/>
      <w:bookmarkStart w:id="263" w:name="_Toc11138105"/>
      <w:bookmarkStart w:id="264" w:name="_Toc11138523"/>
      <w:bookmarkStart w:id="265" w:name="_Toc11138941"/>
      <w:bookmarkStart w:id="266" w:name="_Toc11139359"/>
      <w:bookmarkStart w:id="267" w:name="_Toc11139777"/>
      <w:bookmarkStart w:id="268" w:name="_Toc11140195"/>
      <w:bookmarkStart w:id="269" w:name="_Toc11140613"/>
      <w:bookmarkStart w:id="270" w:name="_Toc11390063"/>
      <w:bookmarkStart w:id="271" w:name="_Toc11839742"/>
      <w:bookmarkStart w:id="272" w:name="_Toc11937278"/>
      <w:r>
        <w:t>Изменения биофизических механизмов состояния иммунной системы под влиянием КВЧ – лучей</w:t>
      </w:r>
      <w:bookmarkEnd w:id="262"/>
      <w:bookmarkEnd w:id="263"/>
      <w:bookmarkEnd w:id="264"/>
      <w:bookmarkEnd w:id="265"/>
      <w:bookmarkEnd w:id="266"/>
      <w:bookmarkEnd w:id="267"/>
      <w:bookmarkEnd w:id="268"/>
      <w:bookmarkEnd w:id="269"/>
      <w:bookmarkEnd w:id="270"/>
      <w:bookmarkEnd w:id="271"/>
      <w:bookmarkEnd w:id="272"/>
    </w:p>
    <w:p w:rsidR="00F4654E" w:rsidRDefault="00F4654E">
      <w:pPr>
        <w:pStyle w:val="2"/>
      </w:pPr>
      <w:bookmarkStart w:id="273" w:name="_Toc10731623"/>
      <w:bookmarkStart w:id="274" w:name="_Toc11032416"/>
      <w:bookmarkStart w:id="275" w:name="_Toc11138106"/>
      <w:bookmarkStart w:id="276" w:name="_Toc11138524"/>
      <w:bookmarkStart w:id="277" w:name="_Toc11138942"/>
      <w:bookmarkStart w:id="278" w:name="_Toc11139360"/>
      <w:bookmarkStart w:id="279" w:name="_Toc11139778"/>
      <w:bookmarkStart w:id="280" w:name="_Toc11140196"/>
      <w:bookmarkStart w:id="281" w:name="_Toc11140614"/>
      <w:bookmarkStart w:id="282" w:name="_Toc11390064"/>
      <w:bookmarkStart w:id="283" w:name="_Toc11937279"/>
      <w:r>
        <w:t>Уша Б.В., Сапфиров С.Г., Иванова Т.А., Крюковская Г.М., Перфильев Е.С.</w:t>
      </w:r>
      <w:bookmarkEnd w:id="273"/>
      <w:bookmarkEnd w:id="274"/>
      <w:bookmarkEnd w:id="275"/>
      <w:bookmarkEnd w:id="276"/>
      <w:bookmarkEnd w:id="277"/>
      <w:bookmarkEnd w:id="278"/>
      <w:bookmarkEnd w:id="279"/>
      <w:bookmarkEnd w:id="280"/>
      <w:bookmarkEnd w:id="281"/>
      <w:bookmarkEnd w:id="282"/>
      <w:bookmarkEnd w:id="283"/>
      <w:r>
        <w:t xml:space="preserve"> </w:t>
      </w:r>
    </w:p>
    <w:p w:rsidR="00F4654E" w:rsidRDefault="00F4654E">
      <w:pPr>
        <w:pStyle w:val="a5"/>
      </w:pPr>
      <w:r>
        <w:t xml:space="preserve">Московский государственный университет прикладной биотехнологии </w:t>
      </w:r>
    </w:p>
    <w:p w:rsidR="00F4654E" w:rsidRDefault="00F4654E">
      <w:pPr>
        <w:pStyle w:val="a6"/>
      </w:pPr>
      <w:r>
        <w:t>Обратим внимание  на некоторые особенности клеточного и гум</w:t>
      </w:r>
      <w:r>
        <w:t>о</w:t>
      </w:r>
      <w:r>
        <w:t>рального иммунных ответов.  Во-первых, видно, что антитела, вырабат</w:t>
      </w:r>
      <w:r>
        <w:t>ы</w:t>
      </w:r>
      <w:r>
        <w:t>ваемые В-лимфоцитами при гуморальном иммунном ответе, в дальнейшем от них отделяются,  а антитела, вырабатываемые Т-лимфоцитами при кл</w:t>
      </w:r>
      <w:r>
        <w:t>е</w:t>
      </w:r>
      <w:r>
        <w:t>точном иммунном ответе,  связи с выработавшей их клеткой не теряют. Клетки иммунной системы должны обладать системой распознавания "своего" и "чужого". Эту функцию выполняют молекулы  так  называемого  главного комплекса гистосовместимости  - МНС,  обладающие  стабильн</w:t>
      </w:r>
      <w:r>
        <w:t>о</w:t>
      </w:r>
      <w:r>
        <w:t>стью  наследственных свойств индивидуума и в то же время исключител</w:t>
      </w:r>
      <w:r>
        <w:t>ь</w:t>
      </w:r>
      <w:r>
        <w:t>ным полиморфизмом для разных особей данного вида. При презентации клетки МНС располагаются на плазматической мембране лимфоцита р</w:t>
      </w:r>
      <w:r>
        <w:t>я</w:t>
      </w:r>
      <w:r>
        <w:t>дом с чужеродным антигеном или его частью и ассоциируются с ним. Но тогда закономерный процесс, регулирующий появление антител против определенного антигена после его появления в организме, должен иметь свой биофизический механизм.</w:t>
      </w:r>
    </w:p>
    <w:p w:rsidR="00F4654E" w:rsidRDefault="00F4654E">
      <w:pPr>
        <w:pStyle w:val="a6"/>
      </w:pPr>
      <w:r>
        <w:t>Количество собственных резонансных частот клетки может быть очень большим. В значительной мере число собственных частот определ</w:t>
      </w:r>
      <w:r>
        <w:t>я</w:t>
      </w:r>
      <w:r>
        <w:t>ется  размером клетки - чем больше клетка, тем больше  собственных  ча</w:t>
      </w:r>
      <w:r>
        <w:t>с</w:t>
      </w:r>
      <w:r>
        <w:t>тот обеспечивает возможность генерации на их основе огромного разноо</w:t>
      </w:r>
      <w:r>
        <w:t>б</w:t>
      </w:r>
      <w:r>
        <w:t>разия спектров, способного приблизиться к любому спектру в достаточно широкой области. А это означает, что при определенных условиях во</w:t>
      </w:r>
      <w:r>
        <w:t>з</w:t>
      </w:r>
      <w:r>
        <w:t>можна почти точная синхронизация генерируемых клеткой колебаний с колебаниями внешнего источника излучения (например, чужеродной кле</w:t>
      </w:r>
      <w:r>
        <w:t>т</w:t>
      </w:r>
      <w:r>
        <w:t>ки). А между клетками, колебания в которых синхронизированы (разности  частот малы и не исключают эффективного взаимодействия), в изотонич</w:t>
      </w:r>
      <w:r>
        <w:t>е</w:t>
      </w:r>
      <w:r>
        <w:lastRenderedPageBreak/>
        <w:t>ском растворе возникает взаимопритяжение. При этом с учетом распред</w:t>
      </w:r>
      <w:r>
        <w:t>е</w:t>
      </w:r>
      <w:r>
        <w:t>ления областей излучения разных частот по поверхности клетки и их связи с особенностями поверхности мембраны речь может идти о таком  взаим</w:t>
      </w:r>
      <w:r>
        <w:t>о</w:t>
      </w:r>
      <w:r>
        <w:t>притяжении, при котором происходит совершенно определенная ориент</w:t>
      </w:r>
      <w:r>
        <w:t>а</w:t>
      </w:r>
      <w:r>
        <w:t xml:space="preserve">ция клеток друг относительно друга, обеспечивающая возможность их прочного сцепления. </w:t>
      </w:r>
    </w:p>
    <w:p w:rsidR="00F4654E" w:rsidRDefault="00F4654E">
      <w:pPr>
        <w:pStyle w:val="a6"/>
      </w:pPr>
      <w:r>
        <w:t>Как известно из электродинамики, реактивные структуры, связанные с резонатором генератора, могут обеспечить смещение  частот генериру</w:t>
      </w:r>
      <w:r>
        <w:t>е</w:t>
      </w:r>
      <w:r>
        <w:t>мых колебаний и их дальнейшее сближение. Этому в полной мере отвечает описываемый иммунологами  процесс перехода от грубого соответствия свойств антитела и антигена  к тонкой его доводке.</w:t>
      </w:r>
    </w:p>
    <w:p w:rsidR="00F4654E" w:rsidRDefault="00F4654E">
      <w:pPr>
        <w:pStyle w:val="a6"/>
      </w:pPr>
      <w:r>
        <w:t>Схемы борьбы доведенных по форме антител с антигенами разраб</w:t>
      </w:r>
      <w:r>
        <w:t>о</w:t>
      </w:r>
      <w:r>
        <w:t>таны иммунологами достаточно подробно. К этому можно только доб</w:t>
      </w:r>
      <w:r>
        <w:t>а</w:t>
      </w:r>
      <w:r>
        <w:t>вить, что резонансные свойства Т-лимфоцитов в совокупности с поро</w:t>
      </w:r>
      <w:r>
        <w:t>ж</w:t>
      </w:r>
      <w:r>
        <w:t>денными ими антителами, соответствующие резонансным свойствам ант</w:t>
      </w:r>
      <w:r>
        <w:t>и</w:t>
      </w:r>
      <w:r>
        <w:t>генов, обеспечивают клеточный иммунный ответ, связанный со взаим</w:t>
      </w:r>
      <w:r>
        <w:t>о</w:t>
      </w:r>
      <w:r>
        <w:t xml:space="preserve">притяжением антигена и антитела, ассоциированного с лимфоцитом: по-видимому, притяжение при этом обеспечивается волнами, генерируемыми Т-лимфоцитом. </w:t>
      </w:r>
    </w:p>
    <w:p w:rsidR="00F4654E" w:rsidRDefault="00F4654E">
      <w:pPr>
        <w:pStyle w:val="a6"/>
      </w:pPr>
      <w:r>
        <w:t>В случае же гуморального иммунного ответа, обеспечиваемого В-лим-фоцитами, когда иммунный ответ связан с взаимодействием отделившихся от В-лимфоцита антител (пассивных элементов) с живыми бактериями  (антигены), соответствие  резонансных свойств антигена и антитела реал</w:t>
      </w:r>
      <w:r>
        <w:t>и</w:t>
      </w:r>
      <w:r>
        <w:t>зуется при их взаимопритяжении, обеспечиваемом излучением волн, ген</w:t>
      </w:r>
      <w:r>
        <w:t>е</w:t>
      </w:r>
      <w:r>
        <w:t>рируемых бактерией, хотя  энергия, излучаемая бактерией, много меньше энергии, излучаемой лимфоцитом. Вероятно, это различие является  опр</w:t>
      </w:r>
      <w:r>
        <w:t>е</w:t>
      </w:r>
      <w:r>
        <w:t>деляющим для клеточного и гуморального иммунных ответов. Оно позв</w:t>
      </w:r>
      <w:r>
        <w:t>о</w:t>
      </w:r>
      <w:r>
        <w:t>ляет организму не затрачивать излишней энергии, если чужеродный ант</w:t>
      </w:r>
      <w:r>
        <w:t>и</w:t>
      </w:r>
      <w:r>
        <w:t xml:space="preserve">ген сам излучает волны. </w:t>
      </w:r>
    </w:p>
    <w:p w:rsidR="00F4654E" w:rsidRDefault="00F4654E">
      <w:pPr>
        <w:pStyle w:val="a6"/>
      </w:pPr>
      <w:r>
        <w:t>С физической точки зрения чужеродные белки отличаются от  белков, вырабатываемых данным организмом, прежде всего спектром своих рез</w:t>
      </w:r>
      <w:r>
        <w:t>о</w:t>
      </w:r>
      <w:r>
        <w:t>нансных частот. Сами по себе иммунные клетки не могут генерировать к</w:t>
      </w:r>
      <w:r>
        <w:t>о</w:t>
      </w:r>
      <w:r>
        <w:t>лебания со спектром, достаточно близким к спектру МНС антигена, для обеспечения эффективного их (антигена и антитела) взаимодействия. Сл</w:t>
      </w:r>
      <w:r>
        <w:t>е</w:t>
      </w:r>
      <w:r>
        <w:t>довательно, после презентации иммунного материала и изменения спектра, генерируемых клеткой колебаний происходят перестройки ДНК, появл</w:t>
      </w:r>
      <w:r>
        <w:t>я</w:t>
      </w:r>
      <w:r>
        <w:t>ются матрицы, регулирующие сборку белков, соответствующих чужеро</w:t>
      </w:r>
      <w:r>
        <w:t>д</w:t>
      </w:r>
      <w:r>
        <w:t>ному а</w:t>
      </w:r>
      <w:r>
        <w:t>н</w:t>
      </w:r>
      <w:r>
        <w:t xml:space="preserve">тигену. А это определяет генерацию необходимых антител. </w:t>
      </w:r>
    </w:p>
    <w:p w:rsidR="00F4654E" w:rsidRDefault="00F4654E">
      <w:pPr>
        <w:pStyle w:val="a6"/>
      </w:pPr>
      <w:r>
        <w:t>Передача необходимых белковых молекул от антигена к лимфоцитам осуществляется в лимфатической системе. Процесс активации связан,  как и процессы адаптивного роста, с возбуждением в клетке генерации акуст</w:t>
      </w:r>
      <w:r>
        <w:t>о</w:t>
      </w:r>
      <w:r>
        <w:t>электрических колебаний, когда произошедшие в ней изменения приводят к нарушению нормального функционирования. Адаптивный рост пре</w:t>
      </w:r>
      <w:r>
        <w:t>д</w:t>
      </w:r>
      <w:r>
        <w:lastRenderedPageBreak/>
        <w:t>ставляет собой восстановление нарушенных тканей, и активация вызывает или ускоряет пролиферацию клеток; генерируемые при этом колебания управляют процессами  восстановления. Специфика рассматриваемого случая иммунного ответа определяется в основном тем, что изменения х</w:t>
      </w:r>
      <w:r>
        <w:t>а</w:t>
      </w:r>
      <w:r>
        <w:t xml:space="preserve">рактера функционирования  и вызываемые ими пролиферация и генерация акустоэлектрических колебаний связаны с презентацией клетке иммунного материала чужеродного антигена и, как было описано выше, следующей за ней перестройкой клетки. Процессы адаптивного роста, судя по данным исследований, управляются собственными частотами клеток, общими для особей данного вида,  иммунный ответ – индивидуальной частью спектра собственных частот этих особей. </w:t>
      </w:r>
    </w:p>
    <w:p w:rsidR="00F4654E" w:rsidRDefault="00F4654E">
      <w:pPr>
        <w:pStyle w:val="a6"/>
        <w:rPr>
          <w:spacing w:val="-2"/>
        </w:rPr>
      </w:pPr>
      <w:r>
        <w:rPr>
          <w:spacing w:val="-2"/>
        </w:rPr>
        <w:t>Таким образом, с рассматриваемой точки зрения именн</w:t>
      </w:r>
      <w:r w:rsidR="00251F7C">
        <w:rPr>
          <w:spacing w:val="-2"/>
        </w:rPr>
        <w:t>о переданный лимфоцитам иммунно-</w:t>
      </w:r>
      <w:r>
        <w:rPr>
          <w:spacing w:val="-2"/>
        </w:rPr>
        <w:t>специфичный материал – специфичные для чуж</w:t>
      </w:r>
      <w:r>
        <w:rPr>
          <w:spacing w:val="-2"/>
        </w:rPr>
        <w:t>е</w:t>
      </w:r>
      <w:r>
        <w:rPr>
          <w:spacing w:val="-2"/>
        </w:rPr>
        <w:t>родного антигена белки – является тем недостающим звеном, которое нео</w:t>
      </w:r>
      <w:r>
        <w:rPr>
          <w:spacing w:val="-2"/>
        </w:rPr>
        <w:t>б</w:t>
      </w:r>
      <w:r>
        <w:rPr>
          <w:spacing w:val="-2"/>
        </w:rPr>
        <w:t>ходимо для возбуждения процесса, обеспечивающего генерацию лимфоц</w:t>
      </w:r>
      <w:r>
        <w:rPr>
          <w:spacing w:val="-2"/>
        </w:rPr>
        <w:t>и</w:t>
      </w:r>
      <w:r>
        <w:rPr>
          <w:spacing w:val="-2"/>
        </w:rPr>
        <w:t>тами колебаний со спектром, близким к спектру МНС антигена, необход</w:t>
      </w:r>
      <w:r>
        <w:rPr>
          <w:spacing w:val="-2"/>
        </w:rPr>
        <w:t>и</w:t>
      </w:r>
      <w:r>
        <w:rPr>
          <w:spacing w:val="-2"/>
        </w:rPr>
        <w:t>мым для запуска иммунного ответа. Это говорит о том, что спектр собс</w:t>
      </w:r>
      <w:r>
        <w:rPr>
          <w:spacing w:val="-2"/>
        </w:rPr>
        <w:t>т</w:t>
      </w:r>
      <w:r>
        <w:rPr>
          <w:spacing w:val="-2"/>
        </w:rPr>
        <w:t>венных частот лимфоцита (спектр частот его МНС) дополняется частотами, соо</w:t>
      </w:r>
      <w:r>
        <w:rPr>
          <w:spacing w:val="-2"/>
        </w:rPr>
        <w:t>т</w:t>
      </w:r>
      <w:r>
        <w:rPr>
          <w:spacing w:val="-2"/>
        </w:rPr>
        <w:t>ветствующими МНС чужеродного гена, а не подменяется ими. И это очень важно, т.к. лимфоциты должны взаимодействовать не только с чуж</w:t>
      </w:r>
      <w:r>
        <w:rPr>
          <w:spacing w:val="-2"/>
        </w:rPr>
        <w:t>е</w:t>
      </w:r>
      <w:r>
        <w:rPr>
          <w:spacing w:val="-2"/>
        </w:rPr>
        <w:t>родными антигенами, но и с другими клетками иммунной системы, учас</w:t>
      </w:r>
      <w:r>
        <w:rPr>
          <w:spacing w:val="-2"/>
        </w:rPr>
        <w:t>т</w:t>
      </w:r>
      <w:r>
        <w:rPr>
          <w:spacing w:val="-2"/>
        </w:rPr>
        <w:t>вующ</w:t>
      </w:r>
      <w:r>
        <w:rPr>
          <w:spacing w:val="-2"/>
        </w:rPr>
        <w:t>и</w:t>
      </w:r>
      <w:r>
        <w:rPr>
          <w:spacing w:val="-2"/>
        </w:rPr>
        <w:t>ми в иммунном ответе. Если к макрофагу приблизится чужеродный антиген, то в силу различий в спектрах резонансных частот между ним и  макрофагом  в  антигене возбуждаются колебания малой амплит</w:t>
      </w:r>
      <w:r>
        <w:rPr>
          <w:spacing w:val="-2"/>
        </w:rPr>
        <w:t>у</w:t>
      </w:r>
      <w:r>
        <w:rPr>
          <w:spacing w:val="-2"/>
        </w:rPr>
        <w:t xml:space="preserve">ды. </w:t>
      </w:r>
    </w:p>
    <w:p w:rsidR="00F4654E" w:rsidRDefault="00F4654E">
      <w:pPr>
        <w:pStyle w:val="a6"/>
      </w:pPr>
      <w:r>
        <w:t>Таким образом, для проявления фагоцитарной активности по отнош</w:t>
      </w:r>
      <w:r>
        <w:t>е</w:t>
      </w:r>
      <w:r>
        <w:t>нию к чужеродным антигенам и отсутствия ее проявления к собственным  требуется только, чтобы спектр  резонансных частот МНС макрофага со</w:t>
      </w:r>
      <w:r>
        <w:t>в</w:t>
      </w:r>
      <w:r>
        <w:t>падал со спектром частот МНС собственных антигенов; каких-либо пре</w:t>
      </w:r>
      <w:r>
        <w:t>д</w:t>
      </w:r>
      <w:r>
        <w:t>варительных сведений о спектральных характеристиках чужеродных ант</w:t>
      </w:r>
      <w:r>
        <w:t>и</w:t>
      </w:r>
      <w:r>
        <w:t>генов не требуется.</w:t>
      </w:r>
      <w:r>
        <w:tab/>
      </w:r>
      <w:r>
        <w:tab/>
      </w:r>
    </w:p>
    <w:p w:rsidR="00F4654E" w:rsidRDefault="00F4654E">
      <w:pPr>
        <w:pStyle w:val="a6"/>
      </w:pPr>
      <w:r>
        <w:t>Результаты многочисленных исследований находят себе объяснение, если предположить, что важнейшим фактором управления являются ген</w:t>
      </w:r>
      <w:r>
        <w:t>е</w:t>
      </w:r>
      <w:r>
        <w:t>рируемые организмом при нарушениях его функционирования КВЧ сигн</w:t>
      </w:r>
      <w:r>
        <w:t>а</w:t>
      </w:r>
      <w:r>
        <w:t>лы на дискретных резонансных частотах, определяемых характером нар</w:t>
      </w:r>
      <w:r>
        <w:t>у</w:t>
      </w:r>
      <w:r>
        <w:t>шений. Эти сигналы приводят в действие механизмы, исправляющие н</w:t>
      </w:r>
      <w:r>
        <w:t>а</w:t>
      </w:r>
      <w:r>
        <w:t>рушения. Воздействующие извне на больной организм КВЧ излучения м</w:t>
      </w:r>
      <w:r>
        <w:t>о</w:t>
      </w:r>
      <w:r>
        <w:t>гут имитировать сигналы, вырабатываемые самим организмом; в этом сл</w:t>
      </w:r>
      <w:r>
        <w:t>у</w:t>
      </w:r>
      <w:r>
        <w:t xml:space="preserve">чае они помогают ему быстрее и эффективнее устранять нарушения. </w:t>
      </w:r>
    </w:p>
    <w:p w:rsidR="00F4654E" w:rsidRDefault="00F4654E">
      <w:pPr>
        <w:pStyle w:val="a6"/>
      </w:pPr>
      <w:r>
        <w:t>В клинической практике воздействие на организм КВЧ излучениями приводит к активизации поглотительной способности фагоцитов (судить о которой можно по общей фагоцитарной активности (ОФА) моноцитов и нейтрофилов), активизации внутриклеточных систем, участвующих в п</w:t>
      </w:r>
      <w:r>
        <w:t>е</w:t>
      </w:r>
      <w:r>
        <w:t>реработке поглощённого материала. Выявленные изменения носили хара</w:t>
      </w:r>
      <w:r>
        <w:t>к</w:t>
      </w:r>
      <w:r>
        <w:lastRenderedPageBreak/>
        <w:t>тер стимуляции иммунных процессов. После воздействия КВЧ определена тенденция к увеличению Т- лимфоцитов, причем на фоне практически не меняющихся Т- хелперов отмечалось уменьшение Т-супрессоров. Наряду с этим выявлены изменения гуморального иммунитета, так увеличение IgМ и IgG и уменьшение IgА.  Результаты изучения количества лейкоцитов и формулы крови продемонстрировали стимулирующее влияние на лейкоп</w:t>
      </w:r>
      <w:r>
        <w:t>о</w:t>
      </w:r>
      <w:r>
        <w:t>эз и достоверное увеличение количества палочкоядерных лейкоцитов.</w:t>
      </w:r>
    </w:p>
    <w:p w:rsidR="00F4654E" w:rsidRDefault="00F4654E">
      <w:pPr>
        <w:pStyle w:val="a6"/>
      </w:pPr>
      <w:r>
        <w:t>Исходя из того, что каждый иммунологический клон имеет свою р</w:t>
      </w:r>
      <w:r>
        <w:t>е</w:t>
      </w:r>
      <w:r>
        <w:t>зонансную частоту, важной задачей иммунологии является направленная коррекция иммунологического статуса. Таким образом, перспективно из</w:t>
      </w:r>
      <w:r>
        <w:t>у</w:t>
      </w:r>
      <w:r>
        <w:t xml:space="preserve">чение воздействия на отдельные субпопуляции клеток внешнего КВЧ-излучения при возникающих отклонениях. </w:t>
      </w:r>
    </w:p>
    <w:p w:rsidR="00F4654E" w:rsidRDefault="00F4654E">
      <w:pPr>
        <w:pStyle w:val="a4"/>
      </w:pPr>
      <w:r>
        <w:t>УКД  619.616.24.002.053.636.2</w:t>
      </w:r>
    </w:p>
    <w:p w:rsidR="00F4654E" w:rsidRDefault="00F4654E">
      <w:pPr>
        <w:pStyle w:val="1"/>
      </w:pPr>
      <w:bookmarkStart w:id="284" w:name="_Toc10731037"/>
      <w:bookmarkStart w:id="285" w:name="_Toc10731698"/>
      <w:bookmarkStart w:id="286" w:name="_Toc10891530"/>
      <w:bookmarkStart w:id="287" w:name="_Toc10892205"/>
      <w:bookmarkStart w:id="288" w:name="_Toc11390065"/>
      <w:bookmarkStart w:id="289" w:name="_Toc11839744"/>
      <w:bookmarkStart w:id="290" w:name="_Toc11937280"/>
      <w:r>
        <w:t>ЛЕЧЕНИЕ БРОНХОПНЕВМОНИИ ТЕЛЯТ</w:t>
      </w:r>
      <w:bookmarkEnd w:id="284"/>
      <w:bookmarkEnd w:id="285"/>
      <w:bookmarkEnd w:id="286"/>
      <w:bookmarkEnd w:id="287"/>
      <w:bookmarkEnd w:id="288"/>
      <w:bookmarkEnd w:id="289"/>
      <w:bookmarkEnd w:id="290"/>
    </w:p>
    <w:p w:rsidR="00F4654E" w:rsidRDefault="00F4654E">
      <w:pPr>
        <w:pStyle w:val="2"/>
      </w:pPr>
      <w:bookmarkStart w:id="291" w:name="_Toc10115263"/>
      <w:bookmarkStart w:id="292" w:name="_Toc10731038"/>
      <w:bookmarkStart w:id="293" w:name="_Toc10731699"/>
      <w:bookmarkStart w:id="294" w:name="_Toc10891531"/>
      <w:bookmarkStart w:id="295" w:name="_Toc10892206"/>
      <w:bookmarkStart w:id="296" w:name="_Toc11390066"/>
      <w:bookmarkStart w:id="297" w:name="_Toc11937281"/>
      <w:r>
        <w:t>Абдуллаев М.Г. , Мамедов А.Т.</w:t>
      </w:r>
      <w:bookmarkEnd w:id="291"/>
      <w:bookmarkEnd w:id="292"/>
      <w:bookmarkEnd w:id="293"/>
      <w:bookmarkEnd w:id="294"/>
      <w:bookmarkEnd w:id="295"/>
      <w:bookmarkEnd w:id="296"/>
      <w:bookmarkEnd w:id="297"/>
    </w:p>
    <w:p w:rsidR="00F4654E" w:rsidRDefault="00F4654E">
      <w:pPr>
        <w:pStyle w:val="a5"/>
      </w:pPr>
      <w:r>
        <w:t>Азербайджанский научно-исследовательский ветеринарный институт</w:t>
      </w:r>
    </w:p>
    <w:p w:rsidR="00F4654E" w:rsidRDefault="00F4654E">
      <w:pPr>
        <w:pStyle w:val="a6"/>
      </w:pPr>
      <w:r>
        <w:t>Целью нашей работы было установить в различных климатических зонах Азербайджанской республики этиологические факторы бронхопне</w:t>
      </w:r>
      <w:r>
        <w:t>в</w:t>
      </w:r>
      <w:r>
        <w:t>монии разработать и предложить хозяйствам эффективную схему лечения телят. При сборе анамнеза, клиническом исследовании в некоторых случ</w:t>
      </w:r>
      <w:r>
        <w:t>а</w:t>
      </w:r>
      <w:r>
        <w:t>ях патологоанатомическом вскрытии установлено, что бронхопневмонией болеют телята в 1 – 3-месячном возрасте. Вероятно, это связано с тем, что в этот период они имеют пониженную резистентность к влиянию вредных факторов внешней и внутренней среды. Наибольшая заболеваемость среди телят отмечается ранней весной в марте и в феврале-марте. Это даст осн</w:t>
      </w:r>
      <w:r>
        <w:t>о</w:t>
      </w:r>
      <w:r>
        <w:t>вание судить о сезонности данной болезни.</w:t>
      </w:r>
    </w:p>
    <w:p w:rsidR="00F4654E" w:rsidRDefault="00F4654E">
      <w:pPr>
        <w:pStyle w:val="a6"/>
      </w:pPr>
      <w:r>
        <w:t>В результате анализа условий содержания, кормления и эпизоотич</w:t>
      </w:r>
      <w:r>
        <w:t>е</w:t>
      </w:r>
      <w:r>
        <w:t>ского состояния хозяйств были выявлены причины бронхопневмонии. У бол</w:t>
      </w:r>
      <w:r>
        <w:t>ь</w:t>
      </w:r>
      <w:r>
        <w:t>ных телят определяли повышение температуры тела до 41,0-</w:t>
      </w:r>
      <w:r>
        <w:br/>
        <w:t xml:space="preserve">41,5 </w:t>
      </w:r>
      <w:r>
        <w:sym w:font="Symbol" w:char="F0B0"/>
      </w:r>
      <w:r>
        <w:t>С, учащение пульса до 110-130 ударов в минуту, дыхания – до 80 раз в минуту. Наряду с этим цианотичность видимых слизистых оболочек, смешанную одышку, слизистые выделения из носовых отверстий, вла</w:t>
      </w:r>
      <w:r>
        <w:t>ж</w:t>
      </w:r>
      <w:r>
        <w:t>ный кашель. При аускультации легких установлены хрипы, ослабленное везикулярное дыхание. При перкуссии обнаруживали очаги притупления в особенности в области верхушечных и около сердечных долей легкого. При лабораторном исследовании крови установлен лейкоцитоз со сдвигом ядра нейтрофилов «влево» до юных, увеличение скорости оседания эри</w:t>
      </w:r>
      <w:r>
        <w:t>т</w:t>
      </w:r>
      <w:r>
        <w:t>роцитов, уменьшение содержания гемоглобина и эритроцитов в сыворотке крови, общего белка, понижение щелочного резерва крови. Специфич</w:t>
      </w:r>
      <w:r>
        <w:t>е</w:t>
      </w:r>
      <w:r>
        <w:t xml:space="preserve">скую инфекцию и инвазию исключали в республиканской ветеринарной </w:t>
      </w:r>
      <w:r>
        <w:lastRenderedPageBreak/>
        <w:t>лаборатории. После устранения некоторых этиологических факторов б</w:t>
      </w:r>
      <w:r>
        <w:t>о</w:t>
      </w:r>
      <w:r>
        <w:t>лезни было апробир</w:t>
      </w:r>
      <w:r>
        <w:t>о</w:t>
      </w:r>
      <w:r>
        <w:t>вано несколько схем лечения.</w:t>
      </w:r>
    </w:p>
    <w:p w:rsidR="00F4654E" w:rsidRDefault="00F4654E">
      <w:pPr>
        <w:pStyle w:val="a6"/>
      </w:pPr>
      <w:r>
        <w:t>В опыте было по 20 телят черно-пестрой и симментальской пород в возрасте от 1 до 3 месяцев, подобранных в 3 группы по методу парных аналогов. Первую группу телят лечили пенициллином и стрептомицином в дозе 5-8 тыс. ЕД/кг массы животного 3 раза в день. Внутрь задавали но</w:t>
      </w:r>
      <w:r>
        <w:t>р</w:t>
      </w:r>
      <w:r>
        <w:t>сульфазол в дозе 0,03 г/кг массы животного дважды в день. Второй группе телят вводили внутримышечно гентамицин в дозе 5 тыс. ЕД/кг</w:t>
      </w:r>
      <w:r>
        <w:rPr>
          <w:b/>
        </w:rPr>
        <w:t xml:space="preserve"> </w:t>
      </w:r>
      <w:r>
        <w:t>массы ж</w:t>
      </w:r>
      <w:r>
        <w:t>и</w:t>
      </w:r>
      <w:r>
        <w:t>вотного. Внутривенно 20 мл 10% раствора норсульфазола один раз в день и проводили блокаду звездчатого узла 0,5 % раствором новокаина, из ра</w:t>
      </w:r>
      <w:r>
        <w:t>с</w:t>
      </w:r>
      <w:r>
        <w:t>чета 0,5 мл/кг массы тела с повторением на 3-й, а при необходимости на 6-й день. Третьей группе телят вводили внутримышечно окситетрациклина гидрохлорид по 7 тыс. ЕД/кг 2 раза в день, 20 мл цитрированной крови р</w:t>
      </w:r>
      <w:r>
        <w:t>е</w:t>
      </w:r>
      <w:r>
        <w:t>конвалесцентов через день, внутрь – норсульфазол в дозе 0,03 г/кг. Всем подопытным телятам наряду с вышеперечисленным лечением назначали си</w:t>
      </w:r>
      <w:r>
        <w:t>м</w:t>
      </w:r>
      <w:r>
        <w:t>птоматические средства.</w:t>
      </w:r>
    </w:p>
    <w:p w:rsidR="00F4654E" w:rsidRDefault="00F4654E">
      <w:pPr>
        <w:pStyle w:val="a6"/>
      </w:pPr>
      <w:r>
        <w:t>Установили, что в первой группе в течение 3-5 дней лечения состо</w:t>
      </w:r>
      <w:r>
        <w:t>я</w:t>
      </w:r>
      <w:r>
        <w:t>ние животных заметно не изменилось. На 9-10 сутки они становились бо</w:t>
      </w:r>
      <w:r>
        <w:t>д</w:t>
      </w:r>
      <w:r>
        <w:t>рее, хорошо принимали корм, уменьшились носовые истечения, хрипы, дыхание становилось глубже, ровнее. Клинически 14 телят выздоровели, 5 выну</w:t>
      </w:r>
      <w:r>
        <w:t>ж</w:t>
      </w:r>
      <w:r>
        <w:t>денно были убиты, а 1 теленок 2-месячного возраста пал.</w:t>
      </w:r>
    </w:p>
    <w:p w:rsidR="00A11B7B" w:rsidRDefault="00F4654E" w:rsidP="00A11B7B">
      <w:pPr>
        <w:pStyle w:val="a6"/>
      </w:pPr>
      <w:r w:rsidRPr="00A11B7B">
        <w:t>В процессе лечения общее количество эритроцитов, лейкоцитов, с</w:t>
      </w:r>
      <w:r w:rsidRPr="00A11B7B">
        <w:t>о</w:t>
      </w:r>
      <w:r w:rsidRPr="00A11B7B">
        <w:t xml:space="preserve">держание гемоглобина увеличилось. Незначительно уменьшился процент палочкоядерных нейтрофилов. Общий белок сыворотки и щелочной резерв крови длительно оставался низким, средние показатели достигли границ нормы к концу 2-ой недели. </w:t>
      </w:r>
    </w:p>
    <w:p w:rsidR="00A11B7B" w:rsidRDefault="00F4654E" w:rsidP="00A11B7B">
      <w:pPr>
        <w:pStyle w:val="a6"/>
      </w:pPr>
      <w:r w:rsidRPr="00A11B7B">
        <w:t>У телят 2</w:t>
      </w:r>
      <w:r w:rsidR="00A11B7B" w:rsidRPr="00A11B7B">
        <w:t>-ой</w:t>
      </w:r>
      <w:r w:rsidRPr="00A11B7B">
        <w:t xml:space="preserve"> группы к концу 2-х суток темп</w:t>
      </w:r>
      <w:r w:rsidRPr="00A11B7B">
        <w:t>е</w:t>
      </w:r>
      <w:r w:rsidRPr="00A11B7B">
        <w:t>ратура тела снизилась до нормы, уменьшились частота пульса и дыхания. На 4-е сутки прекратились носовые истечения, одышка, хрипы, кашель становились редкими, дых</w:t>
      </w:r>
      <w:r w:rsidRPr="00A11B7B">
        <w:t>а</w:t>
      </w:r>
      <w:r w:rsidRPr="00A11B7B">
        <w:t>ние, ровным. На 5-6 сутки видимые клинические признаки болезни исче</w:t>
      </w:r>
      <w:r w:rsidRPr="00A11B7B">
        <w:t>з</w:t>
      </w:r>
      <w:r w:rsidRPr="00A11B7B">
        <w:t>ли. Морфологические и биохимические показатели крови достигли физи</w:t>
      </w:r>
      <w:r w:rsidRPr="00A11B7B">
        <w:t>о</w:t>
      </w:r>
      <w:r w:rsidRPr="00A11B7B">
        <w:t>логической нормы к 7-му дню лечения, что указывало на затухание восп</w:t>
      </w:r>
      <w:r w:rsidRPr="00A11B7B">
        <w:t>а</w:t>
      </w:r>
      <w:r w:rsidRPr="00A11B7B">
        <w:t xml:space="preserve">лительного процесса. </w:t>
      </w:r>
    </w:p>
    <w:p w:rsidR="00F4654E" w:rsidRPr="00A11B7B" w:rsidRDefault="00F4654E" w:rsidP="00A11B7B">
      <w:pPr>
        <w:pStyle w:val="a6"/>
      </w:pPr>
      <w:r w:rsidRPr="00A11B7B">
        <w:t>В 3</w:t>
      </w:r>
      <w:r w:rsidR="00A11B7B" w:rsidRPr="00A11B7B">
        <w:t xml:space="preserve">-ей </w:t>
      </w:r>
      <w:r w:rsidRPr="00A11B7B">
        <w:t xml:space="preserve"> группе телят эффективность лечения была выше, чем в первой, но ниже чем во второй группе. Через 5-7 дней ослабевали признаки бро</w:t>
      </w:r>
      <w:r w:rsidRPr="00A11B7B">
        <w:t>н</w:t>
      </w:r>
      <w:r w:rsidRPr="00A11B7B">
        <w:t>хопневмонии. Клинич</w:t>
      </w:r>
      <w:r w:rsidRPr="00A11B7B">
        <w:t>е</w:t>
      </w:r>
      <w:r w:rsidRPr="00A11B7B">
        <w:t>ские признаки болезни исчезли к 10-му дню. Три теленка были вынужденно забиты.  Количество гемогл</w:t>
      </w:r>
      <w:r w:rsidRPr="00A11B7B">
        <w:t>о</w:t>
      </w:r>
      <w:r w:rsidRPr="00A11B7B">
        <w:t>бина, эритроцитов, лейкоцитов, в крови повысились. Общий белок сыворотки крови и щело</w:t>
      </w:r>
      <w:r w:rsidRPr="00A11B7B">
        <w:t>ч</w:t>
      </w:r>
      <w:r w:rsidRPr="00A11B7B">
        <w:t>ной резерв крови до</w:t>
      </w:r>
      <w:r w:rsidRPr="00A11B7B">
        <w:t>с</w:t>
      </w:r>
      <w:r w:rsidRPr="00A11B7B">
        <w:t>тигли границ физиологической нормы к 10-му дню. Экономический эффект, полученный в результате лечения телят был во второй подопытной группе выше на 28 % , чем в пе</w:t>
      </w:r>
      <w:r w:rsidRPr="00A11B7B">
        <w:t>р</w:t>
      </w:r>
      <w:r w:rsidRPr="00A11B7B">
        <w:t>вой и на 12 % – чем в третьей группе.</w:t>
      </w:r>
    </w:p>
    <w:p w:rsidR="00F4654E" w:rsidRDefault="00F4654E">
      <w:pPr>
        <w:pStyle w:val="a6"/>
      </w:pPr>
      <w:r>
        <w:lastRenderedPageBreak/>
        <w:t>Таким образом, для лечения телят с острым течением бронхопневм</w:t>
      </w:r>
      <w:r>
        <w:t>о</w:t>
      </w:r>
      <w:r>
        <w:t>нии в условиях Азербайджана экономически эффективными оказались н</w:t>
      </w:r>
      <w:r>
        <w:t>о</w:t>
      </w:r>
      <w:r>
        <w:t>вокаиновая блокада звездчатого узла в сочетании с гентамицином и но</w:t>
      </w:r>
      <w:r>
        <w:t>р</w:t>
      </w:r>
      <w:r>
        <w:t>сульфазолом, по сравнению с другими способами введения лекарственных средств.</w:t>
      </w:r>
    </w:p>
    <w:p w:rsidR="00F4654E" w:rsidRDefault="00F4654E">
      <w:pPr>
        <w:pStyle w:val="a4"/>
      </w:pPr>
      <w:r>
        <w:t>УДК 636.4083.37</w:t>
      </w:r>
    </w:p>
    <w:p w:rsidR="00F4654E" w:rsidRDefault="00F4654E">
      <w:pPr>
        <w:pStyle w:val="1"/>
      </w:pPr>
      <w:r>
        <w:t xml:space="preserve"> </w:t>
      </w:r>
      <w:bookmarkStart w:id="298" w:name="_Toc10115264"/>
      <w:bookmarkStart w:id="299" w:name="_Toc10731039"/>
      <w:bookmarkStart w:id="300" w:name="_Toc10731700"/>
      <w:bookmarkStart w:id="301" w:name="_Toc10891532"/>
      <w:bookmarkStart w:id="302" w:name="_Toc10892207"/>
      <w:bookmarkStart w:id="303" w:name="_Toc11390067"/>
      <w:bookmarkStart w:id="304" w:name="_Toc11839746"/>
      <w:bookmarkStart w:id="305" w:name="_Toc11937282"/>
      <w:r>
        <w:t>ИЗМЕНЕНИЕ ДИНАМИКИ ОБЩЕГО САХАРА КРОВИ СВИНОМАТОК ПРИ ЭКСПЕРИМЕНТАЛЬНОМ ГЕПАТОЗЕ И ПОСЛЕ ПРИМЕНЕНИЯ БИОПРЕПАРАТОВ</w:t>
      </w:r>
      <w:bookmarkEnd w:id="298"/>
      <w:bookmarkEnd w:id="299"/>
      <w:bookmarkEnd w:id="300"/>
      <w:bookmarkEnd w:id="301"/>
      <w:bookmarkEnd w:id="302"/>
      <w:bookmarkEnd w:id="303"/>
      <w:bookmarkEnd w:id="304"/>
      <w:bookmarkEnd w:id="305"/>
    </w:p>
    <w:p w:rsidR="00F4654E" w:rsidRDefault="00F4654E">
      <w:pPr>
        <w:pStyle w:val="2"/>
      </w:pPr>
      <w:bookmarkStart w:id="306" w:name="_Toc10115265"/>
      <w:bookmarkStart w:id="307" w:name="_Toc10731040"/>
      <w:bookmarkStart w:id="308" w:name="_Toc10731701"/>
      <w:bookmarkStart w:id="309" w:name="_Toc10891533"/>
      <w:bookmarkStart w:id="310" w:name="_Toc10892208"/>
      <w:bookmarkStart w:id="311" w:name="_Toc11390068"/>
      <w:bookmarkStart w:id="312" w:name="_Toc11937283"/>
      <w:r>
        <w:t>Абидуева Е.Ю., Тарнуев Ю.А.,  Дембэрэлийн Нармандах*</w:t>
      </w:r>
      <w:bookmarkEnd w:id="306"/>
      <w:bookmarkEnd w:id="307"/>
      <w:bookmarkEnd w:id="308"/>
      <w:bookmarkEnd w:id="309"/>
      <w:bookmarkEnd w:id="310"/>
      <w:bookmarkEnd w:id="311"/>
      <w:bookmarkEnd w:id="312"/>
    </w:p>
    <w:p w:rsidR="00F4654E" w:rsidRDefault="00F4654E">
      <w:pPr>
        <w:pStyle w:val="a5"/>
      </w:pPr>
      <w:r>
        <w:t>Бурятская государственная сельскохозяйственная академия им. В.Р. Филиппова</w:t>
      </w:r>
      <w:r>
        <w:br/>
        <w:t xml:space="preserve"> *Монгольский государственный сельскохозяйственный университет</w:t>
      </w:r>
    </w:p>
    <w:p w:rsidR="00F4654E" w:rsidRDefault="00F4654E">
      <w:pPr>
        <w:pStyle w:val="a6"/>
      </w:pPr>
      <w:r>
        <w:t>Свиноводство – важная отрасль животноводства, оно развито почти во всех странах мира. Поголовье свиней на земном шаре составляет около 740 млн. в мясном балансе на долю свинины приходится около 37-40% всего производства мяса. Такие биологические особенности свиней, как высокое многоплодие, скороспелость, оплата корма. Убойный выход, выход мяса в туше и другие, ставят их практически вне конкуренции с другими видами животных, разводимыми человеком для получения мяса.</w:t>
      </w:r>
    </w:p>
    <w:p w:rsidR="00F4654E" w:rsidRDefault="00F4654E">
      <w:pPr>
        <w:pStyle w:val="a6"/>
      </w:pPr>
      <w:r>
        <w:t>Одной из наиболее актуальных проблем промышленного свиноводс</w:t>
      </w:r>
      <w:r>
        <w:t>т</w:t>
      </w:r>
      <w:r>
        <w:t>ва является разработка мер борьбы с болезнями молодняка, значительное место среди которых занимают заболевания печени. Печень играет це</w:t>
      </w:r>
      <w:r>
        <w:t>н</w:t>
      </w:r>
      <w:r>
        <w:t>тральную роль в многочисленных реакциях промежуточного обмена угл</w:t>
      </w:r>
      <w:r>
        <w:t>е</w:t>
      </w:r>
      <w:r>
        <w:t>водов. Среди них особенно важны превращения галактозы, фруктозы в глюкозу, синтез и распад гликогена, глюкогенез, окисление глюкозы, обр</w:t>
      </w:r>
      <w:r>
        <w:t>а</w:t>
      </w:r>
      <w:r>
        <w:t>зование глюкуроновой кислоты и т.д. В связи с этим, нарушения функци</w:t>
      </w:r>
      <w:r>
        <w:t>о</w:t>
      </w:r>
      <w:r>
        <w:t>нальной активности печени отражаются на изменения со стороны углево</w:t>
      </w:r>
      <w:r>
        <w:t>д</w:t>
      </w:r>
      <w:r>
        <w:t>ного обмена. Поэтому изучение динамики общего сахара в плазме крови при гепатозе и его частной профилактики считали необходимым при ант</w:t>
      </w:r>
      <w:r>
        <w:t>е</w:t>
      </w:r>
      <w:r>
        <w:t>натальной о</w:t>
      </w:r>
      <w:r>
        <w:t>х</w:t>
      </w:r>
      <w:r>
        <w:t>ране плода свиней от токсической дистрофии печени (ТДП).</w:t>
      </w:r>
    </w:p>
    <w:p w:rsidR="00F4654E" w:rsidRDefault="00F4654E">
      <w:pPr>
        <w:pStyle w:val="a6"/>
      </w:pPr>
      <w:r>
        <w:t>Эксперименты проведены на свиноферме «Толгойт» Монголии и по</w:t>
      </w:r>
      <w:r>
        <w:t>д</w:t>
      </w:r>
      <w:r>
        <w:t>собного хозяйства Республиканского Клинического госпиталя участников войн (Бурятия). Для выполнения вышеуказанной задачи мы отобрали 15 голов свиноматок, сформированных по принципу аналогов с учетом во</w:t>
      </w:r>
      <w:r>
        <w:t>з</w:t>
      </w:r>
      <w:r>
        <w:t>раста, живой массы. Их разделили на 5 групп. Первая группа была ко</w:t>
      </w:r>
      <w:r>
        <w:t>н</w:t>
      </w:r>
      <w:r>
        <w:t>трольной. Свиньи второй группы получали витаминные препараты (В</w:t>
      </w:r>
      <w:r>
        <w:rPr>
          <w:vertAlign w:val="subscript"/>
        </w:rPr>
        <w:t>6</w:t>
      </w:r>
      <w:r>
        <w:t>, В</w:t>
      </w:r>
      <w:r>
        <w:rPr>
          <w:vertAlign w:val="subscript"/>
        </w:rPr>
        <w:t>12</w:t>
      </w:r>
      <w:r>
        <w:t xml:space="preserve"> и тривит), третьей – биостимуляторы (глутаминовая кислота, алоэ и имм</w:t>
      </w:r>
      <w:r>
        <w:t>у</w:t>
      </w:r>
      <w:r>
        <w:t>ноглобулины) и комбинированные дозы этих препаратов. Свиньям четве</w:t>
      </w:r>
      <w:r>
        <w:t>р</w:t>
      </w:r>
      <w:r>
        <w:t>той группы вводили 2 мл и пятой – 4 мл четыреххлористый углерод (ССl</w:t>
      </w:r>
      <w:r>
        <w:rPr>
          <w:vertAlign w:val="subscript"/>
        </w:rPr>
        <w:t>4</w:t>
      </w:r>
      <w:r>
        <w:t>) при трехкратном введении в брюшную полость в комбинации с тривитом в соотношении 1:2.</w:t>
      </w:r>
    </w:p>
    <w:p w:rsidR="00F4654E" w:rsidRDefault="00F4654E">
      <w:pPr>
        <w:pStyle w:val="a6"/>
      </w:pPr>
      <w:r>
        <w:lastRenderedPageBreak/>
        <w:t>Опыт поставлен на 14, 28, 56, 84 и 112 сутки супоросности. Кровь с добавлением гепарина брали из орбитального синуса утром до кормления и за 24 часа после введения препарата. Плазму для биохимических анал</w:t>
      </w:r>
      <w:r>
        <w:t>и</w:t>
      </w:r>
      <w:r>
        <w:t>зов получали путем центрифугирования в течение 15 минут при 3000 об/мин. Содержание общего сахара определяли по Био-Ла-Тесту. С пом</w:t>
      </w:r>
      <w:r>
        <w:t>о</w:t>
      </w:r>
      <w:r>
        <w:t>щью ЭВМ по программе SC5 мы определяли среднюю статистическую достоверность (P), используя критерий Стьюдента.</w:t>
      </w:r>
    </w:p>
    <w:p w:rsidR="00F4654E" w:rsidRDefault="00F4654E">
      <w:pPr>
        <w:pStyle w:val="a6"/>
      </w:pPr>
      <w:r>
        <w:t>Согласно данным биохимического анализа выявлено, что общий сахар в плазме крови у свиноматок первой (контрольной) группы в течение и</w:t>
      </w:r>
      <w:r>
        <w:t>с</w:t>
      </w:r>
      <w:r>
        <w:t>следования колеблется от 5,0</w:t>
      </w:r>
      <w:r>
        <w:sym w:font="Symbol" w:char="F0B1"/>
      </w:r>
      <w:r>
        <w:t>0,16 до 5,4</w:t>
      </w:r>
      <w:r>
        <w:sym w:font="Symbol" w:char="F0B1"/>
      </w:r>
      <w:r>
        <w:t>0,08 ммоль/л. После обработки животных витаминными препаратами общий сахар находится в пределах 5,5</w:t>
      </w:r>
      <w:r>
        <w:sym w:font="Symbol" w:char="F0B1"/>
      </w:r>
      <w:r>
        <w:t>0,12 – 5,9</w:t>
      </w:r>
      <w:r>
        <w:sym w:font="Symbol" w:char="F0B1"/>
      </w:r>
      <w:r>
        <w:t>0,07 ммоль/л.  После обработки животных биостимулятор</w:t>
      </w:r>
      <w:r>
        <w:t>а</w:t>
      </w:r>
      <w:r>
        <w:t>ми общий сахар варьирует 5,4</w:t>
      </w:r>
      <w:r>
        <w:sym w:font="Symbol" w:char="F0B1"/>
      </w:r>
      <w:r>
        <w:t>0,06 – 5,8</w:t>
      </w:r>
      <w:r>
        <w:sym w:font="Symbol" w:char="F0B1"/>
      </w:r>
      <w:r>
        <w:t>0,10 ммоль/л. После обработки животных комбинированными препаратами (витамины и биостимуляторы) общий сахар имеет величину 5,40-6,10 ммоль/л, значительно больше и</w:t>
      </w:r>
      <w:r>
        <w:t>с</w:t>
      </w:r>
      <w:r>
        <w:t>ходных.</w:t>
      </w:r>
    </w:p>
    <w:p w:rsidR="00F4654E" w:rsidRDefault="00F4654E">
      <w:pPr>
        <w:pStyle w:val="a6"/>
      </w:pPr>
      <w:r>
        <w:t>После введения животным по 2 мл CCl</w:t>
      </w:r>
      <w:r>
        <w:rPr>
          <w:vertAlign w:val="subscript"/>
        </w:rPr>
        <w:t>4</w:t>
      </w:r>
      <w:r>
        <w:rPr>
          <w:vertAlign w:val="subscript"/>
        </w:rPr>
        <w:softHyphen/>
      </w:r>
      <w:r>
        <w:t xml:space="preserve"> содержание общего сахара варьирует 1,70-3,10 ммоль/л, значительно ниже исходной. После трехкра</w:t>
      </w:r>
      <w:r>
        <w:t>т</w:t>
      </w:r>
      <w:r>
        <w:t>ного введения по 2 и 4 мл CCl</w:t>
      </w:r>
      <w:r>
        <w:rPr>
          <w:vertAlign w:val="subscript"/>
        </w:rPr>
        <w:t>4</w:t>
      </w:r>
      <w:r>
        <w:t xml:space="preserve"> в четвертой и пятой группах наблюдались аборты у свиноматок.</w:t>
      </w:r>
    </w:p>
    <w:p w:rsidR="00F4654E" w:rsidRDefault="00F4654E">
      <w:pPr>
        <w:pStyle w:val="a6"/>
      </w:pPr>
      <w:r>
        <w:t>Содержание общего сахара в плазме крови у свиноматок первой (ко</w:t>
      </w:r>
      <w:r>
        <w:t>н</w:t>
      </w:r>
      <w:r>
        <w:t>трольной) группы с 28 до 112 суток антенатального онтогенеза умеренно падает до минимального уровня, что выдвигает две основные гипотезы. Согласно первой – понижение общего сахара вероятно связано с ростом плода, когда согласно второй – связанно с функциональной активностью печени, в частности, повреждение митохондрий, которое ведет к пониж</w:t>
      </w:r>
      <w:r>
        <w:t>е</w:t>
      </w:r>
      <w:r>
        <w:t>нию окислительного фосфолирования, приводящего к требованию расхода энергии и усилению анаэробного гликолиза, вследствие чего в клетках н</w:t>
      </w:r>
      <w:r>
        <w:t>а</w:t>
      </w:r>
      <w:r>
        <w:t>капливаются кислые метаболиты, вызывающие снижение значения РН. Следствием этого является разрушение лизосомальных мембран и выход в цитоплазму кислых гидролаз, вызывающих некроз гепатоцитов.</w:t>
      </w:r>
    </w:p>
    <w:p w:rsidR="00F4654E" w:rsidRDefault="00F4654E">
      <w:pPr>
        <w:pStyle w:val="a6"/>
      </w:pPr>
      <w:r>
        <w:t>После отдельной обработки животных витаминными препаратами и биостимуляторами содержание общего сахара имеет тенденцию к норм</w:t>
      </w:r>
      <w:r>
        <w:t>а</w:t>
      </w:r>
      <w:r>
        <w:t>лизации. А после комбинированной обработки животных препаратами это содержание находится в крайне вероятной величине.</w:t>
      </w:r>
    </w:p>
    <w:p w:rsidR="00F4654E" w:rsidRDefault="00F4654E">
      <w:pPr>
        <w:pStyle w:val="a6"/>
      </w:pPr>
      <w:r>
        <w:t>Патологическое отклонение содержания общего сахара в плазме кр</w:t>
      </w:r>
      <w:r>
        <w:t>о</w:t>
      </w:r>
      <w:r>
        <w:t>ви у свиноматок в 4 и 5 группах объясняется тем, что поражение печени ксенобиотиками приводит к расстройству структуры и функций гепатоц</w:t>
      </w:r>
      <w:r>
        <w:t>и</w:t>
      </w:r>
      <w:r>
        <w:t>тарных митохондрий, что сопровождается снижением содержания макр</w:t>
      </w:r>
      <w:r>
        <w:t>о</w:t>
      </w:r>
      <w:r>
        <w:t>эргических соединений, изменением проницаемости мембраны гепатоц</w:t>
      </w:r>
      <w:r>
        <w:t>и</w:t>
      </w:r>
      <w:r>
        <w:t>тов и нарушением электронного баланса. Вследствие этого гипоксия кле</w:t>
      </w:r>
      <w:r>
        <w:t>т</w:t>
      </w:r>
      <w:r>
        <w:t>ки приводит к усилению анаэробного пути распада глюкозы.</w:t>
      </w:r>
    </w:p>
    <w:p w:rsidR="00F4654E" w:rsidRDefault="00F4654E">
      <w:pPr>
        <w:pStyle w:val="a6"/>
      </w:pPr>
      <w:r>
        <w:lastRenderedPageBreak/>
        <w:t>По мере увеличения используемых доз CCl</w:t>
      </w:r>
      <w:r>
        <w:rPr>
          <w:vertAlign w:val="subscript"/>
        </w:rPr>
        <w:t>4</w:t>
      </w:r>
      <w:r>
        <w:t xml:space="preserve"> степень нарушения угл</w:t>
      </w:r>
      <w:r>
        <w:t>е</w:t>
      </w:r>
      <w:r>
        <w:t>водного обмена нарастает.</w:t>
      </w:r>
    </w:p>
    <w:p w:rsidR="00F4654E" w:rsidRDefault="00F4654E">
      <w:pPr>
        <w:pStyle w:val="a4"/>
      </w:pPr>
      <w:r>
        <w:t>УДК 619.616.992.28</w:t>
      </w:r>
    </w:p>
    <w:p w:rsidR="00F4654E" w:rsidRDefault="00F4654E">
      <w:pPr>
        <w:pStyle w:val="1"/>
      </w:pPr>
      <w:bookmarkStart w:id="313" w:name="_Toc10115266"/>
      <w:bookmarkStart w:id="314" w:name="_Toc10731041"/>
      <w:bookmarkStart w:id="315" w:name="_Toc10731702"/>
      <w:bookmarkStart w:id="316" w:name="_Toc10891534"/>
      <w:bookmarkStart w:id="317" w:name="_Toc10892209"/>
      <w:bookmarkStart w:id="318" w:name="_Toc11390069"/>
      <w:bookmarkStart w:id="319" w:name="_Toc11839748"/>
      <w:bookmarkStart w:id="320" w:name="_Toc11937284"/>
      <w:r>
        <w:t>АНАЛИЗ ГЕМАТОЛОГИЧЕСКИХ, БИОХИМИЧЕСКИХ И ИММУНОЛОГИЧЕСКИХ ПОКАЗАТЕЛЕЙ ПРИ СИСТЕМНЫХ МИКОЗАХ</w:t>
      </w:r>
      <w:bookmarkEnd w:id="313"/>
      <w:bookmarkEnd w:id="314"/>
      <w:bookmarkEnd w:id="315"/>
      <w:bookmarkEnd w:id="316"/>
      <w:bookmarkEnd w:id="317"/>
      <w:bookmarkEnd w:id="318"/>
      <w:bookmarkEnd w:id="319"/>
      <w:bookmarkEnd w:id="320"/>
    </w:p>
    <w:p w:rsidR="00F4654E" w:rsidRDefault="00F4654E">
      <w:pPr>
        <w:pStyle w:val="2"/>
      </w:pPr>
      <w:bookmarkStart w:id="321" w:name="_Toc10115267"/>
      <w:bookmarkStart w:id="322" w:name="_Toc10731042"/>
      <w:bookmarkStart w:id="323" w:name="_Toc10731703"/>
      <w:bookmarkStart w:id="324" w:name="_Toc10891535"/>
      <w:bookmarkStart w:id="325" w:name="_Toc10892210"/>
      <w:bookmarkStart w:id="326" w:name="_Toc11390070"/>
      <w:bookmarkStart w:id="327" w:name="_Toc11937285"/>
      <w:r>
        <w:t>Агольцов В. А.</w:t>
      </w:r>
      <w:bookmarkEnd w:id="321"/>
      <w:bookmarkEnd w:id="322"/>
      <w:bookmarkEnd w:id="323"/>
      <w:bookmarkEnd w:id="324"/>
      <w:bookmarkEnd w:id="325"/>
      <w:bookmarkEnd w:id="326"/>
      <w:bookmarkEnd w:id="327"/>
    </w:p>
    <w:p w:rsidR="00F4654E" w:rsidRDefault="00F4654E">
      <w:pPr>
        <w:pStyle w:val="a5"/>
      </w:pPr>
      <w:r>
        <w:t>Саратовская научно-исследовательская ветеринарная станция</w:t>
      </w:r>
    </w:p>
    <w:p w:rsidR="00F4654E" w:rsidRDefault="00F4654E">
      <w:pPr>
        <w:pStyle w:val="a6"/>
      </w:pPr>
      <w:r>
        <w:t>Для заражения кроликов использовали споры грибов: C. albicans, A.fumigatus  и M. racemosus в дозах, вызывающих 100% гибель в сроки от 6 до 10 суток. Способ заражения возбудителями аспергиллеза, мукороза – внут-ривенный и аэрогенный; возбудителем кандидоза – только внутр</w:t>
      </w:r>
      <w:r>
        <w:t>и</w:t>
      </w:r>
      <w:r>
        <w:t>венный.</w:t>
      </w:r>
    </w:p>
    <w:p w:rsidR="00F4654E" w:rsidRDefault="00F4654E">
      <w:pPr>
        <w:pStyle w:val="a6"/>
        <w:rPr>
          <w:spacing w:val="-2"/>
        </w:rPr>
      </w:pPr>
      <w:r>
        <w:rPr>
          <w:spacing w:val="-2"/>
        </w:rPr>
        <w:t>После внутривенного заражения, независимо от вида возбудителя, о</w:t>
      </w:r>
      <w:r>
        <w:rPr>
          <w:spacing w:val="-2"/>
        </w:rPr>
        <w:t>т</w:t>
      </w:r>
      <w:r>
        <w:rPr>
          <w:spacing w:val="-2"/>
        </w:rPr>
        <w:t>мечался лейкоцитоз с увеличением количества лейкоцитов от 5,84±0,27</w:t>
      </w:r>
      <w:r>
        <w:rPr>
          <w:spacing w:val="-2"/>
        </w:rPr>
        <w:sym w:font="Symbol" w:char="F0B4"/>
      </w:r>
      <w:r>
        <w:rPr>
          <w:spacing w:val="-2"/>
        </w:rPr>
        <w:t xml:space="preserve"> 10</w:t>
      </w:r>
      <w:r>
        <w:rPr>
          <w:spacing w:val="-2"/>
          <w:vertAlign w:val="superscript"/>
        </w:rPr>
        <w:t>9</w:t>
      </w:r>
      <w:r>
        <w:rPr>
          <w:spacing w:val="-2"/>
        </w:rPr>
        <w:t>/л до 8,9±1,12</w:t>
      </w:r>
      <w:r>
        <w:rPr>
          <w:spacing w:val="-2"/>
        </w:rPr>
        <w:sym w:font="Symbol" w:char="F0B4"/>
      </w:r>
      <w:r>
        <w:rPr>
          <w:spacing w:val="-2"/>
        </w:rPr>
        <w:t>10</w:t>
      </w:r>
      <w:r>
        <w:rPr>
          <w:spacing w:val="-2"/>
          <w:vertAlign w:val="superscript"/>
        </w:rPr>
        <w:t>9</w:t>
      </w:r>
      <w:r>
        <w:rPr>
          <w:spacing w:val="-2"/>
        </w:rPr>
        <w:t>/л при аспергиллезе, от 5,64±0,55</w:t>
      </w:r>
      <w:r>
        <w:rPr>
          <w:spacing w:val="-2"/>
        </w:rPr>
        <w:sym w:font="Symbol" w:char="F0B4"/>
      </w:r>
      <w:r>
        <w:rPr>
          <w:spacing w:val="-2"/>
        </w:rPr>
        <w:t>10</w:t>
      </w:r>
      <w:r>
        <w:rPr>
          <w:spacing w:val="-2"/>
          <w:vertAlign w:val="superscript"/>
        </w:rPr>
        <w:t>9</w:t>
      </w:r>
      <w:r>
        <w:rPr>
          <w:spacing w:val="-2"/>
        </w:rPr>
        <w:t xml:space="preserve">/л до 10,00±1,46 </w:t>
      </w:r>
      <w:r>
        <w:rPr>
          <w:spacing w:val="-2"/>
        </w:rPr>
        <w:sym w:font="Symbol" w:char="F0B4"/>
      </w:r>
      <w:r>
        <w:rPr>
          <w:spacing w:val="-2"/>
        </w:rPr>
        <w:t>10</w:t>
      </w:r>
      <w:r>
        <w:rPr>
          <w:spacing w:val="-2"/>
          <w:vertAlign w:val="superscript"/>
        </w:rPr>
        <w:t>9</w:t>
      </w:r>
      <w:r>
        <w:rPr>
          <w:spacing w:val="-2"/>
        </w:rPr>
        <w:t>/л при мукорозе и от 5,38±0,46</w:t>
      </w:r>
      <w:r>
        <w:rPr>
          <w:spacing w:val="-2"/>
        </w:rPr>
        <w:sym w:font="Symbol" w:char="F0B4"/>
      </w:r>
      <w:r>
        <w:rPr>
          <w:spacing w:val="-2"/>
        </w:rPr>
        <w:t>10</w:t>
      </w:r>
      <w:r>
        <w:rPr>
          <w:spacing w:val="-2"/>
          <w:vertAlign w:val="superscript"/>
        </w:rPr>
        <w:t>9</w:t>
      </w:r>
      <w:r>
        <w:rPr>
          <w:spacing w:val="-2"/>
        </w:rPr>
        <w:t>/л до 7,06±0,74</w:t>
      </w:r>
      <w:r>
        <w:rPr>
          <w:spacing w:val="-2"/>
        </w:rPr>
        <w:sym w:font="Symbol" w:char="F0B4"/>
      </w:r>
      <w:r>
        <w:rPr>
          <w:spacing w:val="-2"/>
        </w:rPr>
        <w:t>10</w:t>
      </w:r>
      <w:r>
        <w:rPr>
          <w:spacing w:val="-2"/>
          <w:vertAlign w:val="superscript"/>
        </w:rPr>
        <w:t>9</w:t>
      </w:r>
      <w:r>
        <w:rPr>
          <w:spacing w:val="-2"/>
        </w:rPr>
        <w:t>/л при кандид</w:t>
      </w:r>
      <w:r>
        <w:rPr>
          <w:spacing w:val="-2"/>
        </w:rPr>
        <w:t>о</w:t>
      </w:r>
      <w:r>
        <w:rPr>
          <w:spacing w:val="-2"/>
        </w:rPr>
        <w:t>зе.</w:t>
      </w:r>
    </w:p>
    <w:p w:rsidR="00F4654E" w:rsidRDefault="00F4654E">
      <w:pPr>
        <w:pStyle w:val="a6"/>
      </w:pPr>
      <w:r>
        <w:t>При аэрогенном заражении наблюдалась лейкопения с уменьшением количества лейкоцитов от 5,96±0,45</w:t>
      </w:r>
      <w:r>
        <w:sym w:font="Symbol" w:char="F0B4"/>
      </w:r>
      <w:r>
        <w:t>10</w:t>
      </w:r>
      <w:r>
        <w:rPr>
          <w:vertAlign w:val="superscript"/>
        </w:rPr>
        <w:t>9</w:t>
      </w:r>
      <w:r>
        <w:t>/л до 3,26±0,29</w:t>
      </w:r>
      <w:r>
        <w:sym w:font="Symbol" w:char="F0B4"/>
      </w:r>
      <w:r>
        <w:t>10</w:t>
      </w:r>
      <w:r>
        <w:rPr>
          <w:vertAlign w:val="superscript"/>
        </w:rPr>
        <w:t>9</w:t>
      </w:r>
      <w:r>
        <w:t>/л при аспе</w:t>
      </w:r>
      <w:r>
        <w:t>р</w:t>
      </w:r>
      <w:r>
        <w:t>гиллезе и от 5,96±0,45</w:t>
      </w:r>
      <w:r>
        <w:sym w:font="Symbol" w:char="F0B4"/>
      </w:r>
      <w:r>
        <w:t>10</w:t>
      </w:r>
      <w:r>
        <w:rPr>
          <w:vertAlign w:val="superscript"/>
        </w:rPr>
        <w:t>9</w:t>
      </w:r>
      <w:r>
        <w:t>/л до 4,64±0,35</w:t>
      </w:r>
      <w:r>
        <w:sym w:font="Symbol" w:char="F0B4"/>
      </w:r>
      <w:r>
        <w:t>10</w:t>
      </w:r>
      <w:r>
        <w:rPr>
          <w:vertAlign w:val="superscript"/>
        </w:rPr>
        <w:t>9</w:t>
      </w:r>
      <w:r>
        <w:t xml:space="preserve">/л при мукорозе. </w:t>
      </w:r>
    </w:p>
    <w:p w:rsidR="00F4654E" w:rsidRDefault="00F4654E">
      <w:pPr>
        <w:pStyle w:val="a6"/>
      </w:pPr>
      <w:r>
        <w:t>Количество эритроцитов после внутривенного заражения мукором, аспергиллами и кандидой существенно не менялось (от 5,66±0,37</w:t>
      </w:r>
      <w:r>
        <w:sym w:font="Symbol" w:char="F0B4"/>
      </w:r>
      <w:r>
        <w:t>10</w:t>
      </w:r>
      <w:r>
        <w:rPr>
          <w:vertAlign w:val="superscript"/>
        </w:rPr>
        <w:t>12</w:t>
      </w:r>
      <w:r>
        <w:t>/л до 5,88±0,29</w:t>
      </w:r>
      <w:r>
        <w:sym w:font="Symbol" w:char="F0B4"/>
      </w:r>
      <w:r>
        <w:t>10</w:t>
      </w:r>
      <w:r>
        <w:rPr>
          <w:vertAlign w:val="superscript"/>
        </w:rPr>
        <w:t>12</w:t>
      </w:r>
      <w:r>
        <w:t>/л и от 5,10±0,21</w:t>
      </w:r>
      <w:r>
        <w:sym w:font="Symbol" w:char="F0B4"/>
      </w:r>
      <w:r>
        <w:t>10</w:t>
      </w:r>
      <w:r>
        <w:rPr>
          <w:vertAlign w:val="superscript"/>
        </w:rPr>
        <w:t>12</w:t>
      </w:r>
      <w:r>
        <w:t>/л до 5,14±0,40</w:t>
      </w:r>
      <w:r>
        <w:sym w:font="Symbol" w:char="F0B4"/>
      </w:r>
      <w:r>
        <w:t>10</w:t>
      </w:r>
      <w:r>
        <w:rPr>
          <w:vertAlign w:val="superscript"/>
        </w:rPr>
        <w:t>12</w:t>
      </w:r>
      <w:r>
        <w:t>/л) соответственно, оставаясь в пределах физиологической нормы для данного вида животных. При аэрогенном заражении аспергиллами количество эритроцитов умен</w:t>
      </w:r>
      <w:r>
        <w:t>ь</w:t>
      </w:r>
      <w:r>
        <w:t>шилось с 5,48±0,36</w:t>
      </w:r>
      <w:r>
        <w:sym w:font="Symbol" w:char="F0B4"/>
      </w:r>
      <w:r>
        <w:t>10</w:t>
      </w:r>
      <w:r>
        <w:rPr>
          <w:vertAlign w:val="superscript"/>
        </w:rPr>
        <w:t>12</w:t>
      </w:r>
      <w:r>
        <w:t>/л до 4,06±0,11</w:t>
      </w:r>
      <w:r>
        <w:sym w:font="Symbol" w:char="F0B4"/>
      </w:r>
      <w:r>
        <w:t>10</w:t>
      </w:r>
      <w:r>
        <w:rPr>
          <w:vertAlign w:val="superscript"/>
        </w:rPr>
        <w:t>12</w:t>
      </w:r>
      <w:r>
        <w:t>/л, но также осталось в пред</w:t>
      </w:r>
      <w:r>
        <w:t>е</w:t>
      </w:r>
      <w:r>
        <w:t>лах нормы.</w:t>
      </w:r>
    </w:p>
    <w:p w:rsidR="00F4654E" w:rsidRDefault="00F4654E">
      <w:pPr>
        <w:pStyle w:val="a6"/>
      </w:pPr>
      <w:r>
        <w:t>Количество гемоглобина при различных способах заражения возбуд</w:t>
      </w:r>
      <w:r>
        <w:t>и</w:t>
      </w:r>
      <w:r>
        <w:t>телями аспергиллеза, мукороза и кандидоза уменьшилось. Так, при вну</w:t>
      </w:r>
      <w:r>
        <w:t>т</w:t>
      </w:r>
      <w:r>
        <w:t>ривенном заражении кроликов спорами мукора оно снизилось с 15,3±1,2 г/л до 11,54±0,67 г/л, аспергиллами – с 15,14±0,69 г/л до 11,68±1,30 г/л, кандидой – с 15,16±0,67 г/л до 11,14±0,76 г/л. При аэрогенном заражении аспергиллами количество гемоглобина снизилось с 14,74±0,93 г/л  до 10,46±0,66 г/л, мукором с 14,40±0,78 г/л до 10,46±0,68 г/л.  Цветовой пок</w:t>
      </w:r>
      <w:r>
        <w:t>а</w:t>
      </w:r>
      <w:r>
        <w:t>затель также снизился при внутривенном заражении кандидой с 0,17±01 до 0,11±0,01, при внутривенном заражении мукором с 0,20±0,02 до 0,17±0,04. При аэрогенном заражении снижение цветового показателя было выраж</w:t>
      </w:r>
      <w:r>
        <w:t>е</w:t>
      </w:r>
      <w:r>
        <w:t>но и при аспергиллезе, и при мукорозе (от 0,16±0,1 до 0,11±0,01 и от 0,18± 0,08 до 0,11±0,01 соответственно).</w:t>
      </w:r>
    </w:p>
    <w:p w:rsidR="00F4654E" w:rsidRDefault="00F4654E">
      <w:pPr>
        <w:pStyle w:val="a6"/>
      </w:pPr>
      <w:r>
        <w:t xml:space="preserve">В лейкоцитарной формуле отмечался сдвиг влево и моноцитоз до 18% при внутривенном заражении кандидой, до 8% - аспергиллами и до 10% - </w:t>
      </w:r>
      <w:r>
        <w:lastRenderedPageBreak/>
        <w:t>мукором. При ингаляционном заражении также наблюдался моноцитоз (до 17%), лимфоцитоз до 80% от общего числа лейкоцитов. Следует отметить низкое количество сегментоядерных нейтрофилов во всех случаях, кроме внутривенного заражения аспергиллами, когда количество сегментояде</w:t>
      </w:r>
      <w:r>
        <w:t>р</w:t>
      </w:r>
      <w:r>
        <w:t>ных нейтрофилов возросло на 10-20%, достигнув 42,2± 2,32% (исходное значение 35,6±2,76%) при норме 39%. Интересно, что количество лимф</w:t>
      </w:r>
      <w:r>
        <w:t>о</w:t>
      </w:r>
      <w:r>
        <w:t>цитов при внутривенном заражении аспергиллами осталось в норме (в пределах 42-58%). После заражения количество общих Т-лимфоцитов ув</w:t>
      </w:r>
      <w:r>
        <w:t>е</w:t>
      </w:r>
      <w:r>
        <w:t>личилось, достигнув при аэрогенном заражении мукором 71,2±3,2% (до заражения 53,2±2,04%), при внутривенном 70,8±3,78% (до заражения 53,4±3,64%). Количество активных Т-лимфоцитов также увеличилось при внутривенном заражении мукором (от 34,8±3,86% до 55,8±4,91%). Отм</w:t>
      </w:r>
      <w:r>
        <w:t>е</w:t>
      </w:r>
      <w:r>
        <w:t>чалось увеличение числа Т-хелперов и уменьшение Т-цитоток-сических клеток при всех вариантах заражения различными видами грибов. Соо</w:t>
      </w:r>
      <w:r>
        <w:t>т</w:t>
      </w:r>
      <w:r>
        <w:t>ношение Тx/Ts существенно изменялось при разных способах заражения. К примеру, при внутривенном заражении кроликов кандидой оно увелич</w:t>
      </w:r>
      <w:r>
        <w:t>и</w:t>
      </w:r>
      <w:r>
        <w:t>валось от 3,0±0,57 до 9,3±4,2, мукором от 5,0±1,1 до 12,0±1,2. При аэр</w:t>
      </w:r>
      <w:r>
        <w:t>о</w:t>
      </w:r>
      <w:r>
        <w:t>генном заражении мукором количество Тх возросло с 44,3±2,86% до 62,5±1,9%. Количество В-лимфоцитов после внутривенного заражения н</w:t>
      </w:r>
      <w:r>
        <w:t>а</w:t>
      </w:r>
      <w:r>
        <w:t>растало в опытных группах от 3,3±0,8% до 9,8±0,24% при мукорозе, от 10,2±2,23% до 14,6±1,94% при аспергиллезе, практически не изменяясь при кандидозе. При аэрогенном заражении количество В-лимфоцитов с</w:t>
      </w:r>
      <w:r>
        <w:t>у</w:t>
      </w:r>
      <w:r>
        <w:t>щественно не изменялось.</w:t>
      </w:r>
    </w:p>
    <w:p w:rsidR="00F4654E" w:rsidRDefault="00F4654E">
      <w:pPr>
        <w:pStyle w:val="a6"/>
      </w:pPr>
      <w:r>
        <w:t>Во всех опытных группах в сыворотке крови животных увеличивалось количество циркулирующих иммунных комплексов от 1,25±0,4 у.е. до 15,3±0,92 у.е., при внутривенном заражении возбудителем аспергиллеза и до 15,0±0,98 у.е. при внутривенном заражении возбудителем мукороза. При заражении грибами аэрогенно отмечалась сходная картина. Количес</w:t>
      </w:r>
      <w:r>
        <w:t>т</w:t>
      </w:r>
      <w:r>
        <w:t>во общего белка при мукорозе уменьшилось (к примеру, с 63,63±2,21 г/л до 29,1±1,72 г/л), не изменяясь при аспергиллезе. При мукорозе наблюд</w:t>
      </w:r>
      <w:r>
        <w:t>а</w:t>
      </w:r>
      <w:r>
        <w:t>лась диспротеинемия с изменением соотношения альбуминов и глобул</w:t>
      </w:r>
      <w:r>
        <w:t>и</w:t>
      </w:r>
      <w:r>
        <w:t>нов, например, содержание альбуминов снизилось с 67% до 28%, глобул</w:t>
      </w:r>
      <w:r>
        <w:t>и</w:t>
      </w:r>
      <w:r>
        <w:t xml:space="preserve">нов – повысилось с 33% до 72%. При аспергиллезе отмечено изменение в соотношении </w:t>
      </w:r>
      <w:r>
        <w:sym w:font="Symbol" w:char="F061"/>
      </w:r>
      <w:r>
        <w:t xml:space="preserve">-, </w:t>
      </w:r>
      <w:r>
        <w:sym w:font="Symbol" w:char="F062"/>
      </w:r>
      <w:r>
        <w:t xml:space="preserve">- и </w:t>
      </w:r>
      <w:r>
        <w:sym w:font="Symbol" w:char="F067"/>
      </w:r>
      <w:r>
        <w:t>-фракций глобулинов. Наблюдалось нарастание к</w:t>
      </w:r>
      <w:r>
        <w:t>о</w:t>
      </w:r>
      <w:r>
        <w:t xml:space="preserve">личества </w:t>
      </w:r>
      <w:r>
        <w:sym w:font="Symbol" w:char="F061"/>
      </w:r>
      <w:r>
        <w:t xml:space="preserve">- и </w:t>
      </w:r>
      <w:r>
        <w:sym w:font="Symbol" w:char="F062"/>
      </w:r>
      <w:r>
        <w:t>-глобулинов (например, с 8% до 14% и с 4% до 10% соо</w:t>
      </w:r>
      <w:r>
        <w:t>т</w:t>
      </w:r>
      <w:r>
        <w:t xml:space="preserve">ветственно) и уменьшение </w:t>
      </w:r>
      <w:r>
        <w:sym w:font="Symbol" w:char="F067"/>
      </w:r>
      <w:r>
        <w:t>-глобулинов (с 21% до 11%).</w:t>
      </w:r>
    </w:p>
    <w:p w:rsidR="00F4654E" w:rsidRDefault="00F4654E">
      <w:pPr>
        <w:pStyle w:val="a6"/>
      </w:pPr>
      <w:r>
        <w:t>Таким образом, результаты проведенных исследований свидетельс</w:t>
      </w:r>
      <w:r>
        <w:t>т</w:t>
      </w:r>
      <w:r>
        <w:t>вуют о том, что клинические признаки заболеваний микозами сопрово</w:t>
      </w:r>
      <w:r>
        <w:t>ж</w:t>
      </w:r>
      <w:r>
        <w:t>даются изменениями гематологических, иммунологических и биохимич</w:t>
      </w:r>
      <w:r>
        <w:t>е</w:t>
      </w:r>
      <w:r>
        <w:t>ских показателей в зависимости от вида возбудителя и способа заражения. Проведенные исследования позволяют сделать вывод, что при всех путях заражения характерны снижение количества гемоглобина и цветового п</w:t>
      </w:r>
      <w:r>
        <w:t>о</w:t>
      </w:r>
      <w:r>
        <w:lastRenderedPageBreak/>
        <w:t>казателя, моноцитоз, увеличение количества общих и активных лимфоц</w:t>
      </w:r>
      <w:r>
        <w:t>и</w:t>
      </w:r>
      <w:r>
        <w:t>тов, циркулирующих иммунных комплексов, диспротеинемия.</w:t>
      </w:r>
    </w:p>
    <w:p w:rsidR="00F4654E" w:rsidRDefault="00F4654E">
      <w:pPr>
        <w:pStyle w:val="a4"/>
      </w:pPr>
      <w:r>
        <w:t>УДК 619.616.999.28</w:t>
      </w:r>
    </w:p>
    <w:p w:rsidR="00F4654E" w:rsidRDefault="00F4654E">
      <w:pPr>
        <w:pStyle w:val="1"/>
      </w:pPr>
      <w:bookmarkStart w:id="328" w:name="_Toc10115268"/>
      <w:bookmarkStart w:id="329" w:name="_Toc10731043"/>
      <w:bookmarkStart w:id="330" w:name="_Toc10731704"/>
      <w:bookmarkStart w:id="331" w:name="_Toc10891536"/>
      <w:bookmarkStart w:id="332" w:name="_Toc10892211"/>
      <w:bookmarkStart w:id="333" w:name="_Toc11390071"/>
      <w:bookmarkStart w:id="334" w:name="_Toc11839750"/>
      <w:bookmarkStart w:id="335" w:name="_Toc11937286"/>
      <w:r>
        <w:t xml:space="preserve">ЯВЛЕНИЕ ФАГОЦИТОЗА IN VITRO У ГРИБОВ: </w:t>
      </w:r>
      <w:r>
        <w:br/>
        <w:t>ASPERGILLIUS, MUCOR, CANDIDA</w:t>
      </w:r>
      <w:bookmarkEnd w:id="328"/>
      <w:bookmarkEnd w:id="329"/>
      <w:bookmarkEnd w:id="330"/>
      <w:bookmarkEnd w:id="331"/>
      <w:bookmarkEnd w:id="332"/>
      <w:bookmarkEnd w:id="333"/>
      <w:bookmarkEnd w:id="334"/>
      <w:bookmarkEnd w:id="335"/>
      <w:r>
        <w:t xml:space="preserve">  </w:t>
      </w:r>
    </w:p>
    <w:p w:rsidR="00F4654E" w:rsidRDefault="00F4654E">
      <w:pPr>
        <w:pStyle w:val="2"/>
      </w:pPr>
      <w:bookmarkStart w:id="336" w:name="_Toc10115269"/>
      <w:bookmarkStart w:id="337" w:name="_Toc10731044"/>
      <w:bookmarkStart w:id="338" w:name="_Toc10731705"/>
      <w:bookmarkStart w:id="339" w:name="_Toc10891537"/>
      <w:bookmarkStart w:id="340" w:name="_Toc10892212"/>
      <w:bookmarkStart w:id="341" w:name="_Toc11390072"/>
      <w:bookmarkStart w:id="342" w:name="_Toc11937287"/>
      <w:r>
        <w:t>Агольцов В.А.</w:t>
      </w:r>
      <w:bookmarkEnd w:id="336"/>
      <w:bookmarkEnd w:id="337"/>
      <w:bookmarkEnd w:id="338"/>
      <w:bookmarkEnd w:id="339"/>
      <w:bookmarkEnd w:id="340"/>
      <w:bookmarkEnd w:id="341"/>
      <w:bookmarkEnd w:id="342"/>
    </w:p>
    <w:p w:rsidR="00F4654E" w:rsidRDefault="00F4654E">
      <w:pPr>
        <w:pStyle w:val="a5"/>
      </w:pPr>
      <w:r>
        <w:t>Саратовская научно-исследовательская ветеринарная станция</w:t>
      </w:r>
    </w:p>
    <w:p w:rsidR="00F4654E" w:rsidRDefault="00F4654E">
      <w:pPr>
        <w:pStyle w:val="a6"/>
      </w:pPr>
      <w:r>
        <w:t>Известно, что в фагоцитозе микроорганизмов участвуют две группы фагоцитов: первая – это нейтрофильные полинуклеары, вторая – моноциты крови. Процесс фагоцитирования проходит в пять этапов. Наиболее сло</w:t>
      </w:r>
      <w:r>
        <w:t>ж</w:t>
      </w:r>
      <w:r>
        <w:t>ный этап для фагоцитов - третий, включающий в себя поглощение микр</w:t>
      </w:r>
      <w:r>
        <w:t>о</w:t>
      </w:r>
      <w:r>
        <w:t>бов и других объектов. При фагоцитировании крупных микроорганизмов (например, сибиреязвенного микроба) происходит их постепенное захв</w:t>
      </w:r>
      <w:r>
        <w:t>а</w:t>
      </w:r>
      <w:r>
        <w:t>тывание. Мицелий плесневых и псевдомицелий дрожжевидных грибов имеет на порядок больший размер даже по сравнению с бациллой Anthrax’а. Поэтому, изучение процесса фагоцитоза грибов представляет определенный интерес.</w:t>
      </w:r>
    </w:p>
    <w:p w:rsidR="00F4654E" w:rsidRDefault="00F4654E">
      <w:pPr>
        <w:pStyle w:val="a6"/>
      </w:pPr>
      <w:r>
        <w:t>Исследования проводили по общепринятой методике с использован</w:t>
      </w:r>
      <w:r>
        <w:t>и</w:t>
      </w:r>
      <w:r>
        <w:t>ем культуры возбудителей висцеральных микозов (A.fumigatus, M.race-mosus, C.albicans) в концентрации 1∙10</w:t>
      </w:r>
      <w:r>
        <w:rPr>
          <w:vertAlign w:val="superscript"/>
        </w:rPr>
        <w:t>9</w:t>
      </w:r>
      <w:r>
        <w:t xml:space="preserve"> м.к. без учета мицелия (псевдо-мицелия). Мазки крови исследовали через разные промежутки времени (2, 5, 10, 20, 30 и 60 мин.)</w:t>
      </w:r>
    </w:p>
    <w:p w:rsidR="00F4654E" w:rsidRDefault="00F4654E">
      <w:pPr>
        <w:pStyle w:val="a6"/>
      </w:pPr>
      <w:r>
        <w:t>Проведенные эксперименты показали, что фагоцитоз наступает уже с первых минут внесения культур грибов в пробирки с гепаринизированной кровью интактных кроликов. Отдельные нейтрофилы содержали в цит</w:t>
      </w:r>
      <w:r>
        <w:t>о</w:t>
      </w:r>
      <w:r>
        <w:t>плазме от 1 до 2 спор. В некоторых полях зрения отмечались небольшие скопления тромбоцитов, среди которых обнаруживались единичные споры грибов. На поверхности грибных нитей выявляли и тромбоциты. Через 10 – 20 минут инкубирования мицелий аспергилл, мукора и псевдомицелий кандиды сплошь был  облеплен тромбоцитами и нейтрофилами. Количес</w:t>
      </w:r>
      <w:r>
        <w:t>т</w:t>
      </w:r>
      <w:r>
        <w:t>во спор в фагоцитировавших нейтрофилах достигало 8 – 10 клеток. Отм</w:t>
      </w:r>
      <w:r>
        <w:t>е</w:t>
      </w:r>
      <w:r>
        <w:t>чено участие в фагоцитозе моноцитов  и эозинофилов. К этому времени начинают обнаруживаться единичные лимфоциты с прилипшими к ним спорами. Количество нейтрофилов, прикрепившихся к мицелию, знач</w:t>
      </w:r>
      <w:r>
        <w:t>и</w:t>
      </w:r>
      <w:r>
        <w:t>тельно возрастает. Через 30 минут тромбоциты облепляют гифы, а не</w:t>
      </w:r>
      <w:r>
        <w:t>й</w:t>
      </w:r>
      <w:r>
        <w:t>трофилы плотно фиксируются к мицелию. Некоторые конидии абсорб</w:t>
      </w:r>
      <w:r>
        <w:t>и</w:t>
      </w:r>
      <w:r>
        <w:t>руются нейтрофилами, тромбоцитами и, несколько реже, эозинофилами. Отмечаются и разрушенные клетки белой крови. К окончанию срока н</w:t>
      </w:r>
      <w:r>
        <w:t>а</w:t>
      </w:r>
      <w:r>
        <w:t>блюдений в мазках уже не отмечали свободных от абсорбированных эл</w:t>
      </w:r>
      <w:r>
        <w:t>е</w:t>
      </w:r>
      <w:r>
        <w:t>ментов грибов клеток крови. Однако, количество разрушенных нейтроф</w:t>
      </w:r>
      <w:r>
        <w:t>и</w:t>
      </w:r>
      <w:r>
        <w:t xml:space="preserve">лов резко увеличивалось. Некоторые лимфоциты содержали в центре и на </w:t>
      </w:r>
      <w:r>
        <w:lastRenderedPageBreak/>
        <w:t>поверхности ядра споры и частицы мицелия. Ядра отдельных лимфоцитов как бы заглатывали споры, т.к. в его вдавлении  находилась клетка гриба. Участки мицелия, облепленные лимфоцитами, были втянуты к центру ядра лейкоцитов и подвергнуты лимфоидной и ги</w:t>
      </w:r>
      <w:r>
        <w:t>с</w:t>
      </w:r>
      <w:r>
        <w:t>тиоцитарной инфильтрации.</w:t>
      </w:r>
    </w:p>
    <w:p w:rsidR="00F4654E" w:rsidRDefault="00F4654E">
      <w:pPr>
        <w:pStyle w:val="a6"/>
      </w:pPr>
      <w:r>
        <w:t>Таким образом, фагоцитоз при глубоких микозах (аспергиллезе, м</w:t>
      </w:r>
      <w:r>
        <w:t>у</w:t>
      </w:r>
      <w:r>
        <w:t>корозе, кандидозе) играет определенную роль в борьбе макроорганизма с инвазивным действием возбудителей данных болезней.</w:t>
      </w:r>
    </w:p>
    <w:p w:rsidR="00F4654E" w:rsidRDefault="00F4654E">
      <w:pPr>
        <w:pStyle w:val="a4"/>
      </w:pPr>
      <w:r>
        <w:t>УДК 919:616.594.171-097.3</w:t>
      </w:r>
    </w:p>
    <w:p w:rsidR="00F4654E" w:rsidRDefault="00F4654E">
      <w:pPr>
        <w:pStyle w:val="1"/>
      </w:pPr>
      <w:bookmarkStart w:id="343" w:name="_Toc10115270"/>
      <w:bookmarkStart w:id="344" w:name="_Toc10731045"/>
      <w:bookmarkStart w:id="345" w:name="_Toc10731706"/>
      <w:bookmarkStart w:id="346" w:name="_Toc10891538"/>
      <w:bookmarkStart w:id="347" w:name="_Toc10892213"/>
      <w:bookmarkStart w:id="348" w:name="_Toc11390073"/>
      <w:bookmarkStart w:id="349" w:name="_Toc11839752"/>
      <w:bookmarkStart w:id="350" w:name="_Toc11937288"/>
      <w:r>
        <w:t>Иммунодефицит и его коррекция при трихофитии телят</w:t>
      </w:r>
      <w:bookmarkEnd w:id="343"/>
      <w:bookmarkEnd w:id="344"/>
      <w:bookmarkEnd w:id="345"/>
      <w:bookmarkEnd w:id="346"/>
      <w:bookmarkEnd w:id="347"/>
      <w:bookmarkEnd w:id="348"/>
      <w:bookmarkEnd w:id="349"/>
      <w:bookmarkEnd w:id="350"/>
    </w:p>
    <w:p w:rsidR="00F4654E" w:rsidRDefault="00F4654E">
      <w:pPr>
        <w:pStyle w:val="2"/>
      </w:pPr>
      <w:bookmarkStart w:id="351" w:name="_Toc10115271"/>
      <w:bookmarkStart w:id="352" w:name="_Toc10731046"/>
      <w:bookmarkStart w:id="353" w:name="_Toc10731707"/>
      <w:bookmarkStart w:id="354" w:name="_Toc10891539"/>
      <w:bookmarkStart w:id="355" w:name="_Toc10892214"/>
      <w:bookmarkStart w:id="356" w:name="_Toc11390074"/>
      <w:bookmarkStart w:id="357" w:name="_Toc11937289"/>
      <w:r>
        <w:t>Алешкевич  В.Н., Прудников В.С.,  Жавненко В.М.,</w:t>
      </w:r>
      <w:r>
        <w:br/>
        <w:t>Лабусова Н.И., Красочко П.А.</w:t>
      </w:r>
      <w:bookmarkEnd w:id="351"/>
      <w:bookmarkEnd w:id="352"/>
      <w:bookmarkEnd w:id="353"/>
      <w:bookmarkEnd w:id="354"/>
      <w:bookmarkEnd w:id="355"/>
      <w:bookmarkEnd w:id="356"/>
      <w:bookmarkEnd w:id="357"/>
    </w:p>
    <w:p w:rsidR="00F4654E" w:rsidRDefault="00F4654E">
      <w:pPr>
        <w:pStyle w:val="a5"/>
      </w:pPr>
      <w:r>
        <w:t>Витебская государственная академия ветеринарной медицины</w:t>
      </w:r>
      <w:r>
        <w:br/>
        <w:t>Белорусский НИИ экспериментальной ветеринарии им. С.Н. Вышелесского</w:t>
      </w:r>
    </w:p>
    <w:p w:rsidR="00F4654E" w:rsidRDefault="00F4654E">
      <w:pPr>
        <w:pStyle w:val="a6"/>
      </w:pPr>
      <w:r>
        <w:t>В течение последних лет в Республике Беларусь наблюдаются уч</w:t>
      </w:r>
      <w:r>
        <w:t>а</w:t>
      </w:r>
      <w:r>
        <w:t>стившиеся случаи заболевания крупного рогатого скота трихофитией. Ра</w:t>
      </w:r>
      <w:r>
        <w:t>с</w:t>
      </w:r>
      <w:r>
        <w:t>пространение данного заболевания наносит ощутимый экономический ущерб за счет снижения прироста средней массы, снижения качества к</w:t>
      </w:r>
      <w:r>
        <w:t>о</w:t>
      </w:r>
      <w:r>
        <w:t xml:space="preserve">жевенного сырья и увеличения затрат на проведение лечебно-оздорови-тельных мероприятий. </w:t>
      </w:r>
    </w:p>
    <w:p w:rsidR="00F4654E" w:rsidRDefault="00F4654E">
      <w:pPr>
        <w:pStyle w:val="a6"/>
        <w:rPr>
          <w:spacing w:val="-4"/>
        </w:rPr>
      </w:pPr>
      <w:r>
        <w:rPr>
          <w:spacing w:val="-4"/>
        </w:rPr>
        <w:t>В комплексе  мер борьбы с трихофитией животных в республике важное место принадлежит специфической профилактике, проводимой в животн</w:t>
      </w:r>
      <w:r>
        <w:rPr>
          <w:spacing w:val="-4"/>
        </w:rPr>
        <w:t>о</w:t>
      </w:r>
      <w:r>
        <w:rPr>
          <w:spacing w:val="-4"/>
        </w:rPr>
        <w:t>водческих хозяйствах с помощью живых вакцин  ТФ-130, ТФ-130 (К)  в</w:t>
      </w:r>
      <w:r>
        <w:rPr>
          <w:spacing w:val="-4"/>
        </w:rPr>
        <w:t>ы</w:t>
      </w:r>
      <w:r>
        <w:rPr>
          <w:spacing w:val="-4"/>
        </w:rPr>
        <w:t>пуска Витебской биофабрики, ЛТФ-130 - Ставропольской биофабрики. О</w:t>
      </w:r>
      <w:r>
        <w:rPr>
          <w:spacing w:val="-4"/>
        </w:rPr>
        <w:t>д</w:t>
      </w:r>
      <w:r>
        <w:rPr>
          <w:spacing w:val="-4"/>
        </w:rPr>
        <w:t>нако, иммунизация молодняка крупного рогатого скота не всегда дает пол</w:t>
      </w:r>
      <w:r>
        <w:rPr>
          <w:spacing w:val="-4"/>
        </w:rPr>
        <w:t>о</w:t>
      </w:r>
      <w:r>
        <w:rPr>
          <w:spacing w:val="-4"/>
        </w:rPr>
        <w:t>жительный эффект, особенно при применении жидкой живой вакцины (ТФ-130). Предыдущими исследованиями установлено, что в настоящее время дерматофитозы встречаются в виде энзоотий во всех типах животноводч</w:t>
      </w:r>
      <w:r>
        <w:rPr>
          <w:spacing w:val="-4"/>
        </w:rPr>
        <w:t>е</w:t>
      </w:r>
      <w:r>
        <w:rPr>
          <w:spacing w:val="-4"/>
        </w:rPr>
        <w:t>ских хозяйств: молочно-товарных фермах, животноводческих комплексах по откорму скота и др. У больных животных регистрируется две формы клин</w:t>
      </w:r>
      <w:r>
        <w:rPr>
          <w:spacing w:val="-4"/>
        </w:rPr>
        <w:t>и</w:t>
      </w:r>
      <w:r>
        <w:rPr>
          <w:spacing w:val="-4"/>
        </w:rPr>
        <w:t>ческого проявления болезни: диссеминированная и пятнистая. Наибольшее распространение имеет пятнистая форма трихофитии – 82 % . Наибольший процент выявления больных животных трихофитией приходится на зимне-весенний период, особенно февраль-апрель месяцы преимущественно  у т</w:t>
      </w:r>
      <w:r>
        <w:rPr>
          <w:spacing w:val="-4"/>
        </w:rPr>
        <w:t>е</w:t>
      </w:r>
      <w:r>
        <w:rPr>
          <w:spacing w:val="-4"/>
        </w:rPr>
        <w:t>лят в возрасте 2-7 месяцев, реже у взрослых живо</w:t>
      </w:r>
      <w:r>
        <w:rPr>
          <w:spacing w:val="-4"/>
        </w:rPr>
        <w:t>т</w:t>
      </w:r>
      <w:r>
        <w:rPr>
          <w:spacing w:val="-4"/>
        </w:rPr>
        <w:t>ных.</w:t>
      </w:r>
    </w:p>
    <w:p w:rsidR="00F4654E" w:rsidRDefault="00F4654E">
      <w:pPr>
        <w:pStyle w:val="a6"/>
      </w:pPr>
      <w:r>
        <w:t>Известно, что вспышкам инфекционных заболеваний в условиях с</w:t>
      </w:r>
      <w:r>
        <w:t>о</w:t>
      </w:r>
      <w:r>
        <w:t>временной промышленной технологии способствует сниженная иммун</w:t>
      </w:r>
      <w:r>
        <w:t>о</w:t>
      </w:r>
      <w:r>
        <w:t>логическая реактивность организма животных, из-за несовершенства и</w:t>
      </w:r>
      <w:r>
        <w:t>м</w:t>
      </w:r>
      <w:r>
        <w:t>мунной системы молодняка, некачественного кормления, нарушений г</w:t>
      </w:r>
      <w:r>
        <w:t>и</w:t>
      </w:r>
      <w:r>
        <w:t>гиенических параметров содержания животных и др. Ослабленная имму</w:t>
      </w:r>
      <w:r>
        <w:t>н</w:t>
      </w:r>
      <w:r>
        <w:t>ная система под влиянием вышеуказанных факторов не в состоянии пр</w:t>
      </w:r>
      <w:r>
        <w:t>о</w:t>
      </w:r>
      <w:r>
        <w:t xml:space="preserve">тивостоять  вирусам, бактериям и грибам даже невысокой патогенности. В </w:t>
      </w:r>
      <w:r>
        <w:lastRenderedPageBreak/>
        <w:t>этой связи  при проведении лечебно-профилактических мероприятий при многих заболеваниях рекомендуется применять стимуляторы иммунной системы, снижающие иммунодепрессивное состояние и нормализующие клеточный и гуморальный иммунитет до уровня здоровых животных.</w:t>
      </w:r>
    </w:p>
    <w:p w:rsidR="00F4654E" w:rsidRDefault="00F4654E">
      <w:pPr>
        <w:pStyle w:val="a6"/>
      </w:pPr>
      <w:r>
        <w:t>В мировой литературе накопилось немало данных, свидетельству</w:t>
      </w:r>
      <w:r>
        <w:t>ю</w:t>
      </w:r>
      <w:r>
        <w:t>щих об иммунодепрессивном действии патогенных грибов, однако вопр</w:t>
      </w:r>
      <w:r>
        <w:t>о</w:t>
      </w:r>
      <w:r>
        <w:t>сы влияния трихофитонов – возбудителей трихофитии на иммунную реа</w:t>
      </w:r>
      <w:r>
        <w:t>к</w:t>
      </w:r>
      <w:r>
        <w:t xml:space="preserve">тивность животных остаются до конца не выясненными. </w:t>
      </w:r>
    </w:p>
    <w:p w:rsidR="00F4654E" w:rsidRDefault="00F4654E">
      <w:pPr>
        <w:pStyle w:val="a6"/>
      </w:pPr>
      <w:r>
        <w:t>С этой целью нами проведены исследования по изучению состояния иммунитета и обмена веществ у больных трихофитией телят и коррекции данных показателей  «Апистимулином - А».</w:t>
      </w:r>
    </w:p>
    <w:p w:rsidR="00F4654E" w:rsidRDefault="00F4654E">
      <w:pPr>
        <w:pStyle w:val="a6"/>
        <w:rPr>
          <w:spacing w:val="-2"/>
        </w:rPr>
      </w:pPr>
      <w:r>
        <w:rPr>
          <w:spacing w:val="-2"/>
        </w:rPr>
        <w:t>Экспериментальная работа выполнена в условиях кафедры микроби</w:t>
      </w:r>
      <w:r>
        <w:rPr>
          <w:spacing w:val="-2"/>
        </w:rPr>
        <w:t>о</w:t>
      </w:r>
      <w:r>
        <w:rPr>
          <w:spacing w:val="-2"/>
        </w:rPr>
        <w:t>логии и вирусологии Витебской государственной академии ветеринарной медицины и в одном из неблагополучных по трихофитии  хозяйств Вите</w:t>
      </w:r>
      <w:r>
        <w:rPr>
          <w:spacing w:val="-2"/>
        </w:rPr>
        <w:t>б</w:t>
      </w:r>
      <w:r>
        <w:rPr>
          <w:spacing w:val="-2"/>
        </w:rPr>
        <w:t>ской области. На животноводческой ферме были сформированы 3 группы телят, по 6 голов в каждой, в возрасте 2-2,5 месяца,  живой массой 55-65 кг.</w:t>
      </w:r>
    </w:p>
    <w:p w:rsidR="00F4654E" w:rsidRDefault="00F4654E">
      <w:pPr>
        <w:pStyle w:val="a6"/>
      </w:pPr>
      <w:r>
        <w:t>Телят 1-ой опытной группы (клинически здоровые животные) обраб</w:t>
      </w:r>
      <w:r>
        <w:t>а</w:t>
      </w:r>
      <w:r>
        <w:t>тывали препаратом «Апистимулин - А» в дозе 1 мг/ кг живой массы; телят 2-ой группы (больные трихофитией животные) –  также обрабатывали ук</w:t>
      </w:r>
      <w:r>
        <w:t>а</w:t>
      </w:r>
      <w:r>
        <w:t>занным стимулятором в той же дозе. Клинически здоровые животные 3-ей группы служили контролем. Диагноз на трихофитию ставился с учетом клинических данных и микологических исследований. Животных обраб</w:t>
      </w:r>
      <w:r>
        <w:t>а</w:t>
      </w:r>
      <w:r>
        <w:t>тывали препаратом «Апистимулин-А» с интервалом в 3 дня. «Апистим</w:t>
      </w:r>
      <w:r>
        <w:t>у</w:t>
      </w:r>
      <w:r>
        <w:t>лин -А» представляет собой иммуностимулирующий препарат, изгото</w:t>
      </w:r>
      <w:r>
        <w:t>в</w:t>
      </w:r>
      <w:r>
        <w:t>ленный из пчелиной перги, ТУ изготовления и применения которого ра</w:t>
      </w:r>
      <w:r>
        <w:t>з</w:t>
      </w:r>
      <w:r>
        <w:t>работаны и подготовлены в Белорусском НИИ экспериментальной ветер</w:t>
      </w:r>
      <w:r>
        <w:t>и</w:t>
      </w:r>
      <w:r>
        <w:t>нарии им. С.Н. Вышелесского и Комратском государственном университ</w:t>
      </w:r>
      <w:r>
        <w:t>е</w:t>
      </w:r>
      <w:r>
        <w:t>те Республики Молдова. Для исследования от всех подопытных животных была отобрана кровь до обработки иммуностимулятором и через 7,14 и 28 дней после применения препарата. В крови изучали показатели клеточн</w:t>
      </w:r>
      <w:r>
        <w:t>о</w:t>
      </w:r>
      <w:r>
        <w:t xml:space="preserve">го, гуморального иммунитета и обмена веществ. </w:t>
      </w:r>
    </w:p>
    <w:p w:rsidR="00F4654E" w:rsidRDefault="00F4654E">
      <w:pPr>
        <w:pStyle w:val="a6"/>
      </w:pPr>
      <w:r>
        <w:t>Содержание Т-лимфоцитов определяли путем спонтанного розетк</w:t>
      </w:r>
      <w:r>
        <w:t>о</w:t>
      </w:r>
      <w:r>
        <w:t>образования со стабилизированными эритроцитами барана по И.М. Карп</w:t>
      </w:r>
      <w:r>
        <w:t>у</w:t>
      </w:r>
      <w:r>
        <w:t>тю (1993). Содержание В-лимфоцитов выявляли в реакции иммунофлю</w:t>
      </w:r>
      <w:r>
        <w:t>о</w:t>
      </w:r>
      <w:r>
        <w:t>ресценции с меченными антисыворотками по Д.К.Новикову, В.И. Новик</w:t>
      </w:r>
      <w:r>
        <w:t>о</w:t>
      </w:r>
      <w:r>
        <w:t>вой (1979). Фагоцитарную активность нейтрофилов определяли по И.М. Карпутю (1993) с помощью тест-культуры кишечной палочки (E.coli). Ба</w:t>
      </w:r>
      <w:r>
        <w:t>к</w:t>
      </w:r>
      <w:r>
        <w:t>терицидную активность сыворотки крови, содержание в ней лизоцима и бактериальный титр интерферона определяли с помощью нефелометрич</w:t>
      </w:r>
      <w:r>
        <w:t>е</w:t>
      </w:r>
      <w:r>
        <w:t>ского метода по общедоступным методикам с использованием соответс</w:t>
      </w:r>
      <w:r>
        <w:t>т</w:t>
      </w:r>
      <w:r>
        <w:t>вующих тест-культур бактерий. Общий белок сыворотки крови определяли с помощью рефрактометра. Показатели белкового, углеводного и липидн</w:t>
      </w:r>
      <w:r>
        <w:t>о</w:t>
      </w:r>
      <w:r>
        <w:t>го обмена: мочевины, мочевой кислоты, креатинина, глюкозы, триглиц</w:t>
      </w:r>
      <w:r>
        <w:t>е</w:t>
      </w:r>
      <w:r>
        <w:lastRenderedPageBreak/>
        <w:t>ридов определяли с помощью биохимического комплекса фотофермент. Цифровой материал подвергали статистической обработке по М.С. Жак</w:t>
      </w:r>
      <w:r>
        <w:t>о</w:t>
      </w:r>
      <w:r>
        <w:t xml:space="preserve">ву, В.М. Жакову (1986). </w:t>
      </w:r>
    </w:p>
    <w:p w:rsidR="00F4654E" w:rsidRDefault="00F4654E">
      <w:pPr>
        <w:pStyle w:val="a6"/>
      </w:pPr>
      <w:r>
        <w:t>В результате исследований установлено, что у больных трихофитией телят развивается вторичный (приобретенный) иммунодефицит гуморал</w:t>
      </w:r>
      <w:r>
        <w:t>ь</w:t>
      </w:r>
      <w:r>
        <w:t>ного звена иммунитета. Так, у здоровых телят титр интерферона в 2,5 раза был больше, а бактерицидная и лизоцимная активность сыворотки крови, соответственно на 12 и 1,25 % выше, чем у больных животных . Обработка больных телят «Апистимулином - А» способствует активизации неспец</w:t>
      </w:r>
      <w:r>
        <w:t>и</w:t>
      </w:r>
      <w:r>
        <w:t>фических факторов гуморального иммунитета до уровня клинически зд</w:t>
      </w:r>
      <w:r>
        <w:t>о</w:t>
      </w:r>
      <w:r>
        <w:t>ровых животных. Так, через 7 дней титр интерферона у больных телят во</w:t>
      </w:r>
      <w:r>
        <w:t>з</w:t>
      </w:r>
      <w:r>
        <w:t>рос с 11,8 до 34,8%, а к четырнадцатому дню – до 39,1% (Р&lt;0,05). Обр</w:t>
      </w:r>
      <w:r>
        <w:t>а</w:t>
      </w:r>
      <w:r>
        <w:t>ботка клинически здоровых телят не привела к значительной стимуляции биосинтеза интерферона – титр его увеличивался к 14-28 дню с 30,2 до 42,1%. У клинически здоровых телят, необработанных апистимулином этот показатель был на уровне 28,9-29,1%. У больных животных также о</w:t>
      </w:r>
      <w:r>
        <w:t>т</w:t>
      </w:r>
      <w:r>
        <w:t>мечалось небольшое увеличение концентрации лизоцима и бактерицидной активности сыворотки крови. В месте с тем, у них выявлялось значител</w:t>
      </w:r>
      <w:r>
        <w:t>ь</w:t>
      </w:r>
      <w:r>
        <w:t>ное угнетение клеточного иммунитета. Так, общее количество лимфоцитов у больных трихофитией телят было меньше, чем у здоровых на 19,8%, число Т-лимфоцитов  снижалось на 8,6%, количество В-лимфоцитов – на 4,3%,  а фагоцитарная активность лейкоцитов – на 7,9%.</w:t>
      </w:r>
    </w:p>
    <w:p w:rsidR="00F4654E" w:rsidRDefault="00F4654E">
      <w:pPr>
        <w:pStyle w:val="a6"/>
      </w:pPr>
      <w:r>
        <w:t>Обработка больных животных препаратом «Апистимулин–А» позв</w:t>
      </w:r>
      <w:r>
        <w:t>о</w:t>
      </w:r>
      <w:r>
        <w:t>ляет стимулировать клеточный иммунитет. Так, к 7 дню количество ли</w:t>
      </w:r>
      <w:r>
        <w:t>м</w:t>
      </w:r>
      <w:r>
        <w:t>фоцитов у  них  возросло с 43,6 до 57,1%, а  к 28 дню – до 70,1% (Р&lt;0,05). У здоровых телят, обработанных препаратом, – соответственно, с 63,4% до 72,2% и 73,8%. Количество Т-лимфоцитов у больных телят повышалась к 28 дню с 20,6% до 34,6% , а В-лимфоцитов – с 12,8 до 26,4%. (Р&lt;0,05). Ф</w:t>
      </w:r>
      <w:r>
        <w:t>а</w:t>
      </w:r>
      <w:r>
        <w:t>гоцитарная активность лейкоцитов  возрастала соответственно к 7 дню с 50,7 до 65,2, а к 14 дню до 68,0 %. У здоровых телят после обработки и</w:t>
      </w:r>
      <w:r>
        <w:t>м</w:t>
      </w:r>
      <w:r>
        <w:t>муностимулирующим препаратом выявлено повышение количества ли</w:t>
      </w:r>
      <w:r>
        <w:t>м</w:t>
      </w:r>
      <w:r>
        <w:t>фоцитов и особе</w:t>
      </w:r>
      <w:r w:rsidR="00251F7C">
        <w:t>нно В-лимфо</w:t>
      </w:r>
      <w:r>
        <w:t>цитов – с 17,1 до 29,1%.</w:t>
      </w:r>
    </w:p>
    <w:p w:rsidR="00F4654E" w:rsidRDefault="00F4654E">
      <w:pPr>
        <w:pStyle w:val="a6"/>
        <w:rPr>
          <w:spacing w:val="-2"/>
        </w:rPr>
      </w:pPr>
      <w:r>
        <w:rPr>
          <w:spacing w:val="-2"/>
        </w:rPr>
        <w:t>Проведенные исследования свидетельствуют так же о нарушении у больных трихофитией телят обмена веществ. Так,  у них уменьшалась ко</w:t>
      </w:r>
      <w:r>
        <w:rPr>
          <w:spacing w:val="-2"/>
        </w:rPr>
        <w:t>н</w:t>
      </w:r>
      <w:r>
        <w:rPr>
          <w:spacing w:val="-2"/>
        </w:rPr>
        <w:t>центрация общего белка на 12,8%,  а  содержание  глюкозы - на 43,5 %. При  этом увеличивалось количество мочевины и мочевой кислоты, соответс</w:t>
      </w:r>
      <w:r>
        <w:rPr>
          <w:spacing w:val="-2"/>
        </w:rPr>
        <w:t>т</w:t>
      </w:r>
      <w:r>
        <w:rPr>
          <w:spacing w:val="-2"/>
        </w:rPr>
        <w:t>венно - на 41% и 40%,  креатинина - на 89,2%  и триглицеридов -  на 48,8%.</w:t>
      </w:r>
    </w:p>
    <w:p w:rsidR="00F4654E" w:rsidRDefault="00F4654E">
      <w:pPr>
        <w:pStyle w:val="a6"/>
      </w:pPr>
      <w:r>
        <w:t>Обработка больных телят препаратом «Апистимулин –А» способств</w:t>
      </w:r>
      <w:r>
        <w:t>у</w:t>
      </w:r>
      <w:r>
        <w:t>ет восстановлению обмена веществ до уровня здоровых животных.</w:t>
      </w:r>
    </w:p>
    <w:p w:rsidR="00F4654E" w:rsidRDefault="00F4654E">
      <w:pPr>
        <w:pStyle w:val="a6"/>
      </w:pPr>
      <w:r>
        <w:t>Таким образом, заболевание телят трихофитией вызывает значител</w:t>
      </w:r>
      <w:r>
        <w:t>ь</w:t>
      </w:r>
      <w:r>
        <w:t>ное угнетение клеточного и гуморального иммунитета и нарушение обм</w:t>
      </w:r>
      <w:r>
        <w:t>е</w:t>
      </w:r>
      <w:r>
        <w:t xml:space="preserve">на веществ. Трехкратная обработка больных телят препаратом «Апи-стимулин - А » в дозе 1 мг/кг живой массы способствует восстановлению </w:t>
      </w:r>
      <w:r>
        <w:lastRenderedPageBreak/>
        <w:t xml:space="preserve">угнетенных звеньев иммунитета и обменных процессов организма до уровня здоровых животных.   </w:t>
      </w:r>
    </w:p>
    <w:p w:rsidR="00F4654E" w:rsidRDefault="00F4654E">
      <w:pPr>
        <w:pStyle w:val="a4"/>
      </w:pPr>
      <w:r>
        <w:t>УДК 619:616.33-008:636.22/.28</w:t>
      </w:r>
    </w:p>
    <w:p w:rsidR="00F4654E" w:rsidRDefault="00F4654E">
      <w:pPr>
        <w:pStyle w:val="1"/>
      </w:pPr>
      <w:bookmarkStart w:id="358" w:name="_Toc10115272"/>
      <w:bookmarkStart w:id="359" w:name="_Toc10731047"/>
      <w:bookmarkStart w:id="360" w:name="_Toc10731708"/>
      <w:bookmarkStart w:id="361" w:name="_Toc10891540"/>
      <w:bookmarkStart w:id="362" w:name="_Toc10892215"/>
      <w:bookmarkStart w:id="363" w:name="_Toc11390075"/>
      <w:bookmarkStart w:id="364" w:name="_Toc11839754"/>
      <w:bookmarkStart w:id="365" w:name="_Toc11937290"/>
      <w:r>
        <w:t xml:space="preserve">ВИТАМИН </w:t>
      </w:r>
      <w:r>
        <w:rPr>
          <w:sz w:val="28"/>
        </w:rPr>
        <w:t>F</w:t>
      </w:r>
      <w:r>
        <w:t xml:space="preserve"> – НЕЗАМЕНИМЫЙ ФАКТОР, ПРЕДУПРЕЖДАЮЩИЙ ДИСПЕПСИИ НОВОРОЖДЕННЫХ ТЕЛЯТ</w:t>
      </w:r>
      <w:bookmarkEnd w:id="358"/>
      <w:bookmarkEnd w:id="359"/>
      <w:bookmarkEnd w:id="360"/>
      <w:bookmarkEnd w:id="361"/>
      <w:bookmarkEnd w:id="362"/>
      <w:bookmarkEnd w:id="363"/>
      <w:bookmarkEnd w:id="364"/>
      <w:bookmarkEnd w:id="365"/>
    </w:p>
    <w:p w:rsidR="00F4654E" w:rsidRDefault="00F4654E">
      <w:pPr>
        <w:pStyle w:val="2"/>
      </w:pPr>
      <w:bookmarkStart w:id="366" w:name="_Toc10115273"/>
      <w:bookmarkStart w:id="367" w:name="_Toc10731048"/>
      <w:bookmarkStart w:id="368" w:name="_Toc10731709"/>
      <w:bookmarkStart w:id="369" w:name="_Toc10891541"/>
      <w:bookmarkStart w:id="370" w:name="_Toc10892216"/>
      <w:bookmarkStart w:id="371" w:name="_Toc11390076"/>
      <w:bookmarkStart w:id="372" w:name="_Toc11937291"/>
      <w:r>
        <w:t>Алиев А. А.</w:t>
      </w:r>
      <w:bookmarkEnd w:id="366"/>
      <w:bookmarkEnd w:id="367"/>
      <w:bookmarkEnd w:id="368"/>
      <w:bookmarkEnd w:id="369"/>
      <w:bookmarkEnd w:id="370"/>
      <w:bookmarkEnd w:id="371"/>
      <w:bookmarkEnd w:id="372"/>
    </w:p>
    <w:p w:rsidR="00F4654E" w:rsidRDefault="00F4654E">
      <w:pPr>
        <w:pStyle w:val="a5"/>
      </w:pPr>
      <w:r>
        <w:t xml:space="preserve">Всероссийский НИИ физиологии, биохимии и питания </w:t>
      </w:r>
      <w:r>
        <w:br/>
        <w:t>сельскохозяйственных животных</w:t>
      </w:r>
    </w:p>
    <w:p w:rsidR="00F4654E" w:rsidRDefault="00F4654E">
      <w:pPr>
        <w:pStyle w:val="a6"/>
      </w:pPr>
      <w:r>
        <w:t>Витамин F или линолевая (C</w:t>
      </w:r>
      <w:r>
        <w:rPr>
          <w:vertAlign w:val="subscript"/>
        </w:rPr>
        <w:t>18: 2</w:t>
      </w:r>
      <w:r>
        <w:t>) незаменимая (эссенциальная) жирная кислота в организме млекопитающих не синтезируется, по</w:t>
      </w:r>
      <w:r>
        <w:softHyphen/>
        <w:t>ступает только с кормом. Эта ненасыщенная жирная кислота в рубце жвачных также гидр</w:t>
      </w:r>
      <w:r>
        <w:t>о</w:t>
      </w:r>
      <w:r>
        <w:t>генизируется, но относительно в меньшей сте</w:t>
      </w:r>
      <w:r>
        <w:softHyphen/>
        <w:t>пени, до 40% от поступа</w:t>
      </w:r>
      <w:r>
        <w:t>ю</w:t>
      </w:r>
      <w:r>
        <w:t>щего с кормом количества. Она выполняет важнейшие функции в орг</w:t>
      </w:r>
      <w:r>
        <w:t>а</w:t>
      </w:r>
      <w:r>
        <w:t>низме как в регуляторных, так и метабо</w:t>
      </w:r>
      <w:r>
        <w:softHyphen/>
        <w:t>лических процессах: через фосф</w:t>
      </w:r>
      <w:r>
        <w:t>о</w:t>
      </w:r>
      <w:r>
        <w:t>липиды составляет основу биологи</w:t>
      </w:r>
      <w:r>
        <w:softHyphen/>
        <w:t>ческих мембран, а также, являясь пре</w:t>
      </w:r>
      <w:r>
        <w:t>д</w:t>
      </w:r>
      <w:r>
        <w:t>шественником арахидоновой кислоты составляет основу для синтеза пр</w:t>
      </w:r>
      <w:r>
        <w:t>о</w:t>
      </w:r>
      <w:r>
        <w:t>стагландинов и лейкотриенов, которые обладают широким спектром го</w:t>
      </w:r>
      <w:r>
        <w:t>р</w:t>
      </w:r>
      <w:r>
        <w:t>моноподобных дей</w:t>
      </w:r>
      <w:r>
        <w:softHyphen/>
        <w:t>ствий в регуляции метаболизма и воспроизводства. В</w:t>
      </w:r>
      <w:r>
        <w:t>и</w:t>
      </w:r>
      <w:r>
        <w:t>тамин F обес</w:t>
      </w:r>
      <w:r>
        <w:softHyphen/>
        <w:t>печивает высокую сопротивляемость мембран эритроцитов в ответ на всякого рода гемолитические процессы, также играет незамен</w:t>
      </w:r>
      <w:r>
        <w:t>и</w:t>
      </w:r>
      <w:r>
        <w:t>мую роль во всасывании липидов из кишечника. Достаточность линоли</w:t>
      </w:r>
      <w:r>
        <w:t>е</w:t>
      </w:r>
      <w:r>
        <w:t>вой кислоты в организме животных, да и человека, диагностируется соо</w:t>
      </w:r>
      <w:r>
        <w:t>т</w:t>
      </w:r>
      <w:r>
        <w:t>ношением эйкозотреновой кислоты (C</w:t>
      </w:r>
      <w:r>
        <w:rPr>
          <w:vertAlign w:val="subscript"/>
        </w:rPr>
        <w:t>20:3</w:t>
      </w:r>
      <w:r>
        <w:t>) к арахидоновой (С</w:t>
      </w:r>
      <w:r>
        <w:rPr>
          <w:vertAlign w:val="subscript"/>
        </w:rPr>
        <w:t>20:4</w:t>
      </w:r>
      <w:r>
        <w:t>), так наз</w:t>
      </w:r>
      <w:r>
        <w:t>ы</w:t>
      </w:r>
      <w:r>
        <w:t>ваемым коэффициентом триен/тетраен. Дефицитным счита</w:t>
      </w:r>
      <w:r>
        <w:softHyphen/>
        <w:t>ется когда этот коэффициент выше 0,4.</w:t>
      </w:r>
    </w:p>
    <w:p w:rsidR="00F4654E" w:rsidRDefault="00F4654E">
      <w:pPr>
        <w:pStyle w:val="a6"/>
      </w:pPr>
      <w:r>
        <w:t>Во внутриутробный период плод у жвачных в первые месяцы разв</w:t>
      </w:r>
      <w:r>
        <w:t>и</w:t>
      </w:r>
      <w:r>
        <w:t>тия находится в условиях дефицита линолевой кислоты. Она в этот период не проникает через плаценту, ее заменяет пальмитоолеиновая (C</w:t>
      </w:r>
      <w:r>
        <w:rPr>
          <w:vertAlign w:val="subscript"/>
        </w:rPr>
        <w:t>16:1</w:t>
      </w:r>
      <w:r>
        <w:t>) кисл</w:t>
      </w:r>
      <w:r>
        <w:t>о</w:t>
      </w:r>
      <w:r>
        <w:t>та. Но в последние месяцы, когда, например, у ко</w:t>
      </w:r>
      <w:r>
        <w:softHyphen/>
        <w:t>ров рост массы тела пл</w:t>
      </w:r>
      <w:r>
        <w:t>о</w:t>
      </w:r>
      <w:r>
        <w:t>да достигает 600-700 г/сут. и происходит на</w:t>
      </w:r>
      <w:r>
        <w:softHyphen/>
        <w:t>чало образования молозива, потребность организма коров в линоле</w:t>
      </w:r>
      <w:r>
        <w:softHyphen/>
        <w:t>вой кислоте резко возрастает. С о</w:t>
      </w:r>
      <w:r>
        <w:t>д</w:t>
      </w:r>
      <w:r>
        <w:t>ной стороны в этот период прони</w:t>
      </w:r>
      <w:r>
        <w:softHyphen/>
        <w:t>цаемость плаценты для линолевой кисл</w:t>
      </w:r>
      <w:r>
        <w:t>о</w:t>
      </w:r>
      <w:r>
        <w:t>ты существенно увеличивает</w:t>
      </w:r>
      <w:r>
        <w:softHyphen/>
        <w:t>ся, с другой – после родов в строении ме</w:t>
      </w:r>
      <w:r>
        <w:t>м</w:t>
      </w:r>
      <w:r>
        <w:t>бран пальмитоолеиновая кислота не сможет заменять линолевую и, если в течение 20 дней постнатальной жизни линолевая кислота полностью не выполняет присущие ей функции, новорожденные непременно погибают, а если имеет место ее недостаток, то непременно заболевают диспепсией и респираторными заболеваниями, облысением кожи и т. д.</w:t>
      </w:r>
    </w:p>
    <w:p w:rsidR="00F4654E" w:rsidRDefault="00F4654E">
      <w:pPr>
        <w:pStyle w:val="a6"/>
      </w:pPr>
      <w:r>
        <w:t>В течение многолетних исследований мы ставили задачей:</w:t>
      </w:r>
    </w:p>
    <w:p w:rsidR="00F4654E" w:rsidRDefault="00F4654E">
      <w:pPr>
        <w:pStyle w:val="a6"/>
      </w:pPr>
      <w:r>
        <w:t>– определить возможную взаимосвязь содержания витамина F в лип</w:t>
      </w:r>
      <w:r>
        <w:t>и</w:t>
      </w:r>
      <w:r>
        <w:t>дах кормов рациона и в липидах плазмы крови коров;</w:t>
      </w:r>
    </w:p>
    <w:p w:rsidR="00F4654E" w:rsidRDefault="00F4654E">
      <w:pPr>
        <w:pStyle w:val="a6"/>
      </w:pPr>
      <w:r>
        <w:lastRenderedPageBreak/>
        <w:t>– выяснить влияние статуса линолевой кислоты в плазме крови на ре-зистентность организма новорожденных телят к диспепсии и респи</w:t>
      </w:r>
      <w:r>
        <w:softHyphen/>
        <w:t>раторным заболеваниям;</w:t>
      </w:r>
    </w:p>
    <w:p w:rsidR="00F4654E" w:rsidRDefault="00F4654E">
      <w:pPr>
        <w:pStyle w:val="a6"/>
      </w:pPr>
      <w:r>
        <w:t>- на основе полученных фактов предложить препарат, предупреж</w:t>
      </w:r>
      <w:r>
        <w:softHyphen/>
        <w:t>дающий диспепсии новорожденных телят, а также представляющий во</w:t>
      </w:r>
      <w:r>
        <w:t>з</w:t>
      </w:r>
      <w:r>
        <w:t>можности лечения телят, больных диспепсией.</w:t>
      </w:r>
    </w:p>
    <w:p w:rsidR="00F4654E" w:rsidRDefault="00F4654E">
      <w:pPr>
        <w:pStyle w:val="a6"/>
      </w:pPr>
      <w:r>
        <w:t>Опыты проводили в трех хозяйствах Калужской об</w:t>
      </w:r>
      <w:r>
        <w:softHyphen/>
        <w:t>ласти, резко отл</w:t>
      </w:r>
      <w:r>
        <w:t>и</w:t>
      </w:r>
      <w:r>
        <w:t>чающихся по качеству кормов и их ассортименту, и в виварии института. В каждом из хозяйств отобрали по три коровы с одинаковым сроком бер</w:t>
      </w:r>
      <w:r>
        <w:t>е</w:t>
      </w:r>
      <w:r>
        <w:t>менности и одинаковой продуктивностью – 5000 кг молока за предыд</w:t>
      </w:r>
      <w:r>
        <w:t>у</w:t>
      </w:r>
      <w:r>
        <w:t>щую лактацию. Сумма высокомолекуляр</w:t>
      </w:r>
      <w:r>
        <w:softHyphen/>
        <w:t>ных жирных кислот в рационах коров из вивария равнялась в мг/ 100 г сухого вещества (СВ) – 976, 96, второго хозяйства – 760,43, третьего - 437,40 мг/100 г СВ, в том числе л</w:t>
      </w:r>
      <w:r>
        <w:t>и</w:t>
      </w:r>
      <w:r>
        <w:t>нолевой кислоты – 306,26 мг/ 100 г СВ; 220,0 и 168,0 мг/100 г СВ. Иссл</w:t>
      </w:r>
      <w:r>
        <w:t>е</w:t>
      </w:r>
      <w:r>
        <w:t>дования крови коров вы</w:t>
      </w:r>
      <w:r>
        <w:softHyphen/>
        <w:t>явили полное соответствие между содержанием как общих липидов, так и линолевой кислоты в рационах и в плазме крови. Приведем данные по линолевой кислоте, а именно: в плазме крови коров из ви</w:t>
      </w:r>
      <w:r>
        <w:softHyphen/>
        <w:t>вария оно равнялось 85,73 мг/100 мл плазмы, второго хозяйства – 65,51, третьего – 54,2 мг/ 100 мл плазмы. Сравнивая статус линолевой к</w:t>
      </w:r>
      <w:r>
        <w:t>и</w:t>
      </w:r>
      <w:r>
        <w:t>слоты у новорожденных телят пришли к заключению, что у телят от коров, содержащихся в виварии института на рационах составлен</w:t>
      </w:r>
      <w:r>
        <w:softHyphen/>
        <w:t>ных по совр</w:t>
      </w:r>
      <w:r>
        <w:t>е</w:t>
      </w:r>
      <w:r>
        <w:t>менным детализированным нормам, он равнялся 3,09 мг/100 мл плазмы при коэффициенте триен/тетраен 0,32, второго хо</w:t>
      </w:r>
      <w:r>
        <w:softHyphen/>
        <w:t>зяйства – 2,36 мг/100 мл плазмы крови при триен/тетраен, равном 0,47, третьего – 2,36 при тр</w:t>
      </w:r>
      <w:r>
        <w:t>и</w:t>
      </w:r>
      <w:r>
        <w:t>ен/тетраен, равном 0,55. Судя по коэф</w:t>
      </w:r>
      <w:r>
        <w:softHyphen/>
        <w:t>фициенту триен/тетраен, нормал</w:t>
      </w:r>
      <w:r>
        <w:t>ь</w:t>
      </w:r>
      <w:r>
        <w:t>ный уровень линолевой кислоты оказался только у телят, родившихся от коров из вивария, а у телят от коров из обоих хозяйств он свидетельств</w:t>
      </w:r>
      <w:r>
        <w:t>о</w:t>
      </w:r>
      <w:r>
        <w:t>вал о патологии.</w:t>
      </w:r>
    </w:p>
    <w:p w:rsidR="00F4654E" w:rsidRDefault="00F4654E">
      <w:pPr>
        <w:pStyle w:val="a6"/>
      </w:pPr>
      <w:r>
        <w:t>Получив эти весьма яркие данные, мы решили обследовать ста</w:t>
      </w:r>
      <w:r>
        <w:softHyphen/>
        <w:t>тус з</w:t>
      </w:r>
      <w:r>
        <w:t>а</w:t>
      </w:r>
      <w:r>
        <w:t>болеваемости в трех других хозяйствах. У пяти коров из каждо</w:t>
      </w:r>
      <w:r>
        <w:softHyphen/>
        <w:t>го хозяйства в последний месяц беременности брали кровь и исследо</w:t>
      </w:r>
      <w:r>
        <w:softHyphen/>
        <w:t>вали статус лин</w:t>
      </w:r>
      <w:r>
        <w:t>о</w:t>
      </w:r>
      <w:r>
        <w:t>левой кислоты, а затем соответствие заболеваемости телят со статусом л</w:t>
      </w:r>
      <w:r>
        <w:t>и</w:t>
      </w:r>
      <w:r>
        <w:t>нолевой кислоты в крови коров. Коэффициент триен/тетраен у коров из опытного хозяйства равнялся 0,30, у коров из второго – 0,49, у коров из третьего – 0,61. Заболеваемость телят в опытном хозяйстве составила 6%, во втором – 69%, в третьем – 92%. Как видно, эта закономерность сама по себе может иметь большое значение в ветеринарной медицине, поскольку на ее основе можно прогнозировать резистентность организма новоро</w:t>
      </w:r>
      <w:r>
        <w:t>ж</w:t>
      </w:r>
      <w:r>
        <w:t>денных телят.</w:t>
      </w:r>
    </w:p>
    <w:p w:rsidR="00F4654E" w:rsidRDefault="00F4654E">
      <w:pPr>
        <w:pStyle w:val="a6"/>
      </w:pPr>
      <w:r>
        <w:t>Учитывая, что не только в этих двух хозяйствах, в которых мы пров</w:t>
      </w:r>
      <w:r>
        <w:t>е</w:t>
      </w:r>
      <w:r>
        <w:t>ли исследования, но и во многих других (и не только в Калуж</w:t>
      </w:r>
      <w:r>
        <w:softHyphen/>
        <w:t>ской обла</w:t>
      </w:r>
      <w:r>
        <w:t>с</w:t>
      </w:r>
      <w:r>
        <w:t>ти), коровы хотя бы в последние месяцы стельности не обеспечены сеном и концентратами желанного качества, да и коли</w:t>
      </w:r>
      <w:r>
        <w:softHyphen/>
        <w:t>чества, и чтобы предупр</w:t>
      </w:r>
      <w:r>
        <w:t>е</w:t>
      </w:r>
      <w:r>
        <w:lastRenderedPageBreak/>
        <w:t>дить потери новорожденных телят, мы раз</w:t>
      </w:r>
      <w:r>
        <w:softHyphen/>
        <w:t>работали рецепт комплексного препарата, предупреждающего диспепсии телят (</w:t>
      </w:r>
      <w:r>
        <w:rPr>
          <w:sz w:val="24"/>
        </w:rPr>
        <w:t>КППД</w:t>
      </w:r>
      <w:r>
        <w:t>), назвав его «Ме</w:t>
      </w:r>
      <w:r>
        <w:t>м</w:t>
      </w:r>
      <w:r>
        <w:t>браностимолом» (А.С.310658), поскольку диспепсия и респираторные з</w:t>
      </w:r>
      <w:r>
        <w:t>а</w:t>
      </w:r>
      <w:r>
        <w:t>болевания по причине недостатка витамина F возникает вследствие име</w:t>
      </w:r>
      <w:r>
        <w:t>н</w:t>
      </w:r>
      <w:r>
        <w:t>но несо</w:t>
      </w:r>
      <w:r>
        <w:softHyphen/>
        <w:t>вершенства образования и пластики мембран кишечника и дых</w:t>
      </w:r>
      <w:r>
        <w:t>а</w:t>
      </w:r>
      <w:r>
        <w:t>тель</w:t>
      </w:r>
      <w:r>
        <w:softHyphen/>
        <w:t>ных путей. Суточная доза «Мембраностимола» на голову теленка в день содержит: подсолнечного масла – 150 мл; витамина Е – 150 мг; сер</w:t>
      </w:r>
      <w:r>
        <w:softHyphen/>
        <w:t xml:space="preserve">нокислого цинка – 3 г; сухого обезжиренного молока или порошка ЗЦМ – 3 г; кипяченой воды – 20 мл. </w:t>
      </w:r>
    </w:p>
    <w:p w:rsidR="00F4654E" w:rsidRDefault="00F4654E">
      <w:pPr>
        <w:pStyle w:val="a6"/>
      </w:pPr>
      <w:r>
        <w:t>В качестве источника линолевой кислоты брали подсолнечное масло, во-первых, потому, что линолевая кислота в чистом виде быстро разруш</w:t>
      </w:r>
      <w:r>
        <w:t>а</w:t>
      </w:r>
      <w:r>
        <w:t>ется и к тому же очень дорого стоит; во-вторых, содержание линолевой кислоты в нем до</w:t>
      </w:r>
      <w:r>
        <w:softHyphen/>
        <w:t>стигает 45-47%.</w:t>
      </w:r>
    </w:p>
    <w:p w:rsidR="00F4654E" w:rsidRDefault="00F4654E">
      <w:pPr>
        <w:pStyle w:val="a6"/>
      </w:pPr>
      <w:r>
        <w:t>Смесь тщательно эмульгируют и дают теленку ежедневно до ут</w:t>
      </w:r>
      <w:r>
        <w:softHyphen/>
        <w:t>рен-него кормления со дня рождения до 20-ти дневного возраста, то есть в п</w:t>
      </w:r>
      <w:r>
        <w:t>е</w:t>
      </w:r>
      <w:r>
        <w:t>риод, когда мембранные структуры желудочно-кишечного тракта, паре</w:t>
      </w:r>
      <w:r>
        <w:t>н</w:t>
      </w:r>
      <w:r>
        <w:t>химатозных органов и кровеносной системы перестраи</w:t>
      </w:r>
      <w:r>
        <w:softHyphen/>
        <w:t>ваются на испол</w:t>
      </w:r>
      <w:r>
        <w:t>ь</w:t>
      </w:r>
      <w:r>
        <w:t>зование линолевой кислоты, и когда она ничем не заменима.</w:t>
      </w:r>
    </w:p>
    <w:p w:rsidR="00F4654E" w:rsidRDefault="00F4654E">
      <w:pPr>
        <w:pStyle w:val="a6"/>
      </w:pPr>
      <w:r>
        <w:t>На новорожденных телятах с катетерами портальной вены и брюшной аорты было установлено существенное усиление всасыва</w:t>
      </w:r>
      <w:r>
        <w:softHyphen/>
        <w:t>ния линолевой кислоты в портальную вену и обогащения артериаль</w:t>
      </w:r>
      <w:r>
        <w:softHyphen/>
        <w:t>ной крови при доба</w:t>
      </w:r>
      <w:r>
        <w:t>в</w:t>
      </w:r>
      <w:r>
        <w:t>лении «Мембраностимола» в молозиво или молоко.</w:t>
      </w:r>
    </w:p>
    <w:p w:rsidR="00F4654E" w:rsidRDefault="00F4654E">
      <w:pPr>
        <w:pStyle w:val="a6"/>
      </w:pPr>
      <w:r>
        <w:t>Научно-производственные опыты в тех же хозяйствах в целях проф</w:t>
      </w:r>
      <w:r>
        <w:t>и</w:t>
      </w:r>
      <w:r>
        <w:t>лактики диспепсии телят посредством дачи «Мембраностимола» дали и</w:t>
      </w:r>
      <w:r>
        <w:t>с</w:t>
      </w:r>
      <w:r>
        <w:t>ключительно обнадеживающие результаты не только по пред</w:t>
      </w:r>
      <w:r>
        <w:softHyphen/>
        <w:t>упреждению диспепсии, но и по повышению прироста телят. В каж</w:t>
      </w:r>
      <w:r>
        <w:softHyphen/>
        <w:t>дом хозяйстве в ко</w:t>
      </w:r>
      <w:r>
        <w:t>н</w:t>
      </w:r>
      <w:r>
        <w:t>трольную и опытную группу включали по 10 те</w:t>
      </w:r>
      <w:r>
        <w:softHyphen/>
        <w:t>лят. В хозяйстве № 1 си</w:t>
      </w:r>
      <w:r>
        <w:t>м</w:t>
      </w:r>
      <w:r>
        <w:t>птомы диспепсии в контроле проявились на третий день после рождения у двух телят, в хозяйстве № 2 – у шести, а в хозяйстве № 3 – у всех десяти телят. Потерь в хозяйстве № 1 не было, во втором хозяйстве пали два т</w:t>
      </w:r>
      <w:r>
        <w:t>е</w:t>
      </w:r>
      <w:r>
        <w:t>ленка на 10-12-й дни после рождения, а в третьем хозяйстве погибли шесть телят. Среднесуточ</w:t>
      </w:r>
      <w:r>
        <w:softHyphen/>
        <w:t>ный прирост телят контрольной группы составил соо</w:t>
      </w:r>
      <w:r>
        <w:t>т</w:t>
      </w:r>
      <w:r>
        <w:t>ветственно номерам хозяйств 625, 356 и 215 г/сут. В группах, где телята получали «Мембраностимол», ни в одном хозяйстве диспепсия не была з</w:t>
      </w:r>
      <w:r>
        <w:t>а</w:t>
      </w:r>
      <w:r>
        <w:t>реги</w:t>
      </w:r>
      <w:r>
        <w:softHyphen/>
        <w:t>стрирована, а среднесуточный прирост живой массы составил по хо</w:t>
      </w:r>
      <w:r>
        <w:softHyphen/>
        <w:t>зяйствам №№ 1, 2, 3 соответственно 820, 725 и 500 г/сут.</w:t>
      </w:r>
    </w:p>
    <w:p w:rsidR="00F4654E" w:rsidRDefault="00F4654E">
      <w:pPr>
        <w:pStyle w:val="a6"/>
      </w:pPr>
      <w:r>
        <w:t>Таким образом, доказана известная истина – коров хотя бы в после</w:t>
      </w:r>
      <w:r>
        <w:t>д</w:t>
      </w:r>
      <w:r>
        <w:t>ние месяцы стельности надо кормить полноценным рационом. Также док</w:t>
      </w:r>
      <w:r>
        <w:t>а</w:t>
      </w:r>
      <w:r>
        <w:t>зана непосредственная взаимосвязь статуса линолевой кислоты в кормах рациона, в крови коров и новорожденных телят, а также высокая эффе</w:t>
      </w:r>
      <w:r>
        <w:t>к</w:t>
      </w:r>
      <w:r>
        <w:t>тивность «Мембраностимола» не только для про</w:t>
      </w:r>
      <w:r>
        <w:softHyphen/>
        <w:t>филактики и лечения ди</w:t>
      </w:r>
      <w:r>
        <w:t>с</w:t>
      </w:r>
      <w:r>
        <w:t>пепсии, но и для стимуляции роста телят.</w:t>
      </w:r>
    </w:p>
    <w:p w:rsidR="00F4654E" w:rsidRDefault="00F4654E">
      <w:pPr>
        <w:pStyle w:val="a6"/>
      </w:pPr>
      <w:r>
        <w:lastRenderedPageBreak/>
        <w:t>Аналогичные опыты были выполнены на овцематках и ягнятах и та</w:t>
      </w:r>
      <w:r>
        <w:t>к</w:t>
      </w:r>
      <w:r>
        <w:t>же дали весьма положительные результаты.</w:t>
      </w:r>
    </w:p>
    <w:p w:rsidR="00F4654E" w:rsidRDefault="00F4654E">
      <w:pPr>
        <w:pStyle w:val="a4"/>
      </w:pPr>
      <w:bookmarkStart w:id="373" w:name="_Toc10115274"/>
      <w:bookmarkStart w:id="374" w:name="_Toc10731049"/>
      <w:bookmarkStart w:id="375" w:name="_Toc10731710"/>
      <w:bookmarkStart w:id="376" w:name="_Toc10891542"/>
      <w:bookmarkStart w:id="377" w:name="_Toc10892217"/>
      <w:r>
        <w:t>УДК 619:616.33-008:636.22/.28</w:t>
      </w:r>
    </w:p>
    <w:p w:rsidR="00F4654E" w:rsidRDefault="00F4654E">
      <w:pPr>
        <w:pStyle w:val="1"/>
      </w:pPr>
      <w:bookmarkStart w:id="378" w:name="_Toc11390077"/>
      <w:bookmarkStart w:id="379" w:name="_Toc11839756"/>
      <w:bookmarkStart w:id="380" w:name="_Toc11937292"/>
      <w:r>
        <w:t>НОВОЕ В ПРОФИЛАКТИКЕ И ЛЕЧЕНИИ ДИСПЕПСИИ ТЕЛЯТ</w:t>
      </w:r>
      <w:bookmarkEnd w:id="373"/>
      <w:bookmarkEnd w:id="374"/>
      <w:bookmarkEnd w:id="375"/>
      <w:bookmarkEnd w:id="376"/>
      <w:bookmarkEnd w:id="377"/>
      <w:bookmarkEnd w:id="378"/>
      <w:bookmarkEnd w:id="379"/>
      <w:bookmarkEnd w:id="380"/>
    </w:p>
    <w:p w:rsidR="00F4654E" w:rsidRDefault="00F4654E">
      <w:pPr>
        <w:pStyle w:val="2"/>
      </w:pPr>
      <w:bookmarkStart w:id="381" w:name="_Toc10115275"/>
      <w:bookmarkStart w:id="382" w:name="_Toc10731050"/>
      <w:bookmarkStart w:id="383" w:name="_Toc10731711"/>
      <w:bookmarkStart w:id="384" w:name="_Toc10891543"/>
      <w:bookmarkStart w:id="385" w:name="_Toc10892218"/>
      <w:bookmarkStart w:id="386" w:name="_Toc11390078"/>
      <w:bookmarkStart w:id="387" w:name="_Toc11937293"/>
      <w:r>
        <w:t>Алиев А. А., Семенютин В. В.*</w:t>
      </w:r>
      <w:bookmarkEnd w:id="381"/>
      <w:bookmarkEnd w:id="382"/>
      <w:bookmarkEnd w:id="383"/>
      <w:bookmarkEnd w:id="384"/>
      <w:bookmarkEnd w:id="385"/>
      <w:bookmarkEnd w:id="386"/>
      <w:bookmarkEnd w:id="387"/>
    </w:p>
    <w:p w:rsidR="00F4654E" w:rsidRDefault="00F4654E">
      <w:pPr>
        <w:pStyle w:val="a5"/>
      </w:pPr>
      <w:r>
        <w:t xml:space="preserve">Всероссийский НИИ физиологии, биохимии и питания </w:t>
      </w:r>
      <w:r>
        <w:br/>
        <w:t>сельскохозяйственных животных</w:t>
      </w:r>
      <w:r>
        <w:br/>
        <w:t>*Белгородская государственная сельскохозяйственная академия</w:t>
      </w:r>
    </w:p>
    <w:p w:rsidR="00F4654E" w:rsidRDefault="00F4654E">
      <w:pPr>
        <w:pStyle w:val="a6"/>
      </w:pPr>
      <w:r>
        <w:t>Нет сомнения, что ущерб, наносимый диспепсией животно</w:t>
      </w:r>
      <w:r>
        <w:softHyphen/>
        <w:t>водству н</w:t>
      </w:r>
      <w:r>
        <w:t>е</w:t>
      </w:r>
      <w:r>
        <w:t>соразмерно велик. Нами разработан и апробирован весьма простой и д</w:t>
      </w:r>
      <w:r>
        <w:t>е</w:t>
      </w:r>
      <w:r>
        <w:t xml:space="preserve">шевый способ (А.С.166487). </w:t>
      </w:r>
    </w:p>
    <w:p w:rsidR="00F4654E" w:rsidRDefault="00F4654E">
      <w:pPr>
        <w:pStyle w:val="a6"/>
      </w:pPr>
      <w:r>
        <w:t>Телятам для профилактики, а также и лечения от диспепсии задают per os ацетат натрия 11-16 г и рубцовое содержимое 100-300 мл. Эффе</w:t>
      </w:r>
      <w:r>
        <w:t>к</w:t>
      </w:r>
      <w:r>
        <w:t>тивность при применении в целях профилактики превосходит известный препарат лорс на 36%, а при лечении – на 40%. При этом также возрастает прирост телят с 660 г/сут. до 760 г/сут. Эффективность способа доказана на большом поголовье во многих хозяйствах и в течение многих лет. А мех</w:t>
      </w:r>
      <w:r>
        <w:t>а</w:t>
      </w:r>
      <w:r>
        <w:t>низм процесса легко объясним. В качестве примера приведем результаты некоторых из опытов.</w:t>
      </w:r>
    </w:p>
    <w:p w:rsidR="00F4654E" w:rsidRDefault="00F4654E">
      <w:pPr>
        <w:pStyle w:val="a6"/>
        <w:rPr>
          <w:spacing w:val="-2"/>
        </w:rPr>
      </w:pPr>
      <w:r>
        <w:rPr>
          <w:spacing w:val="-2"/>
        </w:rPr>
        <w:t>Опыт 1. Для профилактики телятам задавали ацетат натрия со дня ро</w:t>
      </w:r>
      <w:r>
        <w:rPr>
          <w:spacing w:val="-2"/>
        </w:rPr>
        <w:t>ж</w:t>
      </w:r>
      <w:r>
        <w:rPr>
          <w:spacing w:val="-2"/>
        </w:rPr>
        <w:t>дения до 30-дневного возраста. 1-я группа телят содержалась в режиме х</w:t>
      </w:r>
      <w:r>
        <w:rPr>
          <w:spacing w:val="-2"/>
        </w:rPr>
        <w:t>о</w:t>
      </w:r>
      <w:r>
        <w:rPr>
          <w:spacing w:val="-2"/>
        </w:rPr>
        <w:t>зяйства, 2-я получала лорс – 500 г на 10 л воды каж</w:t>
      </w:r>
      <w:r>
        <w:rPr>
          <w:spacing w:val="-2"/>
        </w:rPr>
        <w:softHyphen/>
        <w:t>дый раз при выпойке и добавляли по 250 мл молока. 3-я и 4-я группы получали ацетат натрия, к</w:t>
      </w:r>
      <w:r>
        <w:rPr>
          <w:spacing w:val="-2"/>
        </w:rPr>
        <w:t>о</w:t>
      </w:r>
      <w:r>
        <w:rPr>
          <w:spacing w:val="-2"/>
        </w:rPr>
        <w:t>торый добавляли в каждую пор</w:t>
      </w:r>
      <w:r>
        <w:rPr>
          <w:spacing w:val="-2"/>
        </w:rPr>
        <w:softHyphen/>
        <w:t>цию молока при трехразовом кормлении по 7,5 г; 16,5 и 24,0 г, а двухразовом – 5,11 и 16,5 г. В контрольной группе из 46 телят забо</w:t>
      </w:r>
      <w:r>
        <w:rPr>
          <w:spacing w:val="-2"/>
        </w:rPr>
        <w:softHyphen/>
        <w:t>лели диспепсией 28 гол (61%), во второй группе из 48 телят заб</w:t>
      </w:r>
      <w:r>
        <w:rPr>
          <w:spacing w:val="-2"/>
        </w:rPr>
        <w:t>о</w:t>
      </w:r>
      <w:r>
        <w:rPr>
          <w:spacing w:val="-2"/>
        </w:rPr>
        <w:t>лели 15 гол (31,3%), в третьей – из 42 телят заболели 13 гол (28,3%), а в че</w:t>
      </w:r>
      <w:r>
        <w:rPr>
          <w:spacing w:val="-2"/>
        </w:rPr>
        <w:t>т</w:t>
      </w:r>
      <w:r>
        <w:rPr>
          <w:spacing w:val="-2"/>
        </w:rPr>
        <w:t>вертой группе из 41 головы телят заболели 8 гол (19,5%). Следовательно, ацетат натрия оказался существенно эффективнее, чем лорс.</w:t>
      </w:r>
    </w:p>
    <w:p w:rsidR="00F4654E" w:rsidRDefault="00F4654E">
      <w:pPr>
        <w:pStyle w:val="a6"/>
      </w:pPr>
      <w:r>
        <w:t>Опыт 2. Для профилактики диспепсии телят использовали со</w:t>
      </w:r>
      <w:r>
        <w:softHyphen/>
        <w:t>держимое рубца, получаемое у одной из коров при помощи зонда Джав</w:t>
      </w:r>
      <w:r>
        <w:t>а</w:t>
      </w:r>
      <w:r>
        <w:t>дова (патент Украины, 52314). Корова содержалась на полно</w:t>
      </w:r>
      <w:r>
        <w:softHyphen/>
        <w:t>ценном р</w:t>
      </w:r>
      <w:r>
        <w:t>а</w:t>
      </w:r>
      <w:r>
        <w:t>ционе с отборными кормами, обязательно с отличным се</w:t>
      </w:r>
      <w:r>
        <w:softHyphen/>
        <w:t>ном, а еще лучше с травяными гранулами. Рубцовое содержимое применяли ex tempore. Т</w:t>
      </w:r>
      <w:r>
        <w:t>е</w:t>
      </w:r>
      <w:r>
        <w:t>лята были разделены на четыре группы.1-я группа оставалась контрол</w:t>
      </w:r>
      <w:r>
        <w:t>ь</w:t>
      </w:r>
      <w:r>
        <w:t>ной, рубцовое содержимое не получала, остальным трем группам со дня рождения до 20-дневного возраста в каждую выпаиваемую порцию, снач</w:t>
      </w:r>
      <w:r>
        <w:t>а</w:t>
      </w:r>
      <w:r>
        <w:t>ла молозива, а затем молока, добавляли по 50, 75 и 100 мл рубцового с</w:t>
      </w:r>
      <w:r>
        <w:t>о</w:t>
      </w:r>
      <w:r>
        <w:t>держимого. Заболеваемость достигала в контрольной группе 91%, а в группах, получавших рубцовое содержимое, соответственно – 29,12%, 27,31% и 19,23%. Сле</w:t>
      </w:r>
      <w:r>
        <w:softHyphen/>
        <w:t xml:space="preserve">довательно, заболеваемость диспепсией среди телят </w:t>
      </w:r>
      <w:r>
        <w:lastRenderedPageBreak/>
        <w:t>опытных групп снизилась более, чем на 70%. Кроме того, в контрольной группе реги</w:t>
      </w:r>
      <w:r>
        <w:softHyphen/>
        <w:t>стрировалась гибель двух телят.</w:t>
      </w:r>
    </w:p>
    <w:p w:rsidR="00F4654E" w:rsidRDefault="00F4654E">
      <w:pPr>
        <w:pStyle w:val="a6"/>
      </w:pPr>
      <w:r>
        <w:t>Опыт 3. Провели в целях установления оптимальной дозы руб</w:t>
      </w:r>
      <w:r>
        <w:softHyphen/>
        <w:t>цового содержимого при лечении диспепсии телят. Из телят, больных диспепсией сформировали при помощи врача хозяйства четыре группы. Рубцовое с</w:t>
      </w:r>
      <w:r>
        <w:t>о</w:t>
      </w:r>
      <w:r>
        <w:t>держимое задавали с добавлением молока, а именно, в первой опытной группе по 200 мл, второй – по 250 мл, в третьей – по 300 мл. Как показали испытания, в контрольной группе из 46 телят погибли 38%, в первой опытной группе из 37 телят – 2,7%, во второй – из 42 пало 2,4%, в третьей из 39 телят – 2,56%. Как видно, рубцовое содержимое оказалось высок</w:t>
      </w:r>
      <w:r>
        <w:t>о</w:t>
      </w:r>
      <w:r>
        <w:t>эффек</w:t>
      </w:r>
      <w:r>
        <w:softHyphen/>
        <w:t>тивным средством при лечении диспепсии телят. Оптимальная разо</w:t>
      </w:r>
      <w:r>
        <w:softHyphen/>
        <w:t>вая доза содержимого рубца составила при двухразовом кормлении – 200 мл, трехраз</w:t>
      </w:r>
      <w:r>
        <w:t>о</w:t>
      </w:r>
      <w:r>
        <w:t>вом – 300 мл.</w:t>
      </w:r>
    </w:p>
    <w:p w:rsidR="00F4654E" w:rsidRDefault="00F4654E">
      <w:pPr>
        <w:pStyle w:val="a6"/>
      </w:pPr>
      <w:r>
        <w:t>Опыт 4. Для предупреждения диспепсии телят применяли ацетат н</w:t>
      </w:r>
      <w:r>
        <w:t>а</w:t>
      </w:r>
      <w:r>
        <w:t>трия в сочетании с рубцовым содержимым и лорс. Телят разделили на ч</w:t>
      </w:r>
      <w:r>
        <w:t>е</w:t>
      </w:r>
      <w:r>
        <w:t>тыре группы. Первая группа осталась контрольной, вторая группа получ</w:t>
      </w:r>
      <w:r>
        <w:t>а</w:t>
      </w:r>
      <w:r>
        <w:t>ла лорс, третья группа – ацетат натрия, а четвертая – ацетат натрия в соч</w:t>
      </w:r>
      <w:r>
        <w:t>е</w:t>
      </w:r>
      <w:r>
        <w:t>тании с рубцовым содержимым. Дозировка и по</w:t>
      </w:r>
      <w:r>
        <w:softHyphen/>
        <w:t>рядок применения преп</w:t>
      </w:r>
      <w:r>
        <w:t>а</w:t>
      </w:r>
      <w:r>
        <w:t>ратов сохранялись как и в предыдущем опы</w:t>
      </w:r>
      <w:r>
        <w:softHyphen/>
        <w:t>те. Всех телят, начиная с тре</w:t>
      </w:r>
      <w:r>
        <w:t>х</w:t>
      </w:r>
      <w:r>
        <w:t>дневного возраста, обеспечивали сеном. В контрольной группе из 100 т</w:t>
      </w:r>
      <w:r>
        <w:t>е</w:t>
      </w:r>
      <w:r>
        <w:t>лят заболели 80, в группе с лорс – из 104 телят заболели – 45 голов или 43,3%, в третьей группе, полу</w:t>
      </w:r>
      <w:r>
        <w:softHyphen/>
        <w:t>чавшей ацетат натрия + рубцовое содерж</w:t>
      </w:r>
      <w:r>
        <w:t>и</w:t>
      </w:r>
      <w:r>
        <w:t>мое – из 321 головы телят заболели 22 головы или 6,9%. Четверо телят п</w:t>
      </w:r>
      <w:r>
        <w:t>а</w:t>
      </w:r>
      <w:r>
        <w:t>ло в контрольной группе, один – в группе с лорс. Следовательно, предл</w:t>
      </w:r>
      <w:r>
        <w:t>а</w:t>
      </w:r>
      <w:r>
        <w:t>гаемый способ снизил заболеваемость телят диспепсией на 36,4% больше, чем общеизвестный. Применение рубцового содержимого в комплексе с ацетатом натрия наряду со снижением заболеваемости телят диспепсией спо</w:t>
      </w:r>
      <w:r>
        <w:softHyphen/>
        <w:t>собствовало более интенсивному их росту. Так, если у контрольных т</w:t>
      </w:r>
      <w:r>
        <w:t>е</w:t>
      </w:r>
      <w:r>
        <w:t>лят среднесуточный прирост составил 650 г, то у опытных – 760 г. Кроме того, у  группы с ацетатом и рубцовым содержимым раньше начались жвачные периоды и они более интенсивно и на 2-3 дня раньше начали п</w:t>
      </w:r>
      <w:r>
        <w:t>о</w:t>
      </w:r>
      <w:r>
        <w:t>треблять сено.</w:t>
      </w:r>
    </w:p>
    <w:p w:rsidR="00F4654E" w:rsidRDefault="00F4654E">
      <w:pPr>
        <w:pStyle w:val="a6"/>
      </w:pPr>
      <w:r>
        <w:t>Опыт 5. Провели с целью выяснения эффективности комплекса ацет</w:t>
      </w:r>
      <w:r>
        <w:t>а</w:t>
      </w:r>
      <w:r>
        <w:t>та натрия + рубцовое содержимое, применяемого при лечении телят, бол</w:t>
      </w:r>
      <w:r>
        <w:t>ь</w:t>
      </w:r>
      <w:r>
        <w:t>ных диспепсией. Заболевших телят разделили на две группы: одна группа лечилась с применением комплекса ацетата натрия + рубцовое содерж</w:t>
      </w:r>
      <w:r>
        <w:t>и</w:t>
      </w:r>
      <w:r>
        <w:t>мое, вторая – лорса. Из 167 телят, подвергнутых лечению по первому сп</w:t>
      </w:r>
      <w:r>
        <w:t>о</w:t>
      </w:r>
      <w:r>
        <w:t>собу пал один, а из 72 телят, подвергнутых лечению по известному спос</w:t>
      </w:r>
      <w:r>
        <w:t>о</w:t>
      </w:r>
      <w:r>
        <w:t>бу – 3 теленка. Следователь</w:t>
      </w:r>
      <w:r>
        <w:softHyphen/>
        <w:t>но, и как лечебное средство комплекс ацетата с рубцовым содержи</w:t>
      </w:r>
      <w:r>
        <w:softHyphen/>
        <w:t>мым имеет явное преимущество. Если приобрести зонд Джавадова (Рязанская ГСХА, кафедра фармакологии) или иметь одного бычка с канюлей рубца, даже в самом крупном хозяйстве, можно полн</w:t>
      </w:r>
      <w:r>
        <w:t>о</w:t>
      </w:r>
      <w:r>
        <w:lastRenderedPageBreak/>
        <w:t>стью обеспечить профилактику телят от диспепсии. Ацетат можно прио</w:t>
      </w:r>
      <w:r>
        <w:t>б</w:t>
      </w:r>
      <w:r>
        <w:t>рести в коммерческих магазинах химреактивов.</w:t>
      </w:r>
    </w:p>
    <w:p w:rsidR="00F4654E" w:rsidRDefault="00F4654E">
      <w:pPr>
        <w:pStyle w:val="a4"/>
      </w:pPr>
      <w:r>
        <w:t>УДК 619:618</w:t>
      </w:r>
    </w:p>
    <w:p w:rsidR="00F4654E" w:rsidRDefault="00F4654E">
      <w:pPr>
        <w:pStyle w:val="1"/>
      </w:pPr>
      <w:bookmarkStart w:id="388" w:name="_Toc10731083"/>
      <w:bookmarkStart w:id="389" w:name="_Toc10731744"/>
      <w:bookmarkStart w:id="390" w:name="_Toc10891577"/>
      <w:bookmarkStart w:id="391" w:name="_Toc10892252"/>
      <w:bookmarkStart w:id="392" w:name="_Toc11390115"/>
      <w:bookmarkStart w:id="393" w:name="_Toc11839758"/>
      <w:bookmarkStart w:id="394" w:name="_Toc11937294"/>
      <w:r>
        <w:t>Интенсификация воспроизводства коров биотехнологическими методами</w:t>
      </w:r>
      <w:bookmarkEnd w:id="388"/>
      <w:bookmarkEnd w:id="389"/>
      <w:bookmarkEnd w:id="390"/>
      <w:bookmarkEnd w:id="391"/>
      <w:bookmarkEnd w:id="392"/>
      <w:bookmarkEnd w:id="393"/>
      <w:bookmarkEnd w:id="394"/>
    </w:p>
    <w:p w:rsidR="00F4654E" w:rsidRDefault="00F4654E">
      <w:pPr>
        <w:pStyle w:val="2"/>
      </w:pPr>
      <w:bookmarkStart w:id="395" w:name="_Toc10731084"/>
      <w:bookmarkStart w:id="396" w:name="_Toc10731745"/>
      <w:bookmarkStart w:id="397" w:name="_Toc10891578"/>
      <w:bookmarkStart w:id="398" w:name="_Toc10892253"/>
      <w:bookmarkStart w:id="399" w:name="_Toc11390116"/>
      <w:bookmarkStart w:id="400" w:name="_Toc11937295"/>
      <w:r>
        <w:t>Амагырова Т.О., Муруев А.В., Хоженоев Ю.К., Анганов В.В.</w:t>
      </w:r>
      <w:bookmarkEnd w:id="395"/>
      <w:bookmarkEnd w:id="396"/>
      <w:bookmarkEnd w:id="397"/>
      <w:bookmarkEnd w:id="398"/>
      <w:bookmarkEnd w:id="399"/>
      <w:bookmarkEnd w:id="400"/>
    </w:p>
    <w:p w:rsidR="00F4654E" w:rsidRDefault="00F4654E">
      <w:pPr>
        <w:pStyle w:val="a5"/>
      </w:pPr>
      <w:r>
        <w:t>Бурятская государственная сельскохозяйственная академия им. В.Р. Филиппова</w:t>
      </w:r>
    </w:p>
    <w:p w:rsidR="00F4654E" w:rsidRDefault="00F4654E">
      <w:pPr>
        <w:pStyle w:val="a6"/>
      </w:pPr>
      <w:r>
        <w:tab/>
        <w:t>В животноводстве для интенсификации воспроизводительной фун</w:t>
      </w:r>
      <w:r>
        <w:t>к</w:t>
      </w:r>
      <w:r>
        <w:t>ции самок все шире начали использовать эффективные биотехнологич</w:t>
      </w:r>
      <w:r>
        <w:t>е</w:t>
      </w:r>
      <w:r>
        <w:t>ские методы регуляции, в основу которых положены принципы экзогенной гормональной стимуляции фолликулогенеза и овуляции, стимуляции и синхронизации эструса, что, особенно, важно для решения проблемы п</w:t>
      </w:r>
      <w:r>
        <w:t>о</w:t>
      </w:r>
      <w:r>
        <w:t>вышения оплодотворяемости яйцеклеток у коров и телок, а также для б</w:t>
      </w:r>
      <w:r>
        <w:t>ы</w:t>
      </w:r>
      <w:r>
        <w:t>стрейшего восстановления половой функции коров после отела. Однако среди многих исследователей и практиков нет еще единого мнения об э</w:t>
      </w:r>
      <w:r>
        <w:t>ф</w:t>
      </w:r>
      <w:r>
        <w:t>фективности их действия. Известно, что при нарушении репродуктивной функции самок в крови животных изменяется уровень и соотношение го</w:t>
      </w:r>
      <w:r>
        <w:t>р</w:t>
      </w:r>
      <w:r>
        <w:t>монов, контролирующих процесс фолликулогенеза, проявление половых рефлексов, оплодотворяемость яйцеклеток, нидацию, имплантацию и ра</w:t>
      </w:r>
      <w:r>
        <w:t>з</w:t>
      </w:r>
      <w:r>
        <w:t>витие зигот. Углубленные экспериментальные исследования нейроэндо</w:t>
      </w:r>
      <w:r>
        <w:t>к</w:t>
      </w:r>
      <w:r>
        <w:t>ринной регуляции репродуктивной функции животных, достижения в из</w:t>
      </w:r>
      <w:r>
        <w:t>у</w:t>
      </w:r>
      <w:r>
        <w:t>чении химического состава гормонов и гормоноподобных веществ и ра</w:t>
      </w:r>
      <w:r>
        <w:t>з</w:t>
      </w:r>
      <w:r>
        <w:t>работка технологий их промышленного производства способствуют разр</w:t>
      </w:r>
      <w:r>
        <w:t>а</w:t>
      </w:r>
      <w:r>
        <w:t>ботке более эффективных методов управления процессами воспроизвед</w:t>
      </w:r>
      <w:r>
        <w:t>е</w:t>
      </w:r>
      <w:r>
        <w:t>ния сельскохозяйственных животных. Одним из биологически активных препаратов, рекомендуемых для регулирования воспроизводительной функции у коров и телок, является синтетический аналог простагландина Ф-2-альфа – эстрофан.</w:t>
      </w:r>
    </w:p>
    <w:p w:rsidR="00F4654E" w:rsidRDefault="00F4654E">
      <w:pPr>
        <w:pStyle w:val="a6"/>
      </w:pPr>
      <w:r>
        <w:t>В связи с вышеизложенным, нами была поставлена задача изучить и апробировать биотехнологические методы синхронизации половой охоты, ускорения овуляции и повышения оплодотворяемости коров, используя –эстрофан и синтетический аналог рилизинг-гормона – сурфагон.</w:t>
      </w:r>
    </w:p>
    <w:p w:rsidR="00F4654E" w:rsidRDefault="00F4654E">
      <w:pPr>
        <w:pStyle w:val="a6"/>
      </w:pPr>
      <w:r>
        <w:t>Исследования были проведены на животных симментальской породы на базе учхоза «Байкал» Бурятской государственной сельскохозяйственной академии им. В.Р. Филиппова. Для определения эффекта стимуляции п</w:t>
      </w:r>
      <w:r>
        <w:t>о</w:t>
      </w:r>
      <w:r>
        <w:t>ловой функции у коров в послеродовой период по принципу аналогов б</w:t>
      </w:r>
      <w:r>
        <w:t>ы</w:t>
      </w:r>
      <w:r>
        <w:t>ло подобрано 10 коров в возрасте от 4 до 7 лет.</w:t>
      </w:r>
    </w:p>
    <w:p w:rsidR="00F4654E" w:rsidRDefault="00F4654E">
      <w:pPr>
        <w:pStyle w:val="a6"/>
      </w:pPr>
      <w:r>
        <w:t>Состояние половых органов животных устанавливали ректальным м</w:t>
      </w:r>
      <w:r>
        <w:t>е</w:t>
      </w:r>
      <w:r>
        <w:t>тодом. При исследовании матки животных обращали внимание на ее ра</w:t>
      </w:r>
      <w:r>
        <w:t>с</w:t>
      </w:r>
      <w:r>
        <w:t>положение, величину, сократимость. При пальпации яичников определяли его подвижность, размеры, наличие желтых тел и фолликулов. Одновр</w:t>
      </w:r>
      <w:r>
        <w:t>е</w:t>
      </w:r>
      <w:r>
        <w:lastRenderedPageBreak/>
        <w:t>менно учитывали сроки и полноценность проявления стадий полового цикла у подопытных коров (течку, половое возбуждение, охоту). Течку у</w:t>
      </w:r>
      <w:r>
        <w:t>с</w:t>
      </w:r>
      <w:r>
        <w:t>танавливали по наличию выделения слизи из наружных половых органов. Половое возбуждение и охоту определяли по поведению животных (ре</w:t>
      </w:r>
      <w:r>
        <w:t>ф</w:t>
      </w:r>
      <w:r>
        <w:t>лексологическим методом). Синтетический аналог простагландина Ф-2-альфа-эстрофан вводили двукратно внутримышечно с интервалом 11 дней между инъекциями по 2 мл. Животных, проявивших эструс, после инъе</w:t>
      </w:r>
      <w:r>
        <w:t>к</w:t>
      </w:r>
      <w:r>
        <w:t>ции препарата – эстрофан осеменяли искусственно-ректоцервикальным  способом глубокозамороженной спермой, после предварительного ее о</w:t>
      </w:r>
      <w:r>
        <w:t>т</w:t>
      </w:r>
      <w:r>
        <w:t>таивания, дважды в одну половую охоту: первый раз осеменяли сразу п</w:t>
      </w:r>
      <w:r>
        <w:t>о</w:t>
      </w:r>
      <w:r>
        <w:t>сле выявления у них половой охоты и второй через 10-12 часов. Сразу же после осеменения коров вводили им препарат сурфагон 2 мл (синтетич</w:t>
      </w:r>
      <w:r>
        <w:t>е</w:t>
      </w:r>
      <w:r>
        <w:t>ский аналог рилизинг-гормона). Стельность у коров определяли через 60 дней после их осеменения.</w:t>
      </w:r>
    </w:p>
    <w:p w:rsidR="00F4654E" w:rsidRDefault="00F4654E">
      <w:pPr>
        <w:pStyle w:val="a6"/>
      </w:pPr>
      <w:r>
        <w:t>В результате проведенных исследований нами было выяснено, что первичная обработка эстрофаном 10 коров индуцировала эструс у 3-х ж</w:t>
      </w:r>
      <w:r>
        <w:t>и</w:t>
      </w:r>
      <w:r>
        <w:t>вотных (30%), которых соответственно осеменяли искусственно. Стел</w:t>
      </w:r>
      <w:r>
        <w:t>ь</w:t>
      </w:r>
      <w:r>
        <w:t>ность подтвердилась у 2-х коров (66,6%). После второго введения эстр</w:t>
      </w:r>
      <w:r>
        <w:t>о</w:t>
      </w:r>
      <w:r>
        <w:t>фана  через 11 дней проявили эструс 5 коров (71,4%). В последующем п</w:t>
      </w:r>
      <w:r>
        <w:t>о</w:t>
      </w:r>
      <w:r>
        <w:t>сле их осеменения стельность диагностировали у 3 коров (60%).</w:t>
      </w:r>
    </w:p>
    <w:p w:rsidR="00F4654E" w:rsidRDefault="00F4654E">
      <w:pPr>
        <w:pStyle w:val="a6"/>
      </w:pPr>
      <w:r>
        <w:t>Таким образом, из вышеизложенного можно сделать вывод, что после двукратного введения эстрофана с интервалом 11 дней, у 8 коров (80%) индуцировался эструс. Оплодотворяемость коров, проявивших эструс (8 коров) составила 75%. Следовательно, синтетический аналог простагла</w:t>
      </w:r>
      <w:r>
        <w:t>н</w:t>
      </w:r>
      <w:r>
        <w:t>дина Ф-2-альфа-эстрофан является эффективным препаратом, индуц</w:t>
      </w:r>
      <w:r>
        <w:t>и</w:t>
      </w:r>
      <w:r>
        <w:t xml:space="preserve">рующим эструс у коров, а синтетический аналог рилизинг-гормона-сурфагон ускоряет овуляторный процесс и соответственно, в результате чего повышается оплодотворяемость яйцеклеток у коров. </w:t>
      </w:r>
    </w:p>
    <w:p w:rsidR="00F4654E" w:rsidRDefault="00F4654E">
      <w:pPr>
        <w:pStyle w:val="a4"/>
      </w:pPr>
      <w:r>
        <w:t>УДК 619.618.19-002</w:t>
      </w:r>
    </w:p>
    <w:p w:rsidR="00F4654E" w:rsidRDefault="00F4654E">
      <w:pPr>
        <w:pStyle w:val="1"/>
      </w:pPr>
      <w:bookmarkStart w:id="401" w:name="_Toc10731087"/>
      <w:bookmarkStart w:id="402" w:name="_Toc10731748"/>
      <w:bookmarkStart w:id="403" w:name="_Toc10891581"/>
      <w:bookmarkStart w:id="404" w:name="_Toc10892256"/>
      <w:bookmarkStart w:id="405" w:name="_Toc11390119"/>
      <w:bookmarkStart w:id="406" w:name="_Toc11839760"/>
      <w:bookmarkStart w:id="407" w:name="_Toc11937296"/>
      <w:r>
        <w:t>ФАРМАКОКОРРЕКЦИЯ ЛИМФОЦИТАРНОГО ЗВЕНА ИММУНИТЕТА У КОРОВ ПРИ ЭНДОМЕТРИТАХ</w:t>
      </w:r>
      <w:bookmarkEnd w:id="401"/>
      <w:bookmarkEnd w:id="402"/>
      <w:bookmarkEnd w:id="403"/>
      <w:bookmarkEnd w:id="404"/>
      <w:bookmarkEnd w:id="405"/>
      <w:bookmarkEnd w:id="406"/>
      <w:bookmarkEnd w:id="407"/>
    </w:p>
    <w:p w:rsidR="00F4654E" w:rsidRDefault="00F4654E">
      <w:pPr>
        <w:pStyle w:val="2"/>
      </w:pPr>
      <w:bookmarkStart w:id="408" w:name="_Toc10731088"/>
      <w:bookmarkStart w:id="409" w:name="_Toc10731749"/>
      <w:bookmarkStart w:id="410" w:name="_Toc10891582"/>
      <w:bookmarkStart w:id="411" w:name="_Toc10892257"/>
      <w:bookmarkStart w:id="412" w:name="_Toc11390120"/>
      <w:bookmarkStart w:id="413" w:name="_Toc11937297"/>
      <w:r>
        <w:t>Андреева А.В.</w:t>
      </w:r>
      <w:bookmarkEnd w:id="408"/>
      <w:bookmarkEnd w:id="409"/>
      <w:bookmarkEnd w:id="410"/>
      <w:bookmarkEnd w:id="411"/>
      <w:bookmarkEnd w:id="412"/>
      <w:bookmarkEnd w:id="413"/>
    </w:p>
    <w:p w:rsidR="00F4654E" w:rsidRDefault="00F4654E">
      <w:pPr>
        <w:pStyle w:val="a5"/>
      </w:pPr>
      <w:r>
        <w:t xml:space="preserve"> Башкирский государственный аграрный университет</w:t>
      </w:r>
    </w:p>
    <w:p w:rsidR="00F4654E" w:rsidRDefault="00F4654E">
      <w:pPr>
        <w:pStyle w:val="a6"/>
      </w:pPr>
      <w:r>
        <w:t>Известно, что многие болезни, в том числе и эндометриты, сопрово</w:t>
      </w:r>
      <w:r>
        <w:t>ж</w:t>
      </w:r>
      <w:r>
        <w:t>даются развитием в организме иммунодефицитных состояний. Химиот</w:t>
      </w:r>
      <w:r>
        <w:t>е</w:t>
      </w:r>
      <w:r>
        <w:t>рапевтическое вмешательство способствует дальнейшему развитию имм</w:t>
      </w:r>
      <w:r>
        <w:t>у</w:t>
      </w:r>
      <w:r>
        <w:t>нодепрессии. Вместе с тем сведения об иммунологических сдвигах при э</w:t>
      </w:r>
      <w:r>
        <w:t>н</w:t>
      </w:r>
      <w:r>
        <w:t xml:space="preserve">дометритах коров весьма ограничены и противоречивы. </w:t>
      </w:r>
    </w:p>
    <w:p w:rsidR="00F4654E" w:rsidRDefault="00F4654E">
      <w:pPr>
        <w:pStyle w:val="a6"/>
      </w:pPr>
      <w:r>
        <w:t>В связи с этим целью наших исследований явилось изучение лимф</w:t>
      </w:r>
      <w:r>
        <w:t>о</w:t>
      </w:r>
      <w:r>
        <w:t>цитарной реакции организма коров при эндометритах до, и после прим</w:t>
      </w:r>
      <w:r>
        <w:t>е</w:t>
      </w:r>
      <w:r>
        <w:t xml:space="preserve">нения химио- и иммунотерапии. </w:t>
      </w:r>
    </w:p>
    <w:p w:rsidR="00F4654E" w:rsidRDefault="00F4654E">
      <w:pPr>
        <w:pStyle w:val="a6"/>
      </w:pPr>
      <w:r>
        <w:lastRenderedPageBreak/>
        <w:t>Для достижения поставленной цели были проведены опыты на 5 группах животных, разделенных по принципу аналогов: 1 группа – ко</w:t>
      </w:r>
      <w:r>
        <w:t>н</w:t>
      </w:r>
      <w:r>
        <w:t>трольная (здоровые животные), 2 группа – контрольная (больные живо</w:t>
      </w:r>
      <w:r>
        <w:t>т</w:t>
      </w:r>
      <w:r>
        <w:t>ные, не подвергнутые лечению), 3-5 группы – больные эндометритом и л</w:t>
      </w:r>
      <w:r>
        <w:t>е</w:t>
      </w:r>
      <w:r>
        <w:t>ченные по разным схемам: животным 3 группы – внутриматочно вводили водно-спиртово-масляную эмульсию прополиса с добавлением по 0,2 г этакридина лактата (ВСМЭПсЭЛ); в 4 группе – на фоне иммуностимул</w:t>
      </w:r>
      <w:r>
        <w:t>я</w:t>
      </w:r>
      <w:r>
        <w:t>ции прополисным молочком внутриматочно применяли ВСМЭПсЭЛ; в 5 группе–на фоне иммуностимуляции пробиотиком «лактобифид» внутр</w:t>
      </w:r>
      <w:r>
        <w:t>и</w:t>
      </w:r>
      <w:r>
        <w:t>маточно вводили также ВСМЭПсЭЛ. До начала опыта, а затем через 7, 14, 21, 35, 60 и 90 дней от начала опыта проводилось взятие крови для имм</w:t>
      </w:r>
      <w:r>
        <w:t>у</w:t>
      </w:r>
      <w:r>
        <w:t>нологических исследований. Лимфоциты выделяли разделением в град</w:t>
      </w:r>
      <w:r>
        <w:t>и</w:t>
      </w:r>
      <w:r>
        <w:t>енте плотности фиколл-верографин (плотность 1,007 г/мл). Определение Т - и В - лимфоцитов проводили в реакции розеткообразования (по Mendes et al., 1973). Оценку субпопуляций Т-лимфоцитов – в реакции розеткообраз</w:t>
      </w:r>
      <w:r>
        <w:t>о</w:t>
      </w:r>
      <w:r>
        <w:t>вания с теофилл</w:t>
      </w:r>
      <w:r>
        <w:t>и</w:t>
      </w:r>
      <w:r>
        <w:t>ном (S.Limantibul et al.,1978).</w:t>
      </w:r>
    </w:p>
    <w:p w:rsidR="00F4654E" w:rsidRDefault="00F4654E">
      <w:pPr>
        <w:pStyle w:val="a6"/>
        <w:rPr>
          <w:spacing w:val="-2"/>
        </w:rPr>
      </w:pPr>
      <w:r>
        <w:t>Результаты исследований показали, что у животных 1 группы Т-Е-РОК-лимфоциты находились на уровне 45,6</w:t>
      </w:r>
      <w:r>
        <w:sym w:font="Symbol" w:char="F0B1"/>
      </w:r>
      <w:r>
        <w:t>0,21 – 47,0</w:t>
      </w:r>
      <w:r>
        <w:sym w:font="Symbol" w:char="F0B1"/>
      </w:r>
      <w:r>
        <w:t>1,07%, Т- хелперы –22,8</w:t>
      </w:r>
      <w:r>
        <w:sym w:font="Symbol" w:char="F0B1"/>
      </w:r>
      <w:r>
        <w:t>0,43%, Т-супрессоры – от 11,8</w:t>
      </w:r>
      <w:r>
        <w:sym w:font="Symbol" w:char="F0B1"/>
      </w:r>
      <w:r>
        <w:t>0,39 до 12,3</w:t>
      </w:r>
      <w:r>
        <w:sym w:font="Symbol" w:char="F0B1"/>
      </w:r>
      <w:r>
        <w:t>0,21%, В-ЕАС-лимфоциты – 16,6</w:t>
      </w:r>
      <w:r>
        <w:sym w:font="Symbol" w:char="F0B1"/>
      </w:r>
      <w:r>
        <w:t>0,21%. В течение всего срока исследований достове</w:t>
      </w:r>
      <w:r>
        <w:t>р</w:t>
      </w:r>
      <w:r>
        <w:t>ных изменений не отмечалось. Во второй группе животных с 14 дня опыта и до конца сроков исследований отмечалось динамичное снижение соде</w:t>
      </w:r>
      <w:r>
        <w:t>р</w:t>
      </w:r>
      <w:r>
        <w:t>жания Т-Е-РОК-лимфоцитов, что на 90 день опыта составило 40% по о</w:t>
      </w:r>
      <w:r>
        <w:t>т</w:t>
      </w:r>
      <w:r>
        <w:t>ношению к 1 группе, содержание Т-хелперов достоверно снижалось с 7 дня опыта и к 90 дню исследований составило 47% от фоновых показат</w:t>
      </w:r>
      <w:r>
        <w:t>е</w:t>
      </w:r>
      <w:r>
        <w:t>лей, содержание Т-супрессоров на 35 и 90 дни было в 1,6 и 1,98 раза бол</w:t>
      </w:r>
      <w:r>
        <w:t>ь</w:t>
      </w:r>
      <w:r>
        <w:t>ше показателей животных 1 группы. Также отмечалось достоверное сн</w:t>
      </w:r>
      <w:r>
        <w:t>и</w:t>
      </w:r>
      <w:r>
        <w:t>жение В-ЕАС-лимфоцитов, содержание которых на 90 день исследований составило 5,2</w:t>
      </w:r>
      <w:r>
        <w:sym w:font="Symbol" w:char="F0B1"/>
      </w:r>
      <w:r>
        <w:t>0,21%. В 3-ей группе животных с 7 дня опыта отмечалась активизация Т-Е-РОК-лимфоцитов, содержание их на 14 день было выше фоновых показателей в 1,54 раза, на 90 день – в 1,77 раза. С 7 дня опыта отмечалась активизация Т-хелперов и на 35 день опыта они приблизились к уровню здоровых животных. Отмечалось затормаживание Т-супрессоров с 7 дня опыта. На 90-й день эти показатели были ниже  фоновых показат</w:t>
      </w:r>
      <w:r>
        <w:t>е</w:t>
      </w:r>
      <w:r>
        <w:t>лей в 1,29 раза, уступив при этом контрольным животным на 6%. Соде</w:t>
      </w:r>
      <w:r>
        <w:t>р</w:t>
      </w:r>
      <w:r>
        <w:t>жание В-ЕАС-лимфоцитов с 7 дня имело тенденцию к повышению и на 21 день опыта достигло показателей животных 1 группы, превысив фоновый уровень в 1,65 раза. Наибольшей активности Т- и В- лимфоциты достигли в крови у животных 4 и 5 групп. Баланс иммунореактивных Т- и В- ли</w:t>
      </w:r>
      <w:r>
        <w:t>м</w:t>
      </w:r>
      <w:r>
        <w:t>фоцитов в этих группах устанавливался к 14 дню опыта. К указанному сроку Т-Е-РОК-лимфоциты в крови животных этих групп превышали п</w:t>
      </w:r>
      <w:r>
        <w:t>о</w:t>
      </w:r>
      <w:r>
        <w:t xml:space="preserve">казатели коров 1 и 2 групп, соответственно по 4 группе в 1,06 и 2,05 раза, по 5 группе - в 1,07 и 2,08 раза; Т-хелперы - по 4 группе в 1,13 и 2,02 раза, </w:t>
      </w:r>
      <w:r>
        <w:lastRenderedPageBreak/>
        <w:t>по 5 группе – в 1,19 и 2,11 раза; В-ЕАС-лимфоциты по 4 группе – в 1,19 и 2,18 раза, по 5 группе – в 1,4 и 2,56 раза. На 21 день опыта уровень Т-Е-РОК-лимфоцитов в крови животных 4 и 5 групп превышал показатели к</w:t>
      </w:r>
      <w:r>
        <w:t>о</w:t>
      </w:r>
      <w:r>
        <w:t>ров 1 и 2 групп: по 4группе - в 1,27 и 2,81 раза, по 5 группе - в 1,33 и 2,93 раза, по Т-хелперам в 4 группе - в 1,24 и 2,76 раза, в 5 группе – в 1,43 и 3,17 раза, соответственно; по В-ЕАС-лимфоцитам – в 4 группе в 1,27 и 2,81 раза, в 5 группе – в 1,22 и 2,71 раза. К 60-му дню опыта разница в крови коров 4 и 5 групп по отношению к животным 1 и 2 групп составила: по Т-Е-РОК-лимфоцитам в 1,25 и 1,2 раза, по Т-хелперам - в 1,38 и 1,29 раза, по В-ЕАС-лимфоцитам - в 1,4 и 1,28 раза, соответственно. Содержание Т-супрессоров к 35 дню опыта соответствовало показателям 1 группы ж</w:t>
      </w:r>
      <w:r>
        <w:t>и</w:t>
      </w:r>
      <w:r>
        <w:t xml:space="preserve">вотных и до конца опыта находилось на уровне физиологической нормы, уступив показателям животных 2 группы на 60 день - в 1,92 и 1,84 раза, на 90 день - опыта в 2,03 и 1,98 раза. </w:t>
      </w:r>
      <w:r>
        <w:rPr>
          <w:spacing w:val="-2"/>
        </w:rPr>
        <w:t>До конца опыта содержание Т-Е-РОК-лимфоцитов, Т-хелперов, В-ЕАС-лимфоцитов в крови животных 4 и 5 групп оставалось на высоком физиологическом уровне и значительно превышало показатели животных 2 группы (по Т-Е-РОК-лимфоцитам - в 3,35 и 3,26 раза, по Т-хелперам - в 4,11 и 3,9 раза, по В-ЕАС-лимфоцитам – в 4,19 и 3,86 раза, соответстве</w:t>
      </w:r>
      <w:r>
        <w:rPr>
          <w:spacing w:val="-2"/>
        </w:rPr>
        <w:t>н</w:t>
      </w:r>
      <w:r>
        <w:rPr>
          <w:spacing w:val="-2"/>
        </w:rPr>
        <w:t>но).</w:t>
      </w:r>
    </w:p>
    <w:p w:rsidR="00F4654E" w:rsidRDefault="00F4654E">
      <w:pPr>
        <w:pStyle w:val="a6"/>
      </w:pPr>
      <w:r>
        <w:t>Таким образом, анализ представленных данных позволяет сделать з</w:t>
      </w:r>
      <w:r>
        <w:t>а</w:t>
      </w:r>
      <w:r>
        <w:t>ключение, что эндометриты приводят к глубоким вторичным иммунод</w:t>
      </w:r>
      <w:r>
        <w:t>е</w:t>
      </w:r>
      <w:r>
        <w:t>фицитам в организме у коров, сопровождающимся дисбалансом иммун</w:t>
      </w:r>
      <w:r>
        <w:t>о</w:t>
      </w:r>
      <w:r>
        <w:t>компетентных Т- и В-лимфоцитов и их субпопуляций. Наиболее эффе</w:t>
      </w:r>
      <w:r>
        <w:t>к</w:t>
      </w:r>
      <w:r>
        <w:t>тивным методом лечения и коррекции иммунной системы при эндометр</w:t>
      </w:r>
      <w:r>
        <w:t>и</w:t>
      </w:r>
      <w:r>
        <w:t>тах коров является применение водно-спиртово-масляной эмульсии пр</w:t>
      </w:r>
      <w:r>
        <w:t>о</w:t>
      </w:r>
      <w:r>
        <w:t xml:space="preserve">полиса с этакридина лактатом на фоне иммуностимуляции прополисным молочком и пробиотиком. </w:t>
      </w:r>
    </w:p>
    <w:p w:rsidR="00F4654E" w:rsidRDefault="00F4654E">
      <w:pPr>
        <w:pStyle w:val="a4"/>
      </w:pPr>
      <w:r>
        <w:t>УДК 619. 615. 37. 619.618</w:t>
      </w:r>
    </w:p>
    <w:p w:rsidR="00F4654E" w:rsidRDefault="00F4654E">
      <w:pPr>
        <w:pStyle w:val="1"/>
      </w:pPr>
      <w:bookmarkStart w:id="414" w:name="_Toc10731085"/>
      <w:bookmarkStart w:id="415" w:name="_Toc10731746"/>
      <w:bookmarkStart w:id="416" w:name="_Toc10891579"/>
      <w:bookmarkStart w:id="417" w:name="_Toc10892254"/>
      <w:bookmarkStart w:id="418" w:name="_Toc11390117"/>
      <w:bookmarkStart w:id="419" w:name="_Toc11839762"/>
      <w:bookmarkStart w:id="420" w:name="_Toc11937298"/>
      <w:r>
        <w:t>ВЛИЯНИЕ СОЧЕТАННОГО ПРИМЕНЕНИЯ ИММУНОСТИМУЛЯТОРОВ НА ПОКАЗАТЕЛИ БАКТЕРИЦИДНОЙ, ЛИЗОЦИМНОЙ АКТИВНОСТИ СЫВОРОТКИ КРОВИ И ФАГОЦИТАРНОЙ АКТИВНОСТИ ЛЕЙКОЦИТОВ</w:t>
      </w:r>
      <w:bookmarkEnd w:id="414"/>
      <w:bookmarkEnd w:id="415"/>
      <w:bookmarkEnd w:id="416"/>
      <w:bookmarkEnd w:id="417"/>
      <w:bookmarkEnd w:id="418"/>
      <w:bookmarkEnd w:id="419"/>
      <w:bookmarkEnd w:id="420"/>
    </w:p>
    <w:p w:rsidR="00F4654E" w:rsidRDefault="00F4654E">
      <w:pPr>
        <w:pStyle w:val="2"/>
      </w:pPr>
      <w:bookmarkStart w:id="421" w:name="_Toc10731086"/>
      <w:bookmarkStart w:id="422" w:name="_Toc10731747"/>
      <w:bookmarkStart w:id="423" w:name="_Toc10891580"/>
      <w:bookmarkStart w:id="424" w:name="_Toc10892255"/>
      <w:bookmarkStart w:id="425" w:name="_Toc11390118"/>
      <w:bookmarkStart w:id="426" w:name="_Toc11937299"/>
      <w:r>
        <w:t>Андреева А.В.</w:t>
      </w:r>
      <w:bookmarkEnd w:id="421"/>
      <w:bookmarkEnd w:id="422"/>
      <w:bookmarkEnd w:id="423"/>
      <w:bookmarkEnd w:id="424"/>
      <w:bookmarkEnd w:id="425"/>
      <w:bookmarkEnd w:id="426"/>
    </w:p>
    <w:p w:rsidR="00F4654E" w:rsidRDefault="00F4654E">
      <w:pPr>
        <w:pStyle w:val="a5"/>
      </w:pPr>
      <w:r>
        <w:t>Башкирский государственный аграрный университет</w:t>
      </w:r>
    </w:p>
    <w:p w:rsidR="00F4654E" w:rsidRDefault="00F4654E">
      <w:pPr>
        <w:pStyle w:val="a6"/>
      </w:pPr>
      <w:r>
        <w:t>Профилактика и лечение послеродовых осложнений является акт</w:t>
      </w:r>
      <w:r>
        <w:t>у</w:t>
      </w:r>
      <w:r>
        <w:t>альной проблемой современного скотоводства. Патология органов воспр</w:t>
      </w:r>
      <w:r>
        <w:t>о</w:t>
      </w:r>
      <w:r>
        <w:t>изводства, в т.ч. послеродовая, приводит к снижению продуктивности ж</w:t>
      </w:r>
      <w:r>
        <w:t>и</w:t>
      </w:r>
      <w:r>
        <w:t>вотных, качества такого диетического продукта как молоко и в конечном итоге к бесплодию. Из-за чего сельскохозяйственные предприятия несут большой экономический ущерб.</w:t>
      </w:r>
    </w:p>
    <w:p w:rsidR="00F4654E" w:rsidRDefault="00F4654E">
      <w:pPr>
        <w:pStyle w:val="a6"/>
      </w:pPr>
      <w:r>
        <w:t>На сегодняшний день создано и применяется много различных преп</w:t>
      </w:r>
      <w:r>
        <w:t>а</w:t>
      </w:r>
      <w:r>
        <w:t>ратов для лечения и профилактики эндометритов у коров. Эти лекарстве</w:t>
      </w:r>
      <w:r>
        <w:t>н</w:t>
      </w:r>
      <w:r>
        <w:lastRenderedPageBreak/>
        <w:t>ные средства выпускаются в различных формах и содержат отдельные и комбинации антибактериальных веществ (антибиотики, сульфаниламиды, нитрофураны, гормоны и др.). Многие используемые в таких случаях сре</w:t>
      </w:r>
      <w:r>
        <w:t>д</w:t>
      </w:r>
      <w:r>
        <w:t>ства утратили свою эффективность, к другим в силу их длительного пр</w:t>
      </w:r>
      <w:r>
        <w:t>и</w:t>
      </w:r>
      <w:r>
        <w:t>менения у микроорганизмов возникла лекарственная устойчивость. Кроме того, применение широкого спектра химиотерапевтических препаратов без должного иммунологического контроля также способствует снижению е</w:t>
      </w:r>
      <w:r>
        <w:t>с</w:t>
      </w:r>
      <w:r>
        <w:t>тественной резистентности организма и развитию у животных иммунод</w:t>
      </w:r>
      <w:r>
        <w:t>е</w:t>
      </w:r>
      <w:r>
        <w:t>прессии. Поэтому больше внимания следует уделять медикаментозной профилактике и лечению болезни с одновременным контролем состояния естественной резистентности организма животных.</w:t>
      </w:r>
    </w:p>
    <w:p w:rsidR="00F4654E" w:rsidRDefault="00F4654E">
      <w:pPr>
        <w:pStyle w:val="a6"/>
      </w:pPr>
      <w:r>
        <w:t>Наряду с уже известными и применяемыми лекарственными препар</w:t>
      </w:r>
      <w:r>
        <w:t>а</w:t>
      </w:r>
      <w:r>
        <w:t>тами, в последнее время ученые широко используют и апробируют имм</w:t>
      </w:r>
      <w:r>
        <w:t>у</w:t>
      </w:r>
      <w:r>
        <w:t>ностимуляторы, для лечения животных с различными заболеваниями.</w:t>
      </w:r>
    </w:p>
    <w:p w:rsidR="00F4654E" w:rsidRDefault="00F4654E">
      <w:pPr>
        <w:pStyle w:val="a6"/>
      </w:pPr>
      <w:r>
        <w:t>В связи с вышеизложенным целью наших исследований явилось из</w:t>
      </w:r>
      <w:r>
        <w:t>у</w:t>
      </w:r>
      <w:r>
        <w:t>чение влияния сочетанного применения иммуностимуляторов с этиопат</w:t>
      </w:r>
      <w:r>
        <w:t>о</w:t>
      </w:r>
      <w:r>
        <w:t>генетическими средствами лечения на состояние естественной резистен</w:t>
      </w:r>
      <w:r>
        <w:t>т</w:t>
      </w:r>
      <w:r>
        <w:t>ности коров, больных эндометритом.</w:t>
      </w:r>
    </w:p>
    <w:p w:rsidR="00F4654E" w:rsidRDefault="00F4654E">
      <w:pPr>
        <w:pStyle w:val="a6"/>
        <w:rPr>
          <w:spacing w:val="-2"/>
        </w:rPr>
      </w:pPr>
      <w:r>
        <w:rPr>
          <w:spacing w:val="-2"/>
        </w:rPr>
        <w:t>Опыты по изучению влияния сочетанного применения иммуностим</w:t>
      </w:r>
      <w:r>
        <w:rPr>
          <w:spacing w:val="-2"/>
        </w:rPr>
        <w:t>у</w:t>
      </w:r>
      <w:r>
        <w:rPr>
          <w:spacing w:val="-2"/>
        </w:rPr>
        <w:t>ляторов на состояние естественной резистентности организма коров, бол</w:t>
      </w:r>
      <w:r>
        <w:rPr>
          <w:spacing w:val="-2"/>
        </w:rPr>
        <w:t>ь</w:t>
      </w:r>
      <w:r>
        <w:rPr>
          <w:spacing w:val="-2"/>
        </w:rPr>
        <w:t>ных эндометритом, проведены на 5 группах животных, подобранных по принципу аналогов. Первая группа коров служила контрольной (здоровые животные), 2 группа животных–контрольная (больные, не подвергнутые л</w:t>
      </w:r>
      <w:r>
        <w:rPr>
          <w:spacing w:val="-2"/>
        </w:rPr>
        <w:t>е</w:t>
      </w:r>
      <w:r>
        <w:rPr>
          <w:spacing w:val="-2"/>
        </w:rPr>
        <w:t>чению), 3-5 группы–больные эндометритом и леченные по разным схемам: животным 3 группы – внутриматочно вводили водно-спиртово-мас-ляную эмульсию прополиса с добавлением по 0,2 г этакридина лактата (ВСМЭ</w:t>
      </w:r>
      <w:r>
        <w:rPr>
          <w:spacing w:val="-2"/>
        </w:rPr>
        <w:t>П</w:t>
      </w:r>
      <w:r>
        <w:rPr>
          <w:spacing w:val="-2"/>
        </w:rPr>
        <w:t>сЭЛ); в 4 группе – на фоне иммуностимуляции прополисным молочком (выпаивание прополисного молочка проводили по 80-100 мл один раз в день перед кормлением в течение 7 дней) внутриматочно применяли ВСМЭ</w:t>
      </w:r>
      <w:r>
        <w:rPr>
          <w:spacing w:val="-2"/>
        </w:rPr>
        <w:t>П</w:t>
      </w:r>
      <w:r>
        <w:rPr>
          <w:spacing w:val="-2"/>
        </w:rPr>
        <w:t>сЭЛ; в 5 группе – на фоне иммуностимуляции пробиотиком «лактобифид» внутриматочно вводили также ВСМЭПсЭЛ. Взятие крови для исследований проводили до начала опытов, а затем через 7, 14, 21, 35, 60 и 90 дней от н</w:t>
      </w:r>
      <w:r>
        <w:rPr>
          <w:spacing w:val="-2"/>
        </w:rPr>
        <w:t>а</w:t>
      </w:r>
      <w:r>
        <w:rPr>
          <w:spacing w:val="-2"/>
        </w:rPr>
        <w:t>чала опытов. Определение бактерицидной активность сыворотки крови проводили по П.А.Емельяненко (1980), лизоцимной активности сыворотки крови по В.Г.Дорофейчуку. Объектом фагоцитоза служили суточные кул</w:t>
      </w:r>
      <w:r>
        <w:rPr>
          <w:spacing w:val="-2"/>
        </w:rPr>
        <w:t>ь</w:t>
      </w:r>
      <w:r>
        <w:rPr>
          <w:spacing w:val="-2"/>
        </w:rPr>
        <w:t>туры Staphylococcus auerus, выращенные на агаре Хоттинг</w:t>
      </w:r>
      <w:r>
        <w:rPr>
          <w:spacing w:val="-2"/>
        </w:rPr>
        <w:t>е</w:t>
      </w:r>
      <w:r>
        <w:rPr>
          <w:spacing w:val="-2"/>
        </w:rPr>
        <w:t>ра.</w:t>
      </w:r>
    </w:p>
    <w:p w:rsidR="00A11B7B" w:rsidRDefault="00F4654E">
      <w:pPr>
        <w:pStyle w:val="a6"/>
      </w:pPr>
      <w:r>
        <w:t>Установлено, что бактерицидная активность сыворотки крови коров 1</w:t>
      </w:r>
      <w:r w:rsidR="00A11B7B">
        <w:t xml:space="preserve">-ой </w:t>
      </w:r>
      <w:r>
        <w:t>группы к началу опытов составила 43,6</w:t>
      </w:r>
      <w:r>
        <w:sym w:font="Symbol" w:char="F0B1"/>
      </w:r>
      <w:r>
        <w:t>0,83% и в последующие ср</w:t>
      </w:r>
      <w:r>
        <w:t>о</w:t>
      </w:r>
      <w:r>
        <w:t>ки исследований достоверных изменений не имела. У коров, больных э</w:t>
      </w:r>
      <w:r>
        <w:t>н</w:t>
      </w:r>
      <w:r>
        <w:t>дометритом (2-5 группы), показатели бактерицидной активности сыворо</w:t>
      </w:r>
      <w:r>
        <w:t>т</w:t>
      </w:r>
      <w:r>
        <w:t>ки кр</w:t>
      </w:r>
      <w:r>
        <w:t>о</w:t>
      </w:r>
      <w:r>
        <w:t>ви к началу опытов колебались от 24.5</w:t>
      </w:r>
      <w:r>
        <w:sym w:font="Symbol" w:char="F0B1"/>
      </w:r>
      <w:r>
        <w:t>1,14 до 27,8</w:t>
      </w:r>
      <w:r>
        <w:sym w:font="Symbol" w:char="F0B1"/>
      </w:r>
      <w:r>
        <w:t>1,3%. Во 2</w:t>
      </w:r>
      <w:r w:rsidR="00A11B7B">
        <w:t>-ой</w:t>
      </w:r>
      <w:r>
        <w:t xml:space="preserve"> группе животных, не подвергнутых лечению, указанный показатель имел тенденцию к динамичному снижению и на 90 день от начала опытов с</w:t>
      </w:r>
      <w:r>
        <w:t>о</w:t>
      </w:r>
      <w:r>
        <w:lastRenderedPageBreak/>
        <w:t>ставил 8,7</w:t>
      </w:r>
      <w:r>
        <w:sym w:font="Symbol" w:char="F0B1"/>
      </w:r>
      <w:r>
        <w:t>1,08% (в 2,81 раза ниже фонового уровня и в 5,01 раза ниже п</w:t>
      </w:r>
      <w:r>
        <w:t>о</w:t>
      </w:r>
      <w:r>
        <w:t>казат</w:t>
      </w:r>
      <w:r>
        <w:t>е</w:t>
      </w:r>
      <w:r>
        <w:t>лей здоровых животных). Выраженное повышение бактерицидной акти</w:t>
      </w:r>
      <w:r>
        <w:t>в</w:t>
      </w:r>
      <w:r>
        <w:t>ности сыворотки крови отмечалось в крови животных 3</w:t>
      </w:r>
      <w:r w:rsidR="00A11B7B">
        <w:t>-ей</w:t>
      </w:r>
      <w:r>
        <w:t xml:space="preserve"> группы. Пик её наблюдался на 21 и 60 дни от начала опытов, однако эти показатели были ниже уровня контрольных животных на 2,4 и 4,7%. Самые высокие показ</w:t>
      </w:r>
      <w:r>
        <w:t>а</w:t>
      </w:r>
      <w:r>
        <w:t>тели бактерицидной активности установлены в крови животных 4</w:t>
      </w:r>
      <w:r w:rsidR="00A11B7B">
        <w:t>-ой</w:t>
      </w:r>
      <w:r>
        <w:t xml:space="preserve"> и 5</w:t>
      </w:r>
      <w:r w:rsidR="00A11B7B">
        <w:t>-ой</w:t>
      </w:r>
      <w:r>
        <w:t xml:space="preserve"> групп, где превышение по сравнению с фоновым уровнем на 7, 14, 21, 35, 60 и 90 дни от начала опытов составило: в 1.4 и 1.41 раза (на 11,0 и 11,3%); в 1.84 раза (на 22,8 и 23,0%); в 1,91 и 1,9 раза (на 24,7 и 24,6%); в 1,94 и 1,96 раза (на 25.4 и 26,3%); в 1,87 и 1,91 раза (на 23,5 и 25,1%); в 1,82 и 1,79 раза (на 22,3 и 21,6%), соответственно. На 14 день опытов ук</w:t>
      </w:r>
      <w:r>
        <w:t>а</w:t>
      </w:r>
      <w:r>
        <w:t>занный показатель превысил уровень контрольных животных в 1,12 и 1,13 раза (на 5,5 и 6,1%). Их максимальное значение (52,3</w:t>
      </w:r>
      <w:r>
        <w:sym w:font="Symbol" w:char="F0B1"/>
      </w:r>
      <w:r>
        <w:t>1,5 и 53,6</w:t>
      </w:r>
      <w:r>
        <w:sym w:font="Symbol" w:char="F0B1"/>
      </w:r>
      <w:r>
        <w:t>2,0%) выявлено на 35 день от начала опытов, превышающее показ</w:t>
      </w:r>
      <w:r>
        <w:t>а</w:t>
      </w:r>
      <w:r>
        <w:t>тели 1</w:t>
      </w:r>
      <w:r w:rsidR="00A11B7B">
        <w:t>-ой</w:t>
      </w:r>
      <w:r>
        <w:t xml:space="preserve"> группы в 1,17 и 1,2 раза (на 7,7 и 9,0%), соответственно. Бакт</w:t>
      </w:r>
      <w:r>
        <w:t>е</w:t>
      </w:r>
      <w:r>
        <w:t>рицидная акти</w:t>
      </w:r>
      <w:r>
        <w:t>в</w:t>
      </w:r>
      <w:r>
        <w:t>ность сыворотки крови в 4 и 5 группах животных до конца опытов оставался на высоком уровне, превышая данные животных 1</w:t>
      </w:r>
      <w:r w:rsidR="00A11B7B">
        <w:t>-ой</w:t>
      </w:r>
      <w:r>
        <w:t xml:space="preserve"> группы на 5,0 и 4,7%, соответственно. </w:t>
      </w:r>
    </w:p>
    <w:p w:rsidR="00F4654E" w:rsidRPr="00A11B7B" w:rsidRDefault="00F4654E">
      <w:pPr>
        <w:pStyle w:val="a6"/>
      </w:pPr>
      <w:r>
        <w:t>Лизоцимная активность сыворотки крови животных 1</w:t>
      </w:r>
      <w:r w:rsidR="00A11B7B">
        <w:t>-ой</w:t>
      </w:r>
      <w:r>
        <w:t xml:space="preserve"> группы к н</w:t>
      </w:r>
      <w:r>
        <w:t>а</w:t>
      </w:r>
      <w:r w:rsidRPr="00A11B7B">
        <w:t>чалу опытов составила 11,6</w:t>
      </w:r>
      <w:r w:rsidRPr="00A11B7B">
        <w:sym w:font="Symbol" w:char="F0B1"/>
      </w:r>
      <w:r w:rsidRPr="00A11B7B">
        <w:t>0,17% и в п</w:t>
      </w:r>
      <w:r w:rsidRPr="00A11B7B">
        <w:t>о</w:t>
      </w:r>
      <w:r w:rsidRPr="00A11B7B">
        <w:t>следующие сроки исследований достоверных изменений не выявлено. У коров, больных эндометритом (2-5 группы), значение указанного показат</w:t>
      </w:r>
      <w:r w:rsidRPr="00A11B7B">
        <w:t>е</w:t>
      </w:r>
      <w:r w:rsidRPr="00A11B7B">
        <w:t>ля было в 1,9-2,46 раза ниже уровня здоровых животных. Во 2</w:t>
      </w:r>
      <w:r w:rsidR="00A11B7B" w:rsidRPr="00A11B7B">
        <w:t>-ой</w:t>
      </w:r>
      <w:r w:rsidRPr="00A11B7B">
        <w:t xml:space="preserve"> группе животных уровень лизоцимной а</w:t>
      </w:r>
      <w:r w:rsidRPr="00A11B7B">
        <w:t>к</w:t>
      </w:r>
      <w:r w:rsidRPr="00A11B7B">
        <w:t>тивн</w:t>
      </w:r>
      <w:r w:rsidRPr="00A11B7B">
        <w:t>о</w:t>
      </w:r>
      <w:r w:rsidRPr="00A11B7B">
        <w:t>сти сыворотки крови интенсивно снижался и на 60, 90 дни опытов уступал контрольным животным в 5,12 и 5,27 раза (на 10,3 и 9,4%). Дин</w:t>
      </w:r>
      <w:r w:rsidRPr="00A11B7B">
        <w:t>а</w:t>
      </w:r>
      <w:r w:rsidRPr="00A11B7B">
        <w:t>мичное повышение уровня лизоцимной активности наблюдалось в 3</w:t>
      </w:r>
      <w:r w:rsidR="00A11B7B" w:rsidRPr="00A11B7B">
        <w:t>-ей</w:t>
      </w:r>
      <w:r w:rsidRPr="00A11B7B">
        <w:t xml:space="preserve"> группе животных, где на 14 день опытов этот показатель превышал ур</w:t>
      </w:r>
      <w:r w:rsidRPr="00A11B7B">
        <w:t>о</w:t>
      </w:r>
      <w:r w:rsidRPr="00A11B7B">
        <w:t>вень контрольных в 1,09 раза (на 1,2%). Их максимум установлен на 35 день опыта и составил 15,3</w:t>
      </w:r>
      <w:r w:rsidRPr="00A11B7B">
        <w:sym w:font="Symbol" w:char="F0B1"/>
      </w:r>
      <w:r w:rsidRPr="00A11B7B">
        <w:t>0,24%. В последу</w:t>
      </w:r>
      <w:r w:rsidRPr="00A11B7B">
        <w:t>ю</w:t>
      </w:r>
      <w:r w:rsidRPr="00A11B7B">
        <w:t>щие сроки исследований (на 60 и 90 дни) отмечалось некоторое их сниж</w:t>
      </w:r>
      <w:r w:rsidRPr="00A11B7B">
        <w:t>е</w:t>
      </w:r>
      <w:r w:rsidRPr="00A11B7B">
        <w:t>ние, однако эти значения были выше уровня контрольных животных. Интенсивное повышение л</w:t>
      </w:r>
      <w:r w:rsidRPr="00A11B7B">
        <w:t>и</w:t>
      </w:r>
      <w:r w:rsidRPr="00A11B7B">
        <w:t>зоцимной активности сыворотки крови отмеч</w:t>
      </w:r>
      <w:r w:rsidRPr="00A11B7B">
        <w:t>а</w:t>
      </w:r>
      <w:r w:rsidRPr="00A11B7B">
        <w:t>лось у животных 4</w:t>
      </w:r>
      <w:r w:rsidR="00A11B7B" w:rsidRPr="00A11B7B">
        <w:t>-ой</w:t>
      </w:r>
      <w:r w:rsidRPr="00A11B7B">
        <w:t xml:space="preserve"> и 5</w:t>
      </w:r>
      <w:r w:rsidR="00A11B7B" w:rsidRPr="00A11B7B">
        <w:t>-ой</w:t>
      </w:r>
      <w:r w:rsidRPr="00A11B7B">
        <w:t xml:space="preserve"> групп, где уже на 7 день от начала опытов они достигли уровня контрол</w:t>
      </w:r>
      <w:r w:rsidRPr="00A11B7B">
        <w:t>ь</w:t>
      </w:r>
      <w:r w:rsidRPr="00A11B7B">
        <w:t>ных живо</w:t>
      </w:r>
      <w:r w:rsidRPr="00A11B7B">
        <w:t>т</w:t>
      </w:r>
      <w:r w:rsidRPr="00A11B7B">
        <w:t>ных. В этих группах, на 14, 21, 35, 60 и 90 дни опытов, значения лизоцимной активности превышали показатели ж</w:t>
      </w:r>
      <w:r w:rsidRPr="00A11B7B">
        <w:t>и</w:t>
      </w:r>
      <w:r w:rsidRPr="00A11B7B">
        <w:t>вотных 3</w:t>
      </w:r>
      <w:r w:rsidR="00A11B7B" w:rsidRPr="00A11B7B">
        <w:t>-ей</w:t>
      </w:r>
      <w:r w:rsidRPr="00A11B7B">
        <w:t xml:space="preserve"> группы - в 1,43 и 1,53 раза (на 5,9 и 7,3%), в 1,6 и 1,84 раза (на 9,0 и 12,6%), в 1,71 и 1,77 раза (на 11,0 и 11,9%), в 2,02 и 1,87 раза (на 14,5 и 12,4%), в 1,67 и 1,48 раза (на 9,2 и 6,7%), соответственно. До конца опытов у животных 4</w:t>
      </w:r>
      <w:r w:rsidR="00A11B7B" w:rsidRPr="00A11B7B">
        <w:t>-ой</w:t>
      </w:r>
      <w:r w:rsidRPr="00A11B7B">
        <w:t xml:space="preserve"> и 5</w:t>
      </w:r>
      <w:r w:rsidR="00A11B7B" w:rsidRPr="00A11B7B">
        <w:t>-ой</w:t>
      </w:r>
      <w:r w:rsidRPr="00A11B7B">
        <w:t xml:space="preserve"> групп лизоцимная активность оставалась на высоком уровне, прев</w:t>
      </w:r>
      <w:r w:rsidRPr="00A11B7B">
        <w:t>ы</w:t>
      </w:r>
      <w:r w:rsidRPr="00A11B7B">
        <w:t>шая показатели ко</w:t>
      </w:r>
      <w:r w:rsidRPr="00A11B7B">
        <w:t>н</w:t>
      </w:r>
      <w:r w:rsidRPr="00A11B7B">
        <w:t>троля на 90 день - в 1,97 и 1,75 раза (на 11,3 и 8.8%).</w:t>
      </w:r>
    </w:p>
    <w:p w:rsidR="00A11B7B" w:rsidRPr="00A11B7B" w:rsidRDefault="00F4654E">
      <w:pPr>
        <w:pStyle w:val="a6"/>
      </w:pPr>
      <w:r w:rsidRPr="00A11B7B">
        <w:t>В 1</w:t>
      </w:r>
      <w:r w:rsidR="00A11B7B" w:rsidRPr="00A11B7B">
        <w:t>-ой</w:t>
      </w:r>
      <w:r w:rsidRPr="00A11B7B">
        <w:t xml:space="preserve"> контрольной группе показатели фагоцитарной активности ле</w:t>
      </w:r>
      <w:r w:rsidRPr="00A11B7B">
        <w:t>й</w:t>
      </w:r>
      <w:r w:rsidRPr="00A11B7B">
        <w:t>коцитов крови к началу опытов составили 6,7</w:t>
      </w:r>
      <w:r w:rsidRPr="00A11B7B">
        <w:sym w:font="Symbol" w:char="F0B1"/>
      </w:r>
      <w:r w:rsidRPr="00A11B7B">
        <w:t>0,09% и в ходе экспериме</w:t>
      </w:r>
      <w:r w:rsidRPr="00A11B7B">
        <w:t>н</w:t>
      </w:r>
      <w:r w:rsidRPr="00A11B7B">
        <w:lastRenderedPageBreak/>
        <w:t>та существенных изменений не отмечалось. У всех коров, больных энд</w:t>
      </w:r>
      <w:r w:rsidRPr="00A11B7B">
        <w:t>о</w:t>
      </w:r>
      <w:r w:rsidRPr="00A11B7B">
        <w:t>метритом (2-6 группы), выявляли угнетение фагоцитоза. Показатели фаг</w:t>
      </w:r>
      <w:r w:rsidRPr="00A11B7B">
        <w:t>о</w:t>
      </w:r>
      <w:r w:rsidRPr="00A11B7B">
        <w:t>цитарной активности лейкоцитов в этих группах животных находились в пределах от 3.2</w:t>
      </w:r>
      <w:r w:rsidRPr="00A11B7B">
        <w:sym w:font="Symbol" w:char="F0B1"/>
      </w:r>
      <w:r w:rsidRPr="00A11B7B">
        <w:t>0,09 до 4,4</w:t>
      </w:r>
      <w:r w:rsidRPr="00A11B7B">
        <w:sym w:font="Symbol" w:char="F0B1"/>
      </w:r>
      <w:r w:rsidRPr="00A11B7B">
        <w:t>0,09%. Во 2</w:t>
      </w:r>
      <w:r w:rsidR="00A11B7B" w:rsidRPr="00A11B7B">
        <w:t>-ой</w:t>
      </w:r>
      <w:r w:rsidRPr="00A11B7B">
        <w:t xml:space="preserve"> группе животных наблюдали интенсивное угнетение фагоцитоза. На 14,21,35, 60 и 90 дни опытов эти показатели уступали данным контрольных животных в 2,37; 3,33; 4,68; 5,42 и 6,08 раза. Уровень фагоцитоза активно повышался в крови живо</w:t>
      </w:r>
      <w:r w:rsidRPr="00A11B7B">
        <w:t>т</w:t>
      </w:r>
      <w:r w:rsidRPr="00A11B7B">
        <w:t>ных 3 группы, где на 7 день опытов этот показатель превысил данные ж</w:t>
      </w:r>
      <w:r w:rsidRPr="00A11B7B">
        <w:t>и</w:t>
      </w:r>
      <w:r w:rsidRPr="00A11B7B">
        <w:t>вотных 1 группы в 1,09 раза (на 0,7%), достигнув своего пика (18,3</w:t>
      </w:r>
      <w:r w:rsidRPr="00A11B7B">
        <w:sym w:font="Symbol" w:char="F0B1"/>
      </w:r>
      <w:r w:rsidRPr="00A11B7B">
        <w:t>0,15%) к 35 дню от нач</w:t>
      </w:r>
      <w:r w:rsidRPr="00A11B7B">
        <w:t>а</w:t>
      </w:r>
      <w:r w:rsidRPr="00A11B7B">
        <w:t xml:space="preserve">ла опытов. </w:t>
      </w:r>
    </w:p>
    <w:p w:rsidR="00F4654E" w:rsidRDefault="00F4654E">
      <w:pPr>
        <w:pStyle w:val="a6"/>
      </w:pPr>
      <w:r>
        <w:rPr>
          <w:spacing w:val="-2"/>
        </w:rPr>
        <w:t>Самые высокие показатели фагоцитарной активности лейкоцитов кр</w:t>
      </w:r>
      <w:r>
        <w:rPr>
          <w:spacing w:val="-2"/>
        </w:rPr>
        <w:t>о</w:t>
      </w:r>
      <w:r>
        <w:rPr>
          <w:spacing w:val="-2"/>
        </w:rPr>
        <w:t>ви получены в 4</w:t>
      </w:r>
      <w:r w:rsidR="00A11B7B">
        <w:rPr>
          <w:spacing w:val="-2"/>
        </w:rPr>
        <w:t>-ой</w:t>
      </w:r>
      <w:r>
        <w:rPr>
          <w:spacing w:val="-2"/>
        </w:rPr>
        <w:t xml:space="preserve"> и 5</w:t>
      </w:r>
      <w:r w:rsidR="00A11B7B">
        <w:rPr>
          <w:spacing w:val="-2"/>
        </w:rPr>
        <w:t>-ой</w:t>
      </w:r>
      <w:r>
        <w:rPr>
          <w:spacing w:val="-2"/>
        </w:rPr>
        <w:t xml:space="preserve"> группах, где на 7, 14, 21, 35, 60 и 90 дни опытов их зн</w:t>
      </w:r>
      <w:r>
        <w:rPr>
          <w:spacing w:val="-2"/>
        </w:rPr>
        <w:t>а</w:t>
      </w:r>
      <w:r>
        <w:rPr>
          <w:spacing w:val="-2"/>
        </w:rPr>
        <w:t>чения превысили данные животных 3</w:t>
      </w:r>
      <w:r w:rsidR="00A11B7B">
        <w:rPr>
          <w:spacing w:val="-2"/>
        </w:rPr>
        <w:t>-ей</w:t>
      </w:r>
      <w:r>
        <w:rPr>
          <w:spacing w:val="-2"/>
        </w:rPr>
        <w:t xml:space="preserve"> группы в 1,12 и 1,18 раза (на 1,0 и 1,5%), в 1,28 и 1,44 раза (на 2,4 и 3,8%), в 1,68 и 1,52 раза (на 9,3 и 7,1%), в 1,39 и 1,22 раза (на 7,3 и 4,1%), в 1,48 и 1,26 раза (на 7,7 и 4,3%), в 1,53 и 1,36 раза (на 7,6 и 5,2%), соответственно. Пик фагоцитарной активн</w:t>
      </w:r>
      <w:r>
        <w:rPr>
          <w:spacing w:val="-2"/>
        </w:rPr>
        <w:t>о</w:t>
      </w:r>
      <w:r>
        <w:rPr>
          <w:spacing w:val="-2"/>
        </w:rPr>
        <w:t>сти в 4 и 5 группах животных выявлен на 35 день от начала оп</w:t>
      </w:r>
      <w:r>
        <w:rPr>
          <w:spacing w:val="-2"/>
        </w:rPr>
        <w:t>ы</w:t>
      </w:r>
      <w:r>
        <w:rPr>
          <w:spacing w:val="-2"/>
        </w:rPr>
        <w:t>тов.</w:t>
      </w:r>
    </w:p>
    <w:p w:rsidR="00F4654E" w:rsidRDefault="00F4654E">
      <w:pPr>
        <w:pStyle w:val="a6"/>
      </w:pPr>
      <w:r>
        <w:t>Таким образом, результаты проведенных исследований свидетельс</w:t>
      </w:r>
      <w:r>
        <w:t>т</w:t>
      </w:r>
      <w:r>
        <w:t>вуют, что наиболее эффективным методом повышения естественной рез</w:t>
      </w:r>
      <w:r>
        <w:t>и</w:t>
      </w:r>
      <w:r>
        <w:t>стентности организма коров, больных эндометритом, является применение водно-спиртово-масляной эмульсии прополиса с этакридина лактатом в сочетании с иммуностимулирующими средствами (прополисным моло</w:t>
      </w:r>
      <w:r>
        <w:t>ч</w:t>
      </w:r>
      <w:r>
        <w:t>ком и пробиотиком «лактобифид»).</w:t>
      </w:r>
    </w:p>
    <w:p w:rsidR="00F4654E" w:rsidRDefault="00F4654E">
      <w:pPr>
        <w:pStyle w:val="a4"/>
      </w:pPr>
      <w:r>
        <w:t xml:space="preserve">УДК 619:616-008.9+619:615.21:636.2.37 </w:t>
      </w:r>
    </w:p>
    <w:p w:rsidR="00F4654E" w:rsidRDefault="00F4654E">
      <w:pPr>
        <w:pStyle w:val="1"/>
      </w:pPr>
      <w:bookmarkStart w:id="427" w:name="_Toc10115276"/>
      <w:bookmarkStart w:id="428" w:name="_Toc10731051"/>
      <w:bookmarkStart w:id="429" w:name="_Toc10731712"/>
      <w:bookmarkStart w:id="430" w:name="_Toc10891544"/>
      <w:bookmarkStart w:id="431" w:name="_Toc10892219"/>
      <w:bookmarkStart w:id="432" w:name="_Toc11390079"/>
      <w:bookmarkStart w:id="433" w:name="_Toc11839764"/>
      <w:bookmarkStart w:id="434" w:name="_Toc11937300"/>
      <w:r>
        <w:t>Эффективность седатина для повышения естественной резистентности у новорожденных телят при гипотрофии</w:t>
      </w:r>
      <w:bookmarkEnd w:id="427"/>
      <w:bookmarkEnd w:id="428"/>
      <w:bookmarkEnd w:id="429"/>
      <w:bookmarkEnd w:id="430"/>
      <w:bookmarkEnd w:id="431"/>
      <w:bookmarkEnd w:id="432"/>
      <w:bookmarkEnd w:id="433"/>
      <w:bookmarkEnd w:id="434"/>
    </w:p>
    <w:p w:rsidR="00F4654E" w:rsidRDefault="00F4654E">
      <w:pPr>
        <w:pStyle w:val="2"/>
      </w:pPr>
      <w:bookmarkStart w:id="435" w:name="_Toc10115277"/>
      <w:bookmarkStart w:id="436" w:name="_Toc10731052"/>
      <w:bookmarkStart w:id="437" w:name="_Toc10731713"/>
      <w:bookmarkStart w:id="438" w:name="_Toc10891545"/>
      <w:bookmarkStart w:id="439" w:name="_Toc10892220"/>
      <w:bookmarkStart w:id="440" w:name="_Toc11390080"/>
      <w:bookmarkStart w:id="441" w:name="_Toc11937301"/>
      <w:r>
        <w:t>Анохин Б.М., Бузлама В.С.*, Саврасов Д.А., Мулько В.И.</w:t>
      </w:r>
      <w:bookmarkEnd w:id="435"/>
      <w:bookmarkEnd w:id="436"/>
      <w:bookmarkEnd w:id="437"/>
      <w:bookmarkEnd w:id="438"/>
      <w:bookmarkEnd w:id="439"/>
      <w:bookmarkEnd w:id="440"/>
      <w:bookmarkEnd w:id="441"/>
    </w:p>
    <w:p w:rsidR="00F4654E" w:rsidRDefault="00F4654E">
      <w:pPr>
        <w:pStyle w:val="a5"/>
      </w:pPr>
      <w:r>
        <w:t xml:space="preserve">Воронежский государственный аграрный университет им. К.Д. Глинки </w:t>
      </w:r>
      <w:r>
        <w:br/>
        <w:t>*Всероссийский НИВИ патологии, фармакологии и терапии</w:t>
      </w:r>
    </w:p>
    <w:p w:rsidR="00F4654E" w:rsidRDefault="00F4654E">
      <w:pPr>
        <w:pStyle w:val="a6"/>
      </w:pPr>
      <w:r>
        <w:t>У новорожденных телят в процессе роста и развития происходит ст</w:t>
      </w:r>
      <w:r>
        <w:t>а</w:t>
      </w:r>
      <w:r>
        <w:t>новление гуморальных, клеточных факторов защиты организма от возде</w:t>
      </w:r>
      <w:r>
        <w:t>й</w:t>
      </w:r>
      <w:r>
        <w:t>ствия неблагоприятных факторов из окружающей среды. У телят при вр</w:t>
      </w:r>
      <w:r>
        <w:t>о</w:t>
      </w:r>
      <w:r>
        <w:t>жденной гипотрофии эти процессы заметно отстают и затягиваются по времени, что способствует большей их заболеваемости, в период новоро</w:t>
      </w:r>
      <w:r>
        <w:t>ж</w:t>
      </w:r>
      <w:r>
        <w:t>денности, желудочно-кишечными болезнями. Поэтому поиск и испытание препаратов повышающих естественную резистентность является актуал</w:t>
      </w:r>
      <w:r>
        <w:t>ь</w:t>
      </w:r>
      <w:r>
        <w:t xml:space="preserve">ной задачей в проблеме сохранности новорожденного молодняка. </w:t>
      </w:r>
    </w:p>
    <w:p w:rsidR="00F4654E" w:rsidRDefault="00F4654E">
      <w:pPr>
        <w:pStyle w:val="a6"/>
      </w:pPr>
      <w:r>
        <w:t>Одним из таких препаратов является седатин. Это синтетический ол</w:t>
      </w:r>
      <w:r>
        <w:t>и</w:t>
      </w:r>
      <w:r>
        <w:t xml:space="preserve">гопептид, не обладающий кумулятивным и раздражающим действием, оказывает адаптогенное действие, и проявляет выраженный анаболический </w:t>
      </w:r>
      <w:r>
        <w:lastRenderedPageBreak/>
        <w:t>эффект. Седатин не испытывался при гипотрофии новорожденного моло</w:t>
      </w:r>
      <w:r>
        <w:t>д</w:t>
      </w:r>
      <w:r>
        <w:t xml:space="preserve">няка. </w:t>
      </w:r>
    </w:p>
    <w:p w:rsidR="00F4654E" w:rsidRDefault="00F4654E">
      <w:pPr>
        <w:pStyle w:val="a6"/>
      </w:pPr>
      <w:r>
        <w:t xml:space="preserve">Наши опыты были проведены в СХА «Родина» Н.-Усманского района Воронежской области, в период массовых отелов коров, в весенний период года, на 36 телятах. </w:t>
      </w:r>
    </w:p>
    <w:p w:rsidR="00F4654E" w:rsidRDefault="00F4654E">
      <w:pPr>
        <w:pStyle w:val="a6"/>
      </w:pPr>
      <w:r>
        <w:t>Подопытные телята были разделены на четыре группы по 9 голов в каждой, подобранные по принципу аналогов. Из них три – опытные и одна контрольная. Всем трем опытным группам вводили седатин внутрим</w:t>
      </w:r>
      <w:r>
        <w:t>ы</w:t>
      </w:r>
      <w:r>
        <w:t xml:space="preserve">шечно однократно. Первой группе в дозе 0,01 мл/кг, второй 0,03 мг/кг, третьей группе 0,05 мл/кг. Влияние указанных доз препарата изучали на следующие показатели: активность </w:t>
      </w:r>
      <w:r>
        <w:sym w:font="Symbol" w:char="F062"/>
      </w:r>
      <w:r>
        <w:t>-лизинов, бактерицидная активность сыворотки крови (БАСК), лизоцимная активность сыворотки крови (ЛАСК), белок и его фракции, а также морфологические показатели кра</w:t>
      </w:r>
      <w:r>
        <w:t>с</w:t>
      </w:r>
      <w:r>
        <w:t>ной крови.</w:t>
      </w:r>
    </w:p>
    <w:p w:rsidR="00F4654E" w:rsidRDefault="00F4654E">
      <w:pPr>
        <w:pStyle w:val="a6"/>
      </w:pPr>
      <w:r>
        <w:t xml:space="preserve">В результате проведенных опытов было установлено, что в дозе 0,01 мл/кг препарат не оказал существенного влияния на изучаемые показатели. </w:t>
      </w:r>
    </w:p>
    <w:p w:rsidR="00F4654E" w:rsidRDefault="00F4654E">
      <w:pPr>
        <w:pStyle w:val="a6"/>
      </w:pPr>
      <w:r>
        <w:t xml:space="preserve">Во второй опытной группе, под влиянием дозы 0,03 кг/мл достоверно изменилась активность </w:t>
      </w:r>
      <w:r>
        <w:sym w:font="Symbol" w:char="F062"/>
      </w:r>
      <w:r>
        <w:t>-лизинов, увеличиваясь на 6,0%, БАСК и ЛАСК достигая нормы на десятые сутки исследования достоверно увелич</w:t>
      </w:r>
      <w:r w:rsidR="00403C86">
        <w:t>ил</w:t>
      </w:r>
      <w:r>
        <w:t xml:space="preserve">ась на 5,5% (Р&lt;0,02) и 28,6% (Р&lt;0,01), содержание общего белка увеличилось на 36,7%, альбумины достоверно повысились на 22,6% (Р&lt;0,05), </w:t>
      </w:r>
      <w:r>
        <w:sym w:font="Symbol" w:char="F061"/>
      </w:r>
      <w:r>
        <w:t xml:space="preserve">- и </w:t>
      </w:r>
      <w:r>
        <w:sym w:font="Symbol" w:char="F062"/>
      </w:r>
      <w:r>
        <w:t xml:space="preserve">-глобулины увеличились на 12,0% и 3,4%, а содержание </w:t>
      </w:r>
      <w:r>
        <w:sym w:font="Symbol" w:char="F067"/>
      </w:r>
      <w:r>
        <w:t>-глобулинов сн</w:t>
      </w:r>
      <w:r>
        <w:t>и</w:t>
      </w:r>
      <w:r>
        <w:t>зилось на 32,4% и 22,7%. Количество лейкоцитов достоверно снизилось на 25,8% (Р&lt;0,025).</w:t>
      </w:r>
    </w:p>
    <w:p w:rsidR="00F4654E" w:rsidRDefault="00F4654E">
      <w:pPr>
        <w:pStyle w:val="a6"/>
      </w:pPr>
      <w:r>
        <w:t xml:space="preserve">В третьей опытной группе активность </w:t>
      </w:r>
      <w:r>
        <w:sym w:font="Symbol" w:char="F062"/>
      </w:r>
      <w:r>
        <w:t>-лизинов увеличилась дост</w:t>
      </w:r>
      <w:r>
        <w:t>о</w:t>
      </w:r>
      <w:r>
        <w:t xml:space="preserve">верно на 7,1% (р&lt;0,01), БАСК и ЛАСК соответственно возросли на 4,1% и 30,0%. Содержание общего белка, альбуминов, </w:t>
      </w:r>
      <w:r>
        <w:sym w:font="Symbol" w:char="F061"/>
      </w:r>
      <w:r>
        <w:t xml:space="preserve">-, </w:t>
      </w:r>
      <w:r>
        <w:sym w:font="Symbol" w:char="F062"/>
      </w:r>
      <w:r>
        <w:t xml:space="preserve">-глобулинов возросли на 37,6%, 19,5%, 11,1% и 12,3%, </w:t>
      </w:r>
      <w:r>
        <w:sym w:font="Symbol" w:char="F067"/>
      </w:r>
      <w:r>
        <w:t>-глобулины достоверно уменьшились на 34,3% (Р&lt;0,01), количество эритроцитов и гемоглобина достоверно пов</w:t>
      </w:r>
      <w:r>
        <w:t>ы</w:t>
      </w:r>
      <w:r>
        <w:t>силось на 24,5% (Р&lt;0,025), 23,5% (Р&lt;0,001), количество лейкоцитов пон</w:t>
      </w:r>
      <w:r>
        <w:t>и</w:t>
      </w:r>
      <w:r>
        <w:t xml:space="preserve">зилось на 26,5%. У телят контрольной группы было снижение количества эритроцитов, гемоглобина и лейкоцитов и увеличение других исследуемых показателей, но в сравнении с животными опытной группы повышение было достоверно меньше. </w:t>
      </w:r>
    </w:p>
    <w:p w:rsidR="00F4654E" w:rsidRDefault="00F4654E">
      <w:pPr>
        <w:pStyle w:val="a6"/>
      </w:pPr>
      <w:r>
        <w:t>Следовательно, из испытанных нами доз наиболее активное влияние седатина проявилось в дозах 0,03 мл/кг и 0,05 мл/ кг. Под влиянием сед</w:t>
      </w:r>
      <w:r>
        <w:t>а</w:t>
      </w:r>
      <w:r>
        <w:t>тина в указанных дозах происходит на 10-15-й день жизни у опытных т</w:t>
      </w:r>
      <w:r>
        <w:t>е</w:t>
      </w:r>
      <w:r>
        <w:t>лят, по сравнению с контролем, активизация изучаемых показателей ест</w:t>
      </w:r>
      <w:r>
        <w:t>е</w:t>
      </w:r>
      <w:r>
        <w:t>ственной резистентности, поэтому седатин в дозе 0,03 мл/кг может быть использован для повышения устойчивости новорожденных телят при г</w:t>
      </w:r>
      <w:r>
        <w:t>и</w:t>
      </w:r>
      <w:r>
        <w:t>потрофии.</w:t>
      </w:r>
    </w:p>
    <w:p w:rsidR="00A11B7B" w:rsidRDefault="00A11B7B">
      <w:pPr>
        <w:pStyle w:val="a4"/>
      </w:pPr>
    </w:p>
    <w:p w:rsidR="00F4654E" w:rsidRDefault="00F4654E">
      <w:pPr>
        <w:pStyle w:val="a4"/>
      </w:pPr>
      <w:r>
        <w:lastRenderedPageBreak/>
        <w:t>УДК 619:616:612.014.464:636.4.082.35</w:t>
      </w:r>
    </w:p>
    <w:p w:rsidR="00F4654E" w:rsidRDefault="00F4654E">
      <w:pPr>
        <w:pStyle w:val="1"/>
      </w:pPr>
      <w:bookmarkStart w:id="442" w:name="_Toc10115278"/>
      <w:bookmarkStart w:id="443" w:name="_Toc10731053"/>
      <w:bookmarkStart w:id="444" w:name="_Toc10731714"/>
      <w:bookmarkStart w:id="445" w:name="_Toc10891546"/>
      <w:bookmarkStart w:id="446" w:name="_Toc10892221"/>
      <w:bookmarkStart w:id="447" w:name="_Toc11390081"/>
      <w:bookmarkStart w:id="448" w:name="_Toc11839766"/>
      <w:bookmarkStart w:id="449" w:name="_Toc11937302"/>
      <w:r>
        <w:t>Влияние озонированного физиологического раствора на организм здоровых поросят</w:t>
      </w:r>
      <w:bookmarkEnd w:id="442"/>
      <w:bookmarkEnd w:id="443"/>
      <w:bookmarkEnd w:id="444"/>
      <w:bookmarkEnd w:id="445"/>
      <w:bookmarkEnd w:id="446"/>
      <w:bookmarkEnd w:id="447"/>
      <w:bookmarkEnd w:id="448"/>
      <w:bookmarkEnd w:id="449"/>
    </w:p>
    <w:p w:rsidR="00F4654E" w:rsidRDefault="00F4654E">
      <w:pPr>
        <w:pStyle w:val="2"/>
      </w:pPr>
      <w:bookmarkStart w:id="450" w:name="_Toc10115279"/>
      <w:bookmarkStart w:id="451" w:name="_Toc10731054"/>
      <w:bookmarkStart w:id="452" w:name="_Toc10731715"/>
      <w:bookmarkStart w:id="453" w:name="_Toc10891547"/>
      <w:bookmarkStart w:id="454" w:name="_Toc10892222"/>
      <w:bookmarkStart w:id="455" w:name="_Toc11390082"/>
      <w:bookmarkStart w:id="456" w:name="_Toc11937303"/>
      <w:r>
        <w:t>Анохин Б.М., Крайс В.В.</w:t>
      </w:r>
      <w:bookmarkEnd w:id="450"/>
      <w:bookmarkEnd w:id="451"/>
      <w:bookmarkEnd w:id="452"/>
      <w:bookmarkEnd w:id="453"/>
      <w:bookmarkEnd w:id="454"/>
      <w:bookmarkEnd w:id="455"/>
      <w:bookmarkEnd w:id="456"/>
    </w:p>
    <w:p w:rsidR="00F4654E" w:rsidRDefault="00F4654E">
      <w:pPr>
        <w:pStyle w:val="a5"/>
      </w:pPr>
      <w:r>
        <w:t>Воронежский государственный аграрный университет им. К.Д. Глинки</w:t>
      </w:r>
    </w:p>
    <w:p w:rsidR="00F4654E" w:rsidRDefault="00F4654E">
      <w:pPr>
        <w:pStyle w:val="a6"/>
      </w:pPr>
      <w:r>
        <w:t>Целью данного опыта является изучение различных доз озона в ф</w:t>
      </w:r>
      <w:r>
        <w:t>и</w:t>
      </w:r>
      <w:r>
        <w:t>зиологическом растворе на общее состояние клинически здоровых по</w:t>
      </w:r>
      <w:r>
        <w:softHyphen/>
        <w:t>росят.</w:t>
      </w:r>
    </w:p>
    <w:p w:rsidR="00F4654E" w:rsidRDefault="00F4654E">
      <w:pPr>
        <w:pStyle w:val="a6"/>
      </w:pPr>
      <w:r>
        <w:t>Исследование проводилось на базе хозяйства Т.В. «Здоровецкое» Л</w:t>
      </w:r>
      <w:r>
        <w:t>и</w:t>
      </w:r>
      <w:r>
        <w:t>винского района и Ливинской ветбаклаборатории Орловской области. Для исследования, по принципу аналогов, были подобраны поросята в возрасте 3 – 4 месяца, из которых были сформированы 4 группы (n=5). Поросятам из опытных групп внутрибрюшинно с интервалом в 48 часов вводили оз</w:t>
      </w:r>
      <w:r>
        <w:t>о</w:t>
      </w:r>
      <w:r>
        <w:t>нированный физиологический раствор из расчета 1 мл/кг массы тела с концентрацией озона: 1 гр. - 600 мкг/л, 2 гр.-1600 мкг/л, 3 гр.-1900 мкг/л. Введение озонированного физиологического раствора произ</w:t>
      </w:r>
      <w:r>
        <w:softHyphen/>
        <w:t>водилось в т</w:t>
      </w:r>
      <w:r>
        <w:t>е</w:t>
      </w:r>
      <w:r>
        <w:t>чение 7 дней. Поросятам 4 гр. внутрибрюшинно вводили стерильный ф</w:t>
      </w:r>
      <w:r>
        <w:t>и</w:t>
      </w:r>
      <w:r>
        <w:t>зиологический раствор в дозе 1 мл/кг массы тела. Контроль эффективности данной методики производился на основе учета общего состояния живо</w:t>
      </w:r>
      <w:r>
        <w:t>т</w:t>
      </w:r>
      <w:r>
        <w:t>ных, морфологических и биохимических показателей крови, а также да</w:t>
      </w:r>
      <w:r>
        <w:t>н</w:t>
      </w:r>
      <w:r>
        <w:t>ных естественной резистентности. Взятие крови осу</w:t>
      </w:r>
      <w:r>
        <w:softHyphen/>
        <w:t>щест</w:t>
      </w:r>
      <w:r>
        <w:softHyphen/>
        <w:t>влялось до введ</w:t>
      </w:r>
      <w:r>
        <w:t>е</w:t>
      </w:r>
      <w:r>
        <w:t>ния и через 48 часов после последней инъекции.</w:t>
      </w:r>
    </w:p>
    <w:p w:rsidR="00F4654E" w:rsidRDefault="00F4654E">
      <w:pPr>
        <w:pStyle w:val="a6"/>
      </w:pPr>
      <w:r>
        <w:t>Анализ морфологического состава крови молодняка свиней после курса инъекций указывает на достоверное увеличение количества эрит</w:t>
      </w:r>
      <w:r>
        <w:softHyphen/>
        <w:t>роцитов в 1 гр. на 10,1%, 2 гр. на 12,4%, 3 гр. на 15,4%. При этом уровень гемоглобина в крови увеличился на: 1 гр.- 6,1%, 2 гр.- 7,4%, 3 гр.- 9,1%. Также зафиксировано увеличение количества лейкоцитов на: 1 гр.- 12,3%, 2 гр.- 14,6%, 3 гр.- 18,5%. Анализ соответствующих показателей среди п</w:t>
      </w:r>
      <w:r>
        <w:t>о</w:t>
      </w:r>
      <w:r>
        <w:t>росят 4 гр. (контрольной) не выявил достоверных различий. Исходные п</w:t>
      </w:r>
      <w:r>
        <w:t>о</w:t>
      </w:r>
      <w:r>
        <w:t>казатели лейкоцитарной формулы клеток белой крови исследуемых ж</w:t>
      </w:r>
      <w:r>
        <w:t>и</w:t>
      </w:r>
      <w:r>
        <w:t>вотных соответствует физиологическим параметрам. После внутрибр</w:t>
      </w:r>
      <w:r>
        <w:t>ю</w:t>
      </w:r>
      <w:r>
        <w:t>шинного введения озонированного физиоло</w:t>
      </w:r>
      <w:r>
        <w:softHyphen/>
        <w:t>ги</w:t>
      </w:r>
      <w:r>
        <w:softHyphen/>
        <w:t>ческого раствора наблюдае</w:t>
      </w:r>
      <w:r>
        <w:t>т</w:t>
      </w:r>
      <w:r>
        <w:t>ся увеличение палочкоядерных форм лейко</w:t>
      </w:r>
      <w:r>
        <w:softHyphen/>
        <w:t>цитов в 1 и 2 гр. на 7,7%, в 3 гр. на 15,3%. При анализе количества осталь</w:t>
      </w:r>
      <w:r>
        <w:softHyphen/>
        <w:t>ных форм лейкоцитов достове</w:t>
      </w:r>
      <w:r>
        <w:t>р</w:t>
      </w:r>
      <w:r>
        <w:t>ных различий не было выявлено. Проведенный курс инъекций способств</w:t>
      </w:r>
      <w:r>
        <w:t>о</w:t>
      </w:r>
      <w:r>
        <w:t>вал повышению (в пределах физиологических границ) резервной щелочн</w:t>
      </w:r>
      <w:r>
        <w:t>о</w:t>
      </w:r>
      <w:r>
        <w:t>сти крови на: 1 гр.- 4,1%; 2 гр.- 6,3%; 3 гр.- 8,1%. У поросят 4 (контрол</w:t>
      </w:r>
      <w:r>
        <w:t>ь</w:t>
      </w:r>
      <w:r>
        <w:t>ной) группы этот показатель остался фактически без изменений. Сравн</w:t>
      </w:r>
      <w:r>
        <w:t>и</w:t>
      </w:r>
      <w:r>
        <w:t xml:space="preserve">тельный анализ таких биохимических показателей как общий кальций и неорганический фосфор, витамин А у поросят опытных групп не выявил каких-либо существенных различий. </w:t>
      </w:r>
    </w:p>
    <w:p w:rsidR="00F4654E" w:rsidRDefault="00F4654E">
      <w:pPr>
        <w:pStyle w:val="a6"/>
      </w:pPr>
      <w:r>
        <w:lastRenderedPageBreak/>
        <w:t>Проведение курса внутрибрюшинных инъекций озонированного ф</w:t>
      </w:r>
      <w:r>
        <w:t>и</w:t>
      </w:r>
      <w:r>
        <w:t>зиологического раствора, по данной схеме, способствовало изменению х</w:t>
      </w:r>
      <w:r>
        <w:t>а</w:t>
      </w:r>
      <w:r>
        <w:t>рактера метаболических процессов в организме поросят. Необходимо о</w:t>
      </w:r>
      <w:r>
        <w:t>т</w:t>
      </w:r>
      <w:r>
        <w:t>метить повышение уровня резервной щелочности у животных 2 и 3 гру</w:t>
      </w:r>
      <w:r>
        <w:t>п</w:t>
      </w:r>
      <w:r>
        <w:t>пы, что указывает на способность озона снижать недоокисленные соед</w:t>
      </w:r>
      <w:r>
        <w:t>и</w:t>
      </w:r>
      <w:r>
        <w:t>нения в организме, способствует повышению кислородно-транс</w:t>
      </w:r>
      <w:r>
        <w:softHyphen/>
        <w:t>портной функции крови.</w:t>
      </w:r>
    </w:p>
    <w:p w:rsidR="00F4654E" w:rsidRDefault="00F4654E">
      <w:pPr>
        <w:pStyle w:val="a6"/>
      </w:pPr>
      <w:r>
        <w:t>При изучении показателей естественной резистентности до и после лечения отмечалось достоверное увеличение фагоцитарной активности лейкоцитов у поросят 2 гр. на 3,9%, 3 гр.-11%. Также было заре</w:t>
      </w:r>
      <w:r>
        <w:softHyphen/>
        <w:t>гистр</w:t>
      </w:r>
      <w:r>
        <w:softHyphen/>
        <w:t xml:space="preserve">ировано повышение бактерицидной активности сыворотки крови у поросят 2 группы на 4,2%, 3 группы на 9% и лизоцимной активности во 2 группе на 4%, в 3 группе - 8%. У поросят 1 и 4 групп не было выявлено достоверных изменений. </w:t>
      </w:r>
    </w:p>
    <w:p w:rsidR="00F4654E" w:rsidRDefault="00F4654E">
      <w:pPr>
        <w:pStyle w:val="a6"/>
      </w:pPr>
      <w:r>
        <w:t>Все это говорит о высокой биологической активности озона, о его способности усиливать обменные процессы в организме животных, моб</w:t>
      </w:r>
      <w:r>
        <w:t>и</w:t>
      </w:r>
      <w:r>
        <w:t xml:space="preserve">лизовать работу внутренних органов.  </w:t>
      </w:r>
    </w:p>
    <w:p w:rsidR="00F4654E" w:rsidRDefault="00F4654E">
      <w:pPr>
        <w:pStyle w:val="a4"/>
      </w:pPr>
      <w:r>
        <w:t>УДК 619:616.155.194:615.739.13:636.2.082.35</w:t>
      </w:r>
    </w:p>
    <w:p w:rsidR="00F4654E" w:rsidRDefault="00F4654E">
      <w:pPr>
        <w:pStyle w:val="1"/>
      </w:pPr>
      <w:bookmarkStart w:id="457" w:name="_Toc10115280"/>
      <w:bookmarkStart w:id="458" w:name="_Toc10731055"/>
      <w:bookmarkStart w:id="459" w:name="_Toc10731716"/>
      <w:bookmarkStart w:id="460" w:name="_Toc10891548"/>
      <w:bookmarkStart w:id="461" w:name="_Toc10892223"/>
      <w:bookmarkStart w:id="462" w:name="_Toc11390083"/>
      <w:bookmarkStart w:id="463" w:name="_Toc11839768"/>
      <w:bookmarkStart w:id="464" w:name="_Toc11937304"/>
      <w:r>
        <w:t>Особенности ферротерапии при различных формах  гипохромной микроцитарной анемии  телят-молочников</w:t>
      </w:r>
      <w:bookmarkEnd w:id="457"/>
      <w:bookmarkEnd w:id="458"/>
      <w:bookmarkEnd w:id="459"/>
      <w:bookmarkEnd w:id="460"/>
      <w:bookmarkEnd w:id="461"/>
      <w:bookmarkEnd w:id="462"/>
      <w:bookmarkEnd w:id="463"/>
      <w:bookmarkEnd w:id="464"/>
    </w:p>
    <w:p w:rsidR="00F4654E" w:rsidRDefault="00F4654E">
      <w:pPr>
        <w:pStyle w:val="2"/>
      </w:pPr>
      <w:bookmarkStart w:id="465" w:name="_Toc10731056"/>
      <w:bookmarkStart w:id="466" w:name="_Toc10731717"/>
      <w:bookmarkStart w:id="467" w:name="_Toc10891549"/>
      <w:bookmarkStart w:id="468" w:name="_Toc10892224"/>
      <w:bookmarkStart w:id="469" w:name="_Toc11390084"/>
      <w:bookmarkStart w:id="470" w:name="_Toc11937305"/>
      <w:r>
        <w:t>Анохин Б.М., Макринова Н. Ю.</w:t>
      </w:r>
      <w:bookmarkEnd w:id="465"/>
      <w:bookmarkEnd w:id="466"/>
      <w:bookmarkEnd w:id="467"/>
      <w:bookmarkEnd w:id="468"/>
      <w:bookmarkEnd w:id="469"/>
      <w:bookmarkEnd w:id="470"/>
    </w:p>
    <w:p w:rsidR="00F4654E" w:rsidRDefault="00F4654E">
      <w:pPr>
        <w:pStyle w:val="a5"/>
      </w:pPr>
      <w:r>
        <w:t>Воронежский государственный аграрный университет им. К.Д. Глинки</w:t>
      </w:r>
    </w:p>
    <w:p w:rsidR="00F4654E" w:rsidRDefault="00F4654E">
      <w:pPr>
        <w:pStyle w:val="a6"/>
      </w:pPr>
      <w:r>
        <w:t>В настоящее время в распоряжении ветеринарного врача имеется боль</w:t>
      </w:r>
      <w:r>
        <w:softHyphen/>
      </w:r>
      <w:r>
        <w:softHyphen/>
      </w:r>
      <w:r>
        <w:softHyphen/>
        <w:t>шой арсенал лекарственных препаратов железа, которые характе</w:t>
      </w:r>
      <w:r>
        <w:softHyphen/>
        <w:t>ри</w:t>
      </w:r>
      <w:r>
        <w:softHyphen/>
        <w:t>зуются различным составом и свойствами, лекарственной формой и т. д. В ветеринарной практике препараты железа применяются внутрь и парен</w:t>
      </w:r>
      <w:r>
        <w:softHyphen/>
        <w:t>терально. Путь введения животным больным гипохромной микроцитарной анемией должен определяться конкретной клинической ситуацией.</w:t>
      </w:r>
    </w:p>
    <w:p w:rsidR="00F4654E" w:rsidRDefault="00F4654E">
      <w:pPr>
        <w:pStyle w:val="a6"/>
      </w:pPr>
      <w:r>
        <w:t>Целью нашей работы было определить клинико-гематологический ста</w:t>
      </w:r>
      <w:r>
        <w:softHyphen/>
      </w:r>
      <w:r>
        <w:softHyphen/>
      </w:r>
      <w:r>
        <w:softHyphen/>
        <w:t>тус телят 15-45 дневного возраста и оценить полученные результаты. На основании этих данных нами были выделены различные стадии ане</w:t>
      </w:r>
      <w:r>
        <w:softHyphen/>
        <w:t>мии. Критерием для определения стадий послужили: количество гемогло</w:t>
      </w:r>
      <w:r>
        <w:softHyphen/>
        <w:t>бина, эритроцитов, степень проявления клинических признаков.</w:t>
      </w:r>
    </w:p>
    <w:p w:rsidR="00F4654E" w:rsidRDefault="00F4654E">
      <w:pPr>
        <w:pStyle w:val="a6"/>
      </w:pPr>
      <w:r>
        <w:t>В ходе опыта было исследованию было подвергнуто 40 телят. Опыты проводились в условиях ООО СХП «Сатурн-Черноземье» с.-х. отд. «Поб</w:t>
      </w:r>
      <w:r>
        <w:t>е</w:t>
      </w:r>
      <w:r>
        <w:t>да» и СХП «Родина» Воронежской области.</w:t>
      </w:r>
    </w:p>
    <w:p w:rsidR="00F4654E" w:rsidRDefault="00F4654E">
      <w:pPr>
        <w:pStyle w:val="a6"/>
      </w:pPr>
      <w:r>
        <w:t>Таким образом, нами были выделены 3 стадии анемии: легкая, сред</w:t>
      </w:r>
      <w:r>
        <w:softHyphen/>
        <w:t>няя и тяжелая. Легкая стадия характеризовалась следующими признаками: клинические симптомы не выражены, в крови уменьшены эритроциты на 10-15% по сравнению с нормой и гемоглобин на 16-18%. При средней ст</w:t>
      </w:r>
      <w:r>
        <w:t>а</w:t>
      </w:r>
      <w:r>
        <w:t xml:space="preserve">дии у телят отмечались: угнетение общего состояния, понижение аппетита, </w:t>
      </w:r>
      <w:r>
        <w:lastRenderedPageBreak/>
        <w:t>бледность слизистых оболочек слабо выражена, незначительная тахика</w:t>
      </w:r>
      <w:r>
        <w:t>р</w:t>
      </w:r>
      <w:r>
        <w:t>дия. Изменения со стороны крови были следующие: количество эритроц</w:t>
      </w:r>
      <w:r>
        <w:t>и</w:t>
      </w:r>
      <w:r>
        <w:t>тов уменьшено на 19-21%, гемоглобина на 23-26%, железа на 19-23%. Т</w:t>
      </w:r>
      <w:r>
        <w:t>я</w:t>
      </w:r>
      <w:r>
        <w:t>желая стадия проявлялась манифестирующими клиническими сим</w:t>
      </w:r>
      <w:r>
        <w:softHyphen/>
        <w:t>птомами, такими как уменьшение а иногда и извращение аппетита, сла</w:t>
      </w:r>
      <w:r>
        <w:softHyphen/>
        <w:t>бость, одышка, анеми</w:t>
      </w:r>
      <w:r>
        <w:softHyphen/>
      </w:r>
      <w:r>
        <w:softHyphen/>
      </w:r>
      <w:r>
        <w:softHyphen/>
        <w:t>чность слизистых оболочек, тахи</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кардия, функцио</w:t>
      </w:r>
      <w:r>
        <w:softHyphen/>
        <w:t>наль</w:t>
      </w:r>
      <w:r>
        <w:softHyphen/>
      </w:r>
      <w:r>
        <w:softHyphen/>
      </w:r>
      <w:r>
        <w:softHyphen/>
      </w:r>
      <w:r>
        <w:softHyphen/>
      </w:r>
      <w:r>
        <w:softHyphen/>
      </w:r>
      <w:r>
        <w:softHyphen/>
      </w:r>
      <w:r>
        <w:softHyphen/>
      </w:r>
      <w:r>
        <w:softHyphen/>
      </w:r>
      <w:r>
        <w:softHyphen/>
      </w:r>
      <w:r>
        <w:softHyphen/>
      </w:r>
      <w:r>
        <w:softHyphen/>
      </w:r>
      <w:r>
        <w:softHyphen/>
        <w:t>ный систоли</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ческий шум. Изменения в крови характеризо</w:t>
      </w:r>
      <w:r>
        <w:softHyphen/>
        <w:t>вались умень</w:t>
      </w:r>
      <w:r>
        <w:softHyphen/>
        <w:t>шением эритроцитов на 30-33%, гемоглобина на 35-37%.</w:t>
      </w:r>
    </w:p>
    <w:p w:rsidR="00F4654E" w:rsidRDefault="00F4654E">
      <w:pPr>
        <w:pStyle w:val="a6"/>
      </w:pPr>
      <w:r>
        <w:t>При определении принципов лечения гипохромной микроцитарной анемии мы учитывали выделенные стадии. В случае легкой стадии анемии, в целях коррекции дефицита железа, мы применяли препараты железа п</w:t>
      </w:r>
      <w:r>
        <w:t>е</w:t>
      </w:r>
      <w:r>
        <w:t>рорально. При средней и тяжелой степени, в целях оперативного купир</w:t>
      </w:r>
      <w:r>
        <w:t>о</w:t>
      </w:r>
      <w:r>
        <w:t>вания в организме дефицита железа предпочтительнее парентеральное введение препаратов железа.</w:t>
      </w:r>
    </w:p>
    <w:p w:rsidR="00F4654E" w:rsidRDefault="00F4654E">
      <w:pPr>
        <w:pStyle w:val="a4"/>
      </w:pPr>
      <w:r>
        <w:t>УДК 619:616.33:577.1:636.082.35</w:t>
      </w:r>
    </w:p>
    <w:p w:rsidR="00F4654E" w:rsidRDefault="00F4654E">
      <w:pPr>
        <w:pStyle w:val="1"/>
      </w:pPr>
      <w:bookmarkStart w:id="471" w:name="_Toc10115281"/>
      <w:bookmarkStart w:id="472" w:name="_Toc10731057"/>
      <w:bookmarkStart w:id="473" w:name="_Toc10731718"/>
      <w:bookmarkStart w:id="474" w:name="_Toc10891550"/>
      <w:bookmarkStart w:id="475" w:name="_Toc10892225"/>
      <w:bookmarkStart w:id="476" w:name="_Toc11390085"/>
      <w:bookmarkStart w:id="477" w:name="_Toc11839770"/>
      <w:bookmarkStart w:id="478" w:name="_Toc11937306"/>
      <w:r>
        <w:t>Клинические и биохимические показатели при гипотонии и атонии рубца у молодняка крупного рогатого скота</w:t>
      </w:r>
      <w:bookmarkEnd w:id="471"/>
      <w:bookmarkEnd w:id="472"/>
      <w:bookmarkEnd w:id="473"/>
      <w:bookmarkEnd w:id="474"/>
      <w:bookmarkEnd w:id="475"/>
      <w:bookmarkEnd w:id="476"/>
      <w:bookmarkEnd w:id="477"/>
      <w:bookmarkEnd w:id="478"/>
    </w:p>
    <w:p w:rsidR="00F4654E" w:rsidRDefault="00F4654E">
      <w:pPr>
        <w:pStyle w:val="2"/>
      </w:pPr>
      <w:bookmarkStart w:id="479" w:name="_Toc10731058"/>
      <w:bookmarkStart w:id="480" w:name="_Toc10731719"/>
      <w:bookmarkStart w:id="481" w:name="_Toc10891551"/>
      <w:bookmarkStart w:id="482" w:name="_Toc10892226"/>
      <w:bookmarkStart w:id="483" w:name="_Toc11390086"/>
      <w:bookmarkStart w:id="484" w:name="_Toc11937307"/>
      <w:r>
        <w:t>Анохин Б.М., Шураева И.Ю.</w:t>
      </w:r>
      <w:bookmarkEnd w:id="479"/>
      <w:bookmarkEnd w:id="480"/>
      <w:bookmarkEnd w:id="481"/>
      <w:bookmarkEnd w:id="482"/>
      <w:bookmarkEnd w:id="483"/>
      <w:bookmarkEnd w:id="484"/>
    </w:p>
    <w:p w:rsidR="00F4654E" w:rsidRDefault="00F4654E">
      <w:pPr>
        <w:pStyle w:val="a5"/>
      </w:pPr>
      <w:r>
        <w:t>Воронежский государственный аграрный университет им. К.Д. Глинки</w:t>
      </w:r>
    </w:p>
    <w:p w:rsidR="00F4654E" w:rsidRDefault="00F4654E">
      <w:pPr>
        <w:pStyle w:val="a6"/>
      </w:pPr>
      <w:r>
        <w:t>Болезни преджелудков наблюдаются довольно часто у молодняка крупного рогатого скота и наносят значительный экономический ущерб, выражающийся резким снижением продуктивности и преждевременной выбраковкой животных.</w:t>
      </w:r>
    </w:p>
    <w:p w:rsidR="00F4654E" w:rsidRDefault="00F4654E">
      <w:pPr>
        <w:pStyle w:val="a6"/>
      </w:pPr>
      <w:r>
        <w:t>Нами были изучены причины и клиническое проявление гипотонии и атонии преджелудков в зимне-стойловый период у молодняка крупного рогатого скота 5-7 месячного возраста, принадлежащего учебно-производ-ственному хозяйству Чаплыгинского агроколледжа Липецкой области.</w:t>
      </w:r>
    </w:p>
    <w:p w:rsidR="00F4654E" w:rsidRDefault="00F4654E">
      <w:pPr>
        <w:pStyle w:val="a6"/>
      </w:pPr>
      <w:r>
        <w:t>Кормление животных кормами, содержащих большое количество клетчатки (сухая солома, сено плохого качества), недостаток в рационе макро- и микроэлементов, витаминов, отсутствие моциона привели к во</w:t>
      </w:r>
      <w:r>
        <w:t>з</w:t>
      </w:r>
      <w:r>
        <w:t>никновению гипотонии и атонии преджелудков.</w:t>
      </w:r>
    </w:p>
    <w:p w:rsidR="00F4654E" w:rsidRDefault="00F4654E">
      <w:pPr>
        <w:pStyle w:val="a6"/>
      </w:pPr>
      <w:r>
        <w:t>У больных животных были обнаружены следующие клинические пр</w:t>
      </w:r>
      <w:r>
        <w:t>и</w:t>
      </w:r>
      <w:r>
        <w:t>знаки: угнетение, снижение или полное отсутствие аппетита, однако с</w:t>
      </w:r>
      <w:r>
        <w:t>о</w:t>
      </w:r>
      <w:r>
        <w:t>хранялась жажда. Жвачка редкая и вялая. Количество сокращений рубца не превышало 2-3 за 5 мин, сила их была ослаблена, а при атонии они о</w:t>
      </w:r>
      <w:r>
        <w:t>т</w:t>
      </w:r>
      <w:r>
        <w:t>сутствовали. При аускультации преджелудков, сычуга, кишечника шумы прослушивались слабо, а в разгар болезни они исчезали. Температура и пульс оставались в пределах нормы, дыхание было учащено.</w:t>
      </w:r>
    </w:p>
    <w:p w:rsidR="00F4654E" w:rsidRDefault="00F4654E">
      <w:pPr>
        <w:pStyle w:val="a6"/>
      </w:pPr>
      <w:r>
        <w:t>При исследовании содержимого рубца обнаружено смещение рН в слабокислую сторону (6,1-6,5), снижение подвижности и активности инф</w:t>
      </w:r>
      <w:r>
        <w:t>у</w:t>
      </w:r>
      <w:r>
        <w:lastRenderedPageBreak/>
        <w:t>зорий в 4-5 раз, а при атонии отсутствие подвижности, уменьшение их к</w:t>
      </w:r>
      <w:r>
        <w:t>о</w:t>
      </w:r>
      <w:r>
        <w:t>личества на 60-80%.</w:t>
      </w:r>
    </w:p>
    <w:p w:rsidR="00F4654E" w:rsidRDefault="00F4654E">
      <w:pPr>
        <w:pStyle w:val="a6"/>
      </w:pPr>
      <w:r>
        <w:t>При морфологическом и биохимическом исследовании крови выявл</w:t>
      </w:r>
      <w:r>
        <w:t>е</w:t>
      </w:r>
      <w:r>
        <w:t>но уменьшение количества гемоглобина на 25%, увеличение лейкоцитов на 6,5%,  количество общего кальция и неорганического фосфора наход</w:t>
      </w:r>
      <w:r>
        <w:t>и</w:t>
      </w:r>
      <w:r>
        <w:t>лось в пределах  нижней границы нормы, количество общего белка уменьшено на 17% и обнаружены следы каротина.</w:t>
      </w:r>
    </w:p>
    <w:p w:rsidR="00F4654E" w:rsidRDefault="00F4654E">
      <w:pPr>
        <w:pStyle w:val="a6"/>
      </w:pPr>
      <w:r>
        <w:t>У больных животных наблюдалось снижение среднесуточного пр</w:t>
      </w:r>
      <w:r>
        <w:t>и</w:t>
      </w:r>
      <w:r>
        <w:t>роста массы тела на 60-70%. Отмечалось залеживание. В ряде случаев на этой почве у телят возникали болезни органов дыхания.</w:t>
      </w:r>
    </w:p>
    <w:p w:rsidR="00F4654E" w:rsidRDefault="00F4654E">
      <w:pPr>
        <w:pStyle w:val="a6"/>
        <w:rPr>
          <w:spacing w:val="-2"/>
        </w:rPr>
      </w:pPr>
      <w:r>
        <w:rPr>
          <w:spacing w:val="-2"/>
        </w:rPr>
        <w:t>Гипотония и атония рубца в острой форме обычно продолжалась 5-7 дней и более. Самовыздоровление в наших опытах не наблюдалось, поэтому возникла необходимость для восстановления и нормализации функции ру</w:t>
      </w:r>
      <w:r>
        <w:rPr>
          <w:spacing w:val="-2"/>
        </w:rPr>
        <w:t>б</w:t>
      </w:r>
      <w:r>
        <w:rPr>
          <w:spacing w:val="-2"/>
        </w:rPr>
        <w:t>ца и рубцового пищеварения использовать средства, обладающие ко</w:t>
      </w:r>
      <w:r>
        <w:rPr>
          <w:spacing w:val="-2"/>
        </w:rPr>
        <w:t>м</w:t>
      </w:r>
      <w:r>
        <w:rPr>
          <w:spacing w:val="-2"/>
        </w:rPr>
        <w:t>плексным действием, которые не только стимулируют сокращения предж</w:t>
      </w:r>
      <w:r>
        <w:rPr>
          <w:spacing w:val="-2"/>
        </w:rPr>
        <w:t>е</w:t>
      </w:r>
      <w:r>
        <w:rPr>
          <w:spacing w:val="-2"/>
        </w:rPr>
        <w:t>лудков, но и усиливают секрецию пищеварительных желез, повышают а</w:t>
      </w:r>
      <w:r>
        <w:rPr>
          <w:spacing w:val="-2"/>
        </w:rPr>
        <w:t>к</w:t>
      </w:r>
      <w:r>
        <w:rPr>
          <w:spacing w:val="-2"/>
        </w:rPr>
        <w:t>тивность инфузорий и естественную резистентность организма живо</w:t>
      </w:r>
      <w:r>
        <w:rPr>
          <w:spacing w:val="-2"/>
        </w:rPr>
        <w:t>т</w:t>
      </w:r>
      <w:r>
        <w:rPr>
          <w:spacing w:val="-2"/>
        </w:rPr>
        <w:t>ных.</w:t>
      </w:r>
    </w:p>
    <w:p w:rsidR="00F4654E" w:rsidRDefault="00F4654E">
      <w:pPr>
        <w:pStyle w:val="a4"/>
      </w:pPr>
      <w:r>
        <w:t>УДК 619:616.988-07-084</w:t>
      </w:r>
    </w:p>
    <w:p w:rsidR="00F4654E" w:rsidRDefault="00F4654E">
      <w:pPr>
        <w:pStyle w:val="1"/>
      </w:pPr>
      <w:bookmarkStart w:id="485" w:name="_Toc10731059"/>
      <w:bookmarkStart w:id="486" w:name="_Toc10731720"/>
      <w:bookmarkStart w:id="487" w:name="_Toc10891552"/>
      <w:bookmarkStart w:id="488" w:name="_Toc10892227"/>
      <w:bookmarkStart w:id="489" w:name="_Toc11390087"/>
      <w:bookmarkStart w:id="490" w:name="_Toc11839772"/>
      <w:bookmarkStart w:id="491" w:name="_Toc11937308"/>
      <w:r>
        <w:t>ИНТЕРФЕРЕНЦИЯ, ИНТЕРФЕРОН И РОЛЬ ИХ В ДИАГНОСТИКЕ И ПРОФИЛАКТИКЕ ВИРУСНЫХ ИНФЕКЦИЙ</w:t>
      </w:r>
      <w:bookmarkEnd w:id="485"/>
      <w:bookmarkEnd w:id="486"/>
      <w:bookmarkEnd w:id="487"/>
      <w:bookmarkEnd w:id="488"/>
      <w:bookmarkEnd w:id="489"/>
      <w:bookmarkEnd w:id="490"/>
      <w:bookmarkEnd w:id="4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tblGrid>
      <w:tr w:rsidR="00F4654E">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F4654E" w:rsidRDefault="00F4654E">
            <w:pPr>
              <w:pStyle w:val="2"/>
            </w:pPr>
            <w:bookmarkStart w:id="492" w:name="_Toc10891553"/>
            <w:bookmarkStart w:id="493" w:name="_Toc10892228"/>
            <w:bookmarkStart w:id="494" w:name="_Toc11390088"/>
            <w:bookmarkStart w:id="495" w:name="_Toc11937309"/>
            <w:r>
              <w:t>Ануфриева Л.А.</w:t>
            </w:r>
            <w:bookmarkEnd w:id="492"/>
            <w:bookmarkEnd w:id="493"/>
            <w:bookmarkEnd w:id="494"/>
            <w:bookmarkEnd w:id="495"/>
          </w:p>
        </w:tc>
      </w:tr>
    </w:tbl>
    <w:p w:rsidR="00F4654E" w:rsidRDefault="00F4654E">
      <w:pPr>
        <w:pStyle w:val="a5"/>
        <w:rPr>
          <w:sz w:val="6"/>
        </w:rPr>
      </w:pPr>
    </w:p>
    <w:p w:rsidR="00F4654E" w:rsidRDefault="00F4654E">
      <w:pPr>
        <w:pStyle w:val="a5"/>
      </w:pPr>
      <w:r>
        <w:t>Всероссийский НИВИ патологии, фармакологии и терапии</w:t>
      </w:r>
    </w:p>
    <w:p w:rsidR="00F4654E" w:rsidRDefault="00F4654E">
      <w:pPr>
        <w:pStyle w:val="a6"/>
      </w:pPr>
      <w:r>
        <w:t>При интенсификации животноводства возникает необходимость в х</w:t>
      </w:r>
      <w:r>
        <w:t>о</w:t>
      </w:r>
      <w:r>
        <w:t>зяй</w:t>
      </w:r>
      <w:r>
        <w:softHyphen/>
        <w:t>ствах концентрировать большое количество животных из разных мест, отли</w:t>
      </w:r>
      <w:r>
        <w:softHyphen/>
        <w:t>чающихся по эпизоотической ситуации. Все это может служить пр</w:t>
      </w:r>
      <w:r>
        <w:t>и</w:t>
      </w:r>
      <w:r>
        <w:t>чиной по</w:t>
      </w:r>
      <w:r>
        <w:softHyphen/>
        <w:t>явления различных смешанных инфекций, при которых все во</w:t>
      </w:r>
      <w:r>
        <w:t>з</w:t>
      </w:r>
      <w:r>
        <w:t>будители размножа</w:t>
      </w:r>
      <w:r>
        <w:softHyphen/>
        <w:t>ются в организме независимо друг от друга с проявл</w:t>
      </w:r>
      <w:r>
        <w:t>е</w:t>
      </w:r>
      <w:r>
        <w:t>нием клинических при</w:t>
      </w:r>
      <w:r>
        <w:softHyphen/>
        <w:t>знаков каждого из заболеваний; в других случаях один из воз</w:t>
      </w:r>
      <w:r>
        <w:softHyphen/>
        <w:t>будителей подавляет размножение другого (других) или взаи</w:t>
      </w:r>
      <w:r>
        <w:t>м</w:t>
      </w:r>
      <w:r>
        <w:t>но подавляют друг друга, т.е. происходит интерференция возбудителей; не исключена возможность, что один или два возбудителя усиливают ра</w:t>
      </w:r>
      <w:r>
        <w:t>з</w:t>
      </w:r>
      <w:r>
        <w:t>множение или патогенность другого (других) и один из них превалирует по клинике и патоморфологии над другой (другими) болезнью (экзальт</w:t>
      </w:r>
      <w:r>
        <w:t>а</w:t>
      </w:r>
      <w:r>
        <w:t>ция возбудителя (возбудителей)).</w:t>
      </w:r>
    </w:p>
    <w:p w:rsidR="00F4654E" w:rsidRDefault="00F4654E">
      <w:pPr>
        <w:pStyle w:val="a6"/>
      </w:pPr>
      <w:r>
        <w:t>Мы считаем, что в вопросах взаимодействия  (интерференции) вир</w:t>
      </w:r>
      <w:r>
        <w:t>у</w:t>
      </w:r>
      <w:r>
        <w:t>сов следует рассматривать и положение, при котором один, два и более возбудителей не размножаются в организме животного или культуре кл</w:t>
      </w:r>
      <w:r>
        <w:t>е</w:t>
      </w:r>
      <w:r>
        <w:t xml:space="preserve">ток (нечувствительность к тем или иным вирусам). </w:t>
      </w:r>
    </w:p>
    <w:p w:rsidR="00F4654E" w:rsidRDefault="00F4654E">
      <w:pPr>
        <w:pStyle w:val="a6"/>
      </w:pPr>
      <w:r>
        <w:t xml:space="preserve">Однако все эти взаимодействия зависят от вида возбудителей болезни,  заражающей дозы, последовательности инфицирования и вида животного </w:t>
      </w:r>
      <w:r>
        <w:lastRenderedPageBreak/>
        <w:t>или культур клеток. (Жданов В.М., Букринская А.Т., 1960; Айсакс А., 1964; Вильчек Я., 1963; Baluda М.А., 1959; Зотов А.П., 1966).</w:t>
      </w:r>
    </w:p>
    <w:p w:rsidR="00F4654E" w:rsidRDefault="00F4654E">
      <w:pPr>
        <w:pStyle w:val="a6"/>
      </w:pPr>
      <w:r>
        <w:t>Для изучения этих вопросов были взяты штаммы вируса чумы парн</w:t>
      </w:r>
      <w:r>
        <w:t>о</w:t>
      </w:r>
      <w:r>
        <w:t>копытных животных (КРС)  - эпизоотический («К») и вакцинные («ЛТ» и К-37</w:t>
      </w:r>
      <w:r>
        <w:rPr>
          <w:vertAlign w:val="subscript"/>
        </w:rPr>
        <w:t>70</w:t>
      </w:r>
      <w:r>
        <w:t>), а также штаммы вируса катаральной лихорадки овец (КЛО) (бл</w:t>
      </w:r>
      <w:r>
        <w:t>ю</w:t>
      </w:r>
      <w:r>
        <w:t>танга) – эпизоотические (шт. 874, Gil-Gil) и вакцинные (шт. 874 и полив</w:t>
      </w:r>
      <w:r>
        <w:t>а</w:t>
      </w:r>
      <w:r>
        <w:t>лентная вирусвакцина 4-х серотипов из 26 существующих). Взаимодейс</w:t>
      </w:r>
      <w:r>
        <w:t>т</w:t>
      </w:r>
      <w:r>
        <w:t>вие указанных вирусов (эпизоотических и вакцинных) изучали на культ</w:t>
      </w:r>
      <w:r>
        <w:t>у</w:t>
      </w:r>
      <w:r>
        <w:t>рах клеток ПЯ (почка ягненка) и ПП (почка поросенка), а также на телятах и овцах.</w:t>
      </w:r>
    </w:p>
    <w:p w:rsidR="00F4654E" w:rsidRDefault="00F4654E">
      <w:pPr>
        <w:pStyle w:val="a6"/>
      </w:pPr>
      <w:r>
        <w:t>Все серологические, биологические и вирусологические исследования проводили по методикам, описанным в практических руководствах.</w:t>
      </w:r>
    </w:p>
    <w:p w:rsidR="00F4654E" w:rsidRDefault="00F4654E">
      <w:pPr>
        <w:pStyle w:val="a6"/>
      </w:pPr>
      <w:r>
        <w:t>Было установлено, что между вирусами чумы КРС и КЛО в перекр</w:t>
      </w:r>
      <w:r>
        <w:t>е</w:t>
      </w:r>
      <w:r>
        <w:t>стных серологических реакциях нет ни антигенного (в РСК, РДП, ИФА и МФА), ни иммуногенного родства (в РН). Однако, одновременное инф</w:t>
      </w:r>
      <w:r>
        <w:t>и</w:t>
      </w:r>
      <w:r>
        <w:t xml:space="preserve">цирование культуры клеток ПЯ вакцинными штаммами вирусов чумы КРС и КЛО с равной множественностью заражения (от 0,2 до 0,0002 ТЦД </w:t>
      </w:r>
      <w:r>
        <w:rPr>
          <w:sz w:val="32"/>
          <w:vertAlign w:val="subscript"/>
        </w:rPr>
        <w:t>50/кл</w:t>
      </w:r>
      <w:r>
        <w:t>) заметных различий в степени накопления этих вирусов, по сравнению с контролями на 3-5 сутки культивирования, установить не удалось. Причем, в инфицированных культурах клеток ПЯ ЦПД было характерное как для вируса чумы КРС, так и вируса КЛО, но сроки его появления зависели от величины инфицирующей дозы. Следовательно, одновременное инфиц</w:t>
      </w:r>
      <w:r>
        <w:t>и</w:t>
      </w:r>
      <w:r>
        <w:t xml:space="preserve">рование культур клеток ПЯ вирусами чумы КРС и КЛО вызывает течение смешанной инфекции. В 1-2% клеток инфицированного монослоя на 3-5 дни удается электронно-микроскопически рассмотреть в одной и той же клетке сборку вирионов КЛО и чумы КРС. </w:t>
      </w:r>
    </w:p>
    <w:p w:rsidR="00F4654E" w:rsidRDefault="00F4654E">
      <w:pPr>
        <w:pStyle w:val="a6"/>
      </w:pPr>
      <w:r>
        <w:t>В тоже время, при последовательном инфицировании этой же культ</w:t>
      </w:r>
      <w:r>
        <w:t>у</w:t>
      </w:r>
      <w:r>
        <w:t>ры клеток указанными вирусами наблюдается интерференция, степень проявления которой зависит от времени последующего заражения прете</w:t>
      </w:r>
      <w:r>
        <w:t>н</w:t>
      </w:r>
      <w:r>
        <w:t>дующим вирусом и множественности инфицирования этой культуры и</w:t>
      </w:r>
      <w:r>
        <w:t>н</w:t>
      </w:r>
      <w:r>
        <w:t>терферирующим вирусом. Поэтому, использование культуры клеток ПЯ и вирусов чумы КРС и КЛО в качестве интерферирующих, и затем их поп</w:t>
      </w:r>
      <w:r>
        <w:t>е</w:t>
      </w:r>
      <w:r>
        <w:t>ременно в качестве претендующих нами было установлено, что оба вируса в культуре клеток ПЯ обладают интерферирующими свойствами в отн</w:t>
      </w:r>
      <w:r>
        <w:t>о</w:t>
      </w:r>
      <w:r>
        <w:t>шении друг друга (кто был раньше для инфицирования клеток, тот и выз</w:t>
      </w:r>
      <w:r>
        <w:t>ы</w:t>
      </w:r>
      <w:r>
        <w:t>вает интерференцию). Во всех случаях титры вирусов по сравнению с ко</w:t>
      </w:r>
      <w:r>
        <w:t>н</w:t>
      </w:r>
      <w:r>
        <w:t>тролями отличались существенно (Р&lt; 0,05).</w:t>
      </w:r>
    </w:p>
    <w:p w:rsidR="00F4654E" w:rsidRDefault="00F4654E">
      <w:pPr>
        <w:pStyle w:val="a6"/>
      </w:pPr>
      <w:r>
        <w:t>При замене культуры клеток ПЯ на культуру ПП было установлено, что в этой культуре вирус КЛО при одновременном инфицировании ее в</w:t>
      </w:r>
      <w:r>
        <w:t>и</w:t>
      </w:r>
      <w:r>
        <w:t>русом чумы КРС обладает выраженным интерферирующим действием. Причем, различия в множественности одновременного заражения этой культуры указанными вирусами (в 10-100 раз) не имели отличий в проя</w:t>
      </w:r>
      <w:r>
        <w:t>в</w:t>
      </w:r>
      <w:r>
        <w:t>лении феномена интерференции со стороны вируса КЛО в отношении в</w:t>
      </w:r>
      <w:r>
        <w:t>и</w:t>
      </w:r>
      <w:r>
        <w:lastRenderedPageBreak/>
        <w:t>руса чумы КРС. Таким образом, проведенные исследования по изучению взаимодействия вирусов чумы КРС и КЛО в культурах клеток ПЯ и ПП показывают, что наличие или отсутствие интерферирующей способности у того или иного вируса зависит от вида культур клеток, последовательности и множественности их инфицирования.</w:t>
      </w:r>
    </w:p>
    <w:p w:rsidR="00F4654E" w:rsidRDefault="00F4654E">
      <w:pPr>
        <w:pStyle w:val="a6"/>
      </w:pPr>
      <w:r>
        <w:t>Проведя исследования по изучению взаимодействия вирусов чумы КРС и КЛО в культурах клеток ПЯ и ПП, мы изучили этот вопрос в орг</w:t>
      </w:r>
      <w:r>
        <w:t>а</w:t>
      </w:r>
      <w:r>
        <w:t>низме овец и телят, так как он представляет наибольший интерес с практ</w:t>
      </w:r>
      <w:r>
        <w:t>и</w:t>
      </w:r>
      <w:r>
        <w:t>ческой и теоретической точек зрения. В первую серию опытов было взято 49 овец, при этом 19-ти вводили эпизоотический вирус чумы КРС (шт. «К») в дозе 4,0 lg ИД</w:t>
      </w:r>
      <w:r>
        <w:rPr>
          <w:vertAlign w:val="subscript"/>
        </w:rPr>
        <w:t>50</w:t>
      </w:r>
      <w:r>
        <w:t>, а затем их же заражали повторно эпизоотическим вирусом КЛО (шт. 874) в той же дозе, т.е. 4,0 lg LD</w:t>
      </w:r>
      <w:r>
        <w:rPr>
          <w:vertAlign w:val="subscript"/>
        </w:rPr>
        <w:t>50</w:t>
      </w:r>
      <w:r>
        <w:t>. В качестве контроля оставляли 15 овец, зараженных вирусом чумы КРС и 15 - вирусом КЛО.</w:t>
      </w:r>
    </w:p>
    <w:p w:rsidR="00F4654E" w:rsidRDefault="00F4654E">
      <w:pPr>
        <w:pStyle w:val="a6"/>
      </w:pPr>
      <w:r>
        <w:t>Установлено, что если вирус КЛО вводили одновременно или через 3-4 недели после переболевания овец чумой, то вирус чумы КРС обладал и</w:t>
      </w:r>
      <w:r>
        <w:t>н</w:t>
      </w:r>
      <w:r>
        <w:t>терферирующим действием по отношению вируса КЛО. Так, из 7 инфиц</w:t>
      </w:r>
      <w:r>
        <w:t>и</w:t>
      </w:r>
      <w:r>
        <w:t>рованных животных вирусом чумы, а через 3-4 недели – вирусом КЛО ни одно из них не заболело и не пало, в то время как в контрольной группе на вирус КЛО, из 15 инфицированных овец пало 13 и две переболели. При введении вируса КЛО в более поздние сроки (через 5 недель) отмечено о</w:t>
      </w:r>
      <w:r>
        <w:t>с</w:t>
      </w:r>
      <w:r>
        <w:t>лабление интерферирующего действия вируса чумы по отношению вируса КЛО. Так, из 5 инфицированных овец вирусом КЛО пало одно и перебол</w:t>
      </w:r>
      <w:r>
        <w:t>е</w:t>
      </w:r>
      <w:r>
        <w:t>ло 4-е животных.</w:t>
      </w:r>
    </w:p>
    <w:p w:rsidR="00F4654E" w:rsidRDefault="00F4654E">
      <w:pPr>
        <w:pStyle w:val="a6"/>
      </w:pPr>
      <w:r>
        <w:t>При проверке иммунитета у выживших животных через 21 день после заражения установлено, что овцы имели иммунитет против чумы КРС в 100%, а против КЛО – только в 40% случаев.</w:t>
      </w:r>
    </w:p>
    <w:p w:rsidR="00F4654E" w:rsidRDefault="00F4654E">
      <w:pPr>
        <w:pStyle w:val="a6"/>
        <w:rPr>
          <w:spacing w:val="-4"/>
        </w:rPr>
      </w:pPr>
      <w:r>
        <w:rPr>
          <w:spacing w:val="-4"/>
        </w:rPr>
        <w:t>Аналогичные исследования с теми же вирусами, но взятыми в обратной последовательности, провели на 50-ти животных. Первоначально 17 овцам и 3 телятам вводили эпизоотический вирус КЛО, а затем эпизоотический вирус чумы в различные сроки течения болезни КЛО. Остальные животные служ</w:t>
      </w:r>
      <w:r>
        <w:rPr>
          <w:spacing w:val="-4"/>
        </w:rPr>
        <w:t>и</w:t>
      </w:r>
      <w:r>
        <w:rPr>
          <w:spacing w:val="-4"/>
        </w:rPr>
        <w:t>ли контролем активности и патогенности вирусов КЛО и чумы КРС. Иссл</w:t>
      </w:r>
      <w:r>
        <w:rPr>
          <w:spacing w:val="-4"/>
        </w:rPr>
        <w:t>е</w:t>
      </w:r>
      <w:r>
        <w:rPr>
          <w:spacing w:val="-4"/>
        </w:rPr>
        <w:t>дования показали, что если эпизоотический вирус КЛО вводили в организм на 2 и более дней раньше, чем вирус чумы, то последний в меньшей степени проявлял патодепрессивные свойства в отношении катаральной лихорадки овец, и она в этом случае протекала в своей классической форме, а чума кл</w:t>
      </w:r>
      <w:r>
        <w:rPr>
          <w:spacing w:val="-4"/>
        </w:rPr>
        <w:t>и</w:t>
      </w:r>
      <w:r>
        <w:rPr>
          <w:spacing w:val="-4"/>
        </w:rPr>
        <w:t>нически не диагностировалась. У телят интерференция между этими вирус</w:t>
      </w:r>
      <w:r>
        <w:rPr>
          <w:spacing w:val="-4"/>
        </w:rPr>
        <w:t>а</w:t>
      </w:r>
      <w:r>
        <w:rPr>
          <w:spacing w:val="-4"/>
        </w:rPr>
        <w:t>ми не наблюдалась и они погибали от чумы КРС.</w:t>
      </w:r>
    </w:p>
    <w:p w:rsidR="00F4654E" w:rsidRDefault="00F4654E">
      <w:pPr>
        <w:pStyle w:val="a6"/>
        <w:rPr>
          <w:spacing w:val="-4"/>
        </w:rPr>
      </w:pPr>
      <w:r>
        <w:rPr>
          <w:spacing w:val="-4"/>
        </w:rPr>
        <w:t>Таким образом, оба вируса обладают взаимными патодепрессивными свойствами, так как одновременное введение их в организм овец не дает во</w:t>
      </w:r>
      <w:r>
        <w:rPr>
          <w:spacing w:val="-4"/>
        </w:rPr>
        <w:t>з</w:t>
      </w:r>
      <w:r>
        <w:rPr>
          <w:spacing w:val="-4"/>
        </w:rPr>
        <w:t>можности ни одному из них проявить свое высокое патогенное действие. Это наблюдается в контрольных опытах по инфицированию животных одним из этих возбудителей болезни, так как вирус чумы обладает интерферирующим и иммунодепрессивным свойствами по отношению к вирусу КЛО.</w:t>
      </w:r>
    </w:p>
    <w:p w:rsidR="00F4654E" w:rsidRDefault="00F4654E">
      <w:pPr>
        <w:pStyle w:val="a6"/>
      </w:pPr>
      <w:r>
        <w:lastRenderedPageBreak/>
        <w:t>Что касается вакцинных штаммов вируса чумы КРС (шт. ЛТ и К-37</w:t>
      </w:r>
      <w:r>
        <w:rPr>
          <w:vertAlign w:val="subscript"/>
        </w:rPr>
        <w:t>70</w:t>
      </w:r>
      <w:r>
        <w:t>) и КЛО (шт. 874 и поливалентная вирус-вакцина против КЛО), то они в о</w:t>
      </w:r>
      <w:r>
        <w:t>р</w:t>
      </w:r>
      <w:r>
        <w:t>ганизме овец и КРС между собой не обладают интерферирующими и и</w:t>
      </w:r>
      <w:r>
        <w:t>м</w:t>
      </w:r>
      <w:r>
        <w:t>мунодепрессивными свойствами независимо от последовательности и доз их введения. Однако, при изучении интерферирующей роли вакцинных штаммов ЛТ и К-37</w:t>
      </w:r>
      <w:r>
        <w:rPr>
          <w:vertAlign w:val="subscript"/>
        </w:rPr>
        <w:t xml:space="preserve">70 </w:t>
      </w:r>
      <w:r>
        <w:t>вируса чумы в отношении эпизоотических вирусов КЛО (шт. 874, Gil-Gil) было установлено, что они обладают патодепре</w:t>
      </w:r>
      <w:r>
        <w:t>с</w:t>
      </w:r>
      <w:r>
        <w:t>сивными свойствами и шт. ЛТ способен в 70-84% случаев предохранять овец от гибели при заражении их вирусом КЛО в течение первых 4 недель с момента иммунизации овец против чумы КРС..</w:t>
      </w:r>
    </w:p>
    <w:p w:rsidR="00F4654E" w:rsidRDefault="00F4654E">
      <w:pPr>
        <w:pStyle w:val="a6"/>
      </w:pPr>
      <w:r>
        <w:t>Кроме того, доказано, что пассирование аттенуированных вирусов поливалентной вакцины КЛО, дающей реверсию штаммов в организме овец через 5 последовательных пассажей за счет их рекомбинации, совм</w:t>
      </w:r>
      <w:r>
        <w:t>е</w:t>
      </w:r>
      <w:r>
        <w:t>стно с вакцинными штаммами вируса чумы не ревертируют и даже при 7 последовательных пассажах. Однако совместное пассирование эпизоот</w:t>
      </w:r>
      <w:r>
        <w:t>и</w:t>
      </w:r>
      <w:r>
        <w:t>ческих штаммов вирусов КЛО и чумы КРС показало, что уже на 2-3 па</w:t>
      </w:r>
      <w:r>
        <w:t>с</w:t>
      </w:r>
      <w:r>
        <w:t>сажах у овец проявляется клинически и подтверждается серологически только чума КРС, а вирус КЛО интерферируется и не передается в пасс</w:t>
      </w:r>
      <w:r>
        <w:t>а</w:t>
      </w:r>
      <w:r>
        <w:t>жах с кровью. При заражении таких овец вирусом КЛО (шт. 874) наблюд</w:t>
      </w:r>
      <w:r>
        <w:t>а</w:t>
      </w:r>
      <w:r>
        <w:t>ли гибель овец с клиникой и патоморфологией этой болезни.</w:t>
      </w:r>
    </w:p>
    <w:p w:rsidR="00F4654E" w:rsidRDefault="00F4654E">
      <w:pPr>
        <w:pStyle w:val="a6"/>
      </w:pPr>
      <w:r>
        <w:t>Мы считаем, что наличие интерференции и возможной связи ее с и</w:t>
      </w:r>
      <w:r>
        <w:t>н</w:t>
      </w:r>
      <w:r>
        <w:t xml:space="preserve">терфероном, крайне усложняют не только диагностику болезни, но и их профилактику. </w:t>
      </w:r>
    </w:p>
    <w:p w:rsidR="00F4654E" w:rsidRDefault="00F4654E">
      <w:pPr>
        <w:pStyle w:val="a4"/>
      </w:pPr>
      <w:r>
        <w:t>УДК 619:616.988.27:636.4</w:t>
      </w:r>
    </w:p>
    <w:p w:rsidR="00F4654E" w:rsidRDefault="00F4654E">
      <w:pPr>
        <w:pStyle w:val="1"/>
      </w:pPr>
      <w:bookmarkStart w:id="496" w:name="_Toc10731060"/>
      <w:bookmarkStart w:id="497" w:name="_Toc10731721"/>
      <w:bookmarkStart w:id="498" w:name="_Toc10891554"/>
      <w:bookmarkStart w:id="499" w:name="_Toc10892229"/>
      <w:bookmarkStart w:id="500" w:name="_Toc11390089"/>
      <w:bookmarkStart w:id="501" w:name="_Toc11839774"/>
      <w:bookmarkStart w:id="502" w:name="_Toc11937310"/>
      <w:r>
        <w:t xml:space="preserve">КЛАССИЧЕСКАЯ ЧУМА СВИНЕЙ </w:t>
      </w:r>
      <w:r>
        <w:br/>
        <w:t>(ИММУНОЛОГИЧЕСКИЕ АСПЕКТЫ ИНФЕКЦИИ)</w:t>
      </w:r>
      <w:bookmarkEnd w:id="496"/>
      <w:bookmarkEnd w:id="497"/>
      <w:bookmarkEnd w:id="498"/>
      <w:bookmarkEnd w:id="499"/>
      <w:bookmarkEnd w:id="500"/>
      <w:bookmarkEnd w:id="501"/>
      <w:bookmarkEnd w:id="502"/>
    </w:p>
    <w:p w:rsidR="00F4654E" w:rsidRDefault="00F4654E">
      <w:pPr>
        <w:pStyle w:val="2"/>
        <w:rPr>
          <w:sz w:val="6"/>
        </w:rPr>
      </w:pPr>
      <w:bookmarkStart w:id="503" w:name="_Toc10731061"/>
      <w:bookmarkStart w:id="504" w:name="_Toc10731722"/>
      <w:bookmarkStart w:id="505" w:name="_Toc10891555"/>
      <w:bookmarkStart w:id="506" w:name="_Toc10892230"/>
      <w:bookmarkStart w:id="507" w:name="_Toc11390090"/>
      <w:bookmarkStart w:id="508" w:name="_Toc11937311"/>
      <w:r>
        <w:t>Ануфриев А.И.</w:t>
      </w:r>
      <w:bookmarkEnd w:id="503"/>
      <w:bookmarkEnd w:id="504"/>
      <w:bookmarkEnd w:id="505"/>
      <w:bookmarkEnd w:id="506"/>
      <w:bookmarkEnd w:id="507"/>
      <w:bookmarkEnd w:id="508"/>
    </w:p>
    <w:p w:rsidR="00F4654E" w:rsidRDefault="00F4654E">
      <w:pPr>
        <w:pStyle w:val="a5"/>
      </w:pPr>
      <w:r>
        <w:t>Всероссийский НИВИ патологии, фармакологии и терапии</w:t>
      </w:r>
    </w:p>
    <w:p w:rsidR="00F4654E" w:rsidRDefault="00F4654E">
      <w:pPr>
        <w:pStyle w:val="a6"/>
      </w:pPr>
      <w:r>
        <w:t>Классическая чума свиней (КЧС) – контагиозная  инфекционная в</w:t>
      </w:r>
      <w:r>
        <w:t>и</w:t>
      </w:r>
      <w:r>
        <w:t>русная болезнь, характеризующаяся острым, подострым и хроническим течением. Для острого течения болезни характерны гипертермия и гемо</w:t>
      </w:r>
      <w:r>
        <w:t>р</w:t>
      </w:r>
      <w:r>
        <w:t>рагический диатез. Такая форма течения характерна для свиней, где КЧС появилась впервые и среди неиммунного поголовья. В остальных случаях, особенно среди вакцинированных свиней, болезнь протекает в подострой или хронической формах с некоторыми из признаков: лихорадки, либо диатеза, либо поражения легких (крупозное воспаление) или толстого о</w:t>
      </w:r>
      <w:r>
        <w:t>т</w:t>
      </w:r>
      <w:r>
        <w:t xml:space="preserve">дела кишечника (крупозно-дифтеретическое воспаление). </w:t>
      </w:r>
    </w:p>
    <w:p w:rsidR="00F4654E" w:rsidRDefault="00F4654E">
      <w:pPr>
        <w:pStyle w:val="a6"/>
      </w:pPr>
      <w:r>
        <w:t>Следует отметить, что формирование резистентности у вакцинир</w:t>
      </w:r>
      <w:r>
        <w:t>о</w:t>
      </w:r>
      <w:r>
        <w:t xml:space="preserve">ванных свиней происходит до выявления вируснейтрализующих антител, очевидно, за счет естественных киллеров и цитотоксических лимфоцитов (Шубина Н.Г. и др., 1995). Однако, как утверждают другие исследователи </w:t>
      </w:r>
      <w:r>
        <w:lastRenderedPageBreak/>
        <w:t>(Витин В.Г. и др., 1992) специфическую защиту от заболевания КЧС и г</w:t>
      </w:r>
      <w:r>
        <w:t>и</w:t>
      </w:r>
      <w:r>
        <w:t>бели можно создать у 100% вакцинированных животных уже через двое суток после однократной внутримышечной вакцинации биопрепаратом ЛК ВНИИВВиМ в дозе 1млн ИмД</w:t>
      </w:r>
      <w:r>
        <w:rPr>
          <w:vertAlign w:val="subscript"/>
        </w:rPr>
        <w:t>50</w:t>
      </w:r>
      <w:r>
        <w:t>/животное. Вакцина может быть с успехом применена для обрыва этой болезни в неблагополучных хозяйствах и тем самым до минимума сократить ущерб свиноводческому предприятию. Кроме того, эффективность вакцинации при КЧС во многом зависит от: схемы иммунизации свиноматок, поросят различных половозрастных групп, а также сроков их ревакцинации, которые зависят от эпизоотич</w:t>
      </w:r>
      <w:r>
        <w:t>е</w:t>
      </w:r>
      <w:r>
        <w:t xml:space="preserve">ской ситуации в хозяйстве. </w:t>
      </w:r>
    </w:p>
    <w:p w:rsidR="00F4654E" w:rsidRDefault="00F4654E">
      <w:pPr>
        <w:pStyle w:val="a6"/>
      </w:pPr>
      <w:r>
        <w:t>С целью передачи материнского иммунитета (колострального) пото</w:t>
      </w:r>
      <w:r>
        <w:t>м</w:t>
      </w:r>
      <w:r>
        <w:t>ству необходимо свиноматок вакцинировать за 20-30 дней до опороса, а полученных от них поросят – на 45 (Remond et al., 1981) или 70 дни жизни (Panjevic D., 1986; Terpstra et al., 1988; Moudini S., 1986). Однако, оральное введение живой вакцины за 1-2 часа до приема молозива сводит на нет о</w:t>
      </w:r>
      <w:r>
        <w:t>т</w:t>
      </w:r>
      <w:r>
        <w:t>рицательное влияние материнских антител и индуцирует устойчивый п</w:t>
      </w:r>
      <w:r>
        <w:t>о</w:t>
      </w:r>
      <w:r>
        <w:t>ства</w:t>
      </w:r>
      <w:r>
        <w:t>к</w:t>
      </w:r>
      <w:r>
        <w:t xml:space="preserve">цинальный иммунитет (Милев Н. и др., 1987). </w:t>
      </w:r>
    </w:p>
    <w:p w:rsidR="00F4654E" w:rsidRDefault="00F4654E">
      <w:pPr>
        <w:pStyle w:val="a6"/>
      </w:pPr>
      <w:r>
        <w:t>Вакцинацию поросят-сосунов, получивших молозиво, проводить бе</w:t>
      </w:r>
      <w:r>
        <w:t>с</w:t>
      </w:r>
      <w:r>
        <w:t>смысленно, так как при наличии колостральных антител поствакцинал</w:t>
      </w:r>
      <w:r>
        <w:t>ь</w:t>
      </w:r>
      <w:r>
        <w:t>ный иммунитет у них не формируется. Вынужденная вакцинация живо</w:t>
      </w:r>
      <w:r>
        <w:t>т</w:t>
      </w:r>
      <w:r>
        <w:t>ных отъемного возраста чревата риском провокации чумы, так как, не</w:t>
      </w:r>
      <w:r>
        <w:t>й</w:t>
      </w:r>
      <w:r>
        <w:t>трализуя остатки материнских антител, вакцина лишает поросят возмо</w:t>
      </w:r>
      <w:r>
        <w:t>ж</w:t>
      </w:r>
      <w:r>
        <w:t>ности защищаться в инфицированной среде (Ануфриев А.И., 1959, 1999, 2000). Следовательно, вакцинировать поросят до отъема еще рано, а после отъема – уже поздно. Поэтому чрезвычайно важно поросят вакцинировать перорально до приема молозива (Попов В.И. и др., 1983; Ауnaund J.M., 1988), когда срабатывает механизм упреждения (Витин В.Г. и др., 1992; Markowska D.J. et al., 1994). В доказательство вышеизложенному следует заметить, что при лечении КЧС гипериммунными специфическими сыв</w:t>
      </w:r>
      <w:r>
        <w:t>о</w:t>
      </w:r>
      <w:r>
        <w:t>ротками получены аналогичные результаты, т.е. лечение свиней через 7-8 дней после заражения не защищает их от гибели, а терапия в более ранние сроки приводит к переводу острого течения в хроническое и позволяет ж</w:t>
      </w:r>
      <w:r>
        <w:t>и</w:t>
      </w:r>
      <w:r>
        <w:t>вотным выживать, но оставаться вирусоносителями и иметь виремию (титр вируса в лейкоцитах 10</w:t>
      </w:r>
      <w:r>
        <w:rPr>
          <w:vertAlign w:val="superscript"/>
        </w:rPr>
        <w:t>4</w:t>
      </w:r>
      <w:r>
        <w:t>ККИД</w:t>
      </w:r>
      <w:r>
        <w:rPr>
          <w:vertAlign w:val="subscript"/>
        </w:rPr>
        <w:t>50</w:t>
      </w:r>
      <w:r>
        <w:t>/ млн. клеток). Хуже того, введение бол</w:t>
      </w:r>
      <w:r>
        <w:t>ь</w:t>
      </w:r>
      <w:r>
        <w:t>ным животным иммуномодуляторов приводит к быстрому летальному и</w:t>
      </w:r>
      <w:r>
        <w:t>с</w:t>
      </w:r>
      <w:r>
        <w:t>ходу (в течение 1-2 дней), а ингибиторов воспалительной реакции – к ли</w:t>
      </w:r>
      <w:r>
        <w:t>к</w:t>
      </w:r>
      <w:r>
        <w:t>видации симптомов болезни, но не к ликвидации персистенции возбудит</w:t>
      </w:r>
      <w:r>
        <w:t>е</w:t>
      </w:r>
      <w:r>
        <w:t>ля КЧС в макрофагах. Кроме того, активаторы воспалительной реакции (ЛПС, адъюванты, некоторые медиаторы и т.п.) усиливают симптомы б</w:t>
      </w:r>
      <w:r>
        <w:t>о</w:t>
      </w:r>
      <w:r>
        <w:t>лезни (сверхострое течение) и ускоряют гибель свиней от КЧС (Черм</w:t>
      </w:r>
      <w:r>
        <w:t>а</w:t>
      </w:r>
      <w:r>
        <w:t>шенцев В.И. и др., 1990, 1992, 1995).</w:t>
      </w:r>
    </w:p>
    <w:p w:rsidR="00F4654E" w:rsidRDefault="00F4654E">
      <w:pPr>
        <w:pStyle w:val="a6"/>
      </w:pPr>
      <w:r>
        <w:t>Учитывая вышеизложенное, мы провели исследования по выявлению антител в организме различных половозрастных групп свиней, вакцинир</w:t>
      </w:r>
      <w:r>
        <w:t>о</w:t>
      </w:r>
      <w:r>
        <w:lastRenderedPageBreak/>
        <w:t>ванных против КЧС аттенуированным штаммом ЛК-ВНИИВВиМ (в зав</w:t>
      </w:r>
      <w:r>
        <w:t>и</w:t>
      </w:r>
      <w:r>
        <w:t>симости от физиологического состояния, возраста животных, дозы вакц</w:t>
      </w:r>
      <w:r>
        <w:t>и</w:t>
      </w:r>
      <w:r>
        <w:t>ны). Титры антител к антигену вируса КЧС определяли реакцией нейтр</w:t>
      </w:r>
      <w:r>
        <w:t>а</w:t>
      </w:r>
      <w:r>
        <w:t>лизации флуоресцирующих микробляшек (РНФМБ) и выражали в log</w:t>
      </w:r>
      <w:r>
        <w:rPr>
          <w:vertAlign w:val="subscript"/>
        </w:rPr>
        <w:t xml:space="preserve">2 </w:t>
      </w:r>
      <w:r>
        <w:t>или методом конкурентного (непрямого) ИФА, где результат обозначали в процентах устойчивости организма. По данным Всероссийского НИИЗЖ (г. Владимир) титр антител в РНФМБ</w:t>
      </w:r>
      <w:r>
        <w:sym w:font="Symbol" w:char="F0B3"/>
      </w:r>
      <w:r>
        <w:t>5,0 log</w:t>
      </w:r>
      <w:r>
        <w:rPr>
          <w:vertAlign w:val="subscript"/>
        </w:rPr>
        <w:t xml:space="preserve">2 </w:t>
      </w:r>
      <w:r>
        <w:t>животные устойчивы к з</w:t>
      </w:r>
      <w:r>
        <w:t>а</w:t>
      </w:r>
      <w:r>
        <w:t>ражению эпизоотическим вирусом КЧС, а конкурентным ИФА от 0 до 50,0% - не устойчивы к заражению; от 50 до 60% – сомнительная  устойч</w:t>
      </w:r>
      <w:r>
        <w:t>и</w:t>
      </w:r>
      <w:r>
        <w:t>вость и больше 60,0% – низкая, средняя и высокая устойчивость.</w:t>
      </w:r>
    </w:p>
    <w:p w:rsidR="00F4654E" w:rsidRDefault="00F4654E">
      <w:pPr>
        <w:pStyle w:val="a6"/>
      </w:pPr>
      <w:r>
        <w:t>Исследования показали, что свиноматки на 112 день супоросности, иммунизированные за 10-11 месяцев до опороса (вакцинация один раз в год) вакциной ЛК-ВНИИВВиМ остаются еще невосприимчивыми к зар</w:t>
      </w:r>
      <w:r>
        <w:t>а</w:t>
      </w:r>
      <w:r>
        <w:t>жению вирусом КЧС, так как имеют средний процент устойчивости (75-78,6%) перед вторым опоросом, а привитые этой же вакциной за 1,5-1 м</w:t>
      </w:r>
      <w:r>
        <w:t>е</w:t>
      </w:r>
      <w:r>
        <w:t>сяц до опороса имеют высокий процент устойчивости (93,5%). Если таких животных, вакцинированных дважды в год, на 16 день лактации снова и</w:t>
      </w:r>
      <w:r>
        <w:t>м</w:t>
      </w:r>
      <w:r>
        <w:t xml:space="preserve">мунизировать, то в их организме титр антител падает, устойчивость хотя и снижается до 89,5%, но остается высокой. </w:t>
      </w:r>
    </w:p>
    <w:p w:rsidR="00F4654E" w:rsidRDefault="00F4654E">
      <w:pPr>
        <w:pStyle w:val="a6"/>
      </w:pPr>
      <w:r>
        <w:t>Мы полагаем, что в этом случае происходит соединение антигена с антителом с последующей элиминацией этих комплексов. В то же время ¼ поголовья поросят на 25 день жизни и лактации вакцинированных свин</w:t>
      </w:r>
      <w:r>
        <w:t>о</w:t>
      </w:r>
      <w:r>
        <w:t>маток имеют колостральные антитела и индивидуальную устойчивость, составляющую 85,6%, а ¾ стада этих животных – не устойчивы к зараж</w:t>
      </w:r>
      <w:r>
        <w:t>е</w:t>
      </w:r>
      <w:r>
        <w:t>нию этим вирусом, так как у этих поросят методом конкурентного ИФА устойчивость составляет 25-58%. Если таких поросят в 25-дневном возра</w:t>
      </w:r>
      <w:r>
        <w:t>с</w:t>
      </w:r>
      <w:r>
        <w:t>те вакцинировать 1-ой или 10</w:t>
      </w:r>
      <w:r>
        <w:rPr>
          <w:vertAlign w:val="superscript"/>
        </w:rPr>
        <w:t>-10</w:t>
      </w:r>
      <w:r>
        <w:t xml:space="preserve"> ИмД</w:t>
      </w:r>
      <w:r>
        <w:rPr>
          <w:vertAlign w:val="subscript"/>
        </w:rPr>
        <w:t>50</w:t>
      </w:r>
      <w:r>
        <w:t>, то через 20-25 дней в их крови в</w:t>
      </w:r>
      <w:r>
        <w:t>ы</w:t>
      </w:r>
      <w:r>
        <w:t>являются антитела в низком титре (0,2-32% устойчивости по конкурентн</w:t>
      </w:r>
      <w:r>
        <w:t>о</w:t>
      </w:r>
      <w:r>
        <w:t>му методу ИФА, то есть отрицательный результат), а, следовательно, и о</w:t>
      </w:r>
      <w:r>
        <w:t>т</w:t>
      </w:r>
      <w:r>
        <w:t>сутствует устойчивость к заражению эпизоотическим вирусом.</w:t>
      </w:r>
    </w:p>
    <w:p w:rsidR="00F4654E" w:rsidRDefault="00F4654E">
      <w:pPr>
        <w:pStyle w:val="a6"/>
      </w:pPr>
      <w:r>
        <w:t>Анализ аналогичных материалов, полученных при оценке методом реакции флуоресцирующих микробляшек (в log</w:t>
      </w:r>
      <w:r>
        <w:rPr>
          <w:vertAlign w:val="subscript"/>
        </w:rPr>
        <w:t>2</w:t>
      </w:r>
      <w:r>
        <w:t>),  показал, что иммуниз</w:t>
      </w:r>
      <w:r>
        <w:t>а</w:t>
      </w:r>
      <w:r>
        <w:t>ция на 16 день лактации свиноматок и исследовании сывороток их крови на 112 день супоросности обнаруживаются антитела в титрах 4,98</w:t>
      </w:r>
      <w:r>
        <w:sym w:font="Symbol" w:char="F0B1"/>
      </w:r>
      <w:r>
        <w:t>0,58 log</w:t>
      </w:r>
      <w:r>
        <w:rPr>
          <w:vertAlign w:val="subscript"/>
        </w:rPr>
        <w:t xml:space="preserve">2. </w:t>
      </w:r>
      <w:r>
        <w:t>Такой титр антител указывает на сравнительно достаточную степень устойчивости свиноматок к КЧС в период опороса, так как при титре ант</w:t>
      </w:r>
      <w:r>
        <w:t>и</w:t>
      </w:r>
      <w:r>
        <w:t xml:space="preserve">тел </w:t>
      </w:r>
      <w:r>
        <w:sym w:font="Symbol" w:char="F0B3"/>
      </w:r>
      <w:r>
        <w:t xml:space="preserve"> 5,0 log</w:t>
      </w:r>
      <w:r>
        <w:rPr>
          <w:vertAlign w:val="subscript"/>
        </w:rPr>
        <w:t xml:space="preserve">2, </w:t>
      </w:r>
      <w:r>
        <w:t>гарантируется невосприимчивость животных к заражению этим возбудителем. Если учесть, что за 7 и 3 дня до и 3-х дней после родов у матерей резко снижается количество антител, которые переходят в мол</w:t>
      </w:r>
      <w:r>
        <w:t>о</w:t>
      </w:r>
      <w:r>
        <w:t>зиво. То уровень их 4,98</w:t>
      </w:r>
      <w:r>
        <w:sym w:font="Symbol" w:char="F0B1"/>
      </w:r>
      <w:r>
        <w:t>0,58 log</w:t>
      </w:r>
      <w:r>
        <w:rPr>
          <w:vertAlign w:val="subscript"/>
        </w:rPr>
        <w:t xml:space="preserve">2 </w:t>
      </w:r>
      <w:r>
        <w:t>является вполне достаточным для н</w:t>
      </w:r>
      <w:r>
        <w:t>е</w:t>
      </w:r>
      <w:r>
        <w:t>восприимчивости матерей к вирусу КЧС. Наряду с этим и поросята на 10-16 дни лактации свиноматок в сыворотках крови содержат колостральные антитела в титрах от 4,25 до 4,5 log</w:t>
      </w:r>
      <w:r>
        <w:rPr>
          <w:vertAlign w:val="subscript"/>
        </w:rPr>
        <w:t>2</w:t>
      </w:r>
      <w:r>
        <w:t>, а после вакцинации их на 25 и иссл</w:t>
      </w:r>
      <w:r>
        <w:t>е</w:t>
      </w:r>
      <w:r>
        <w:lastRenderedPageBreak/>
        <w:t>довании на 60 дни жизни титр антител несколько возрастает, но остается еще на нижней границе устойчивости (4,66-4,95 log</w:t>
      </w:r>
      <w:r>
        <w:rPr>
          <w:vertAlign w:val="subscript"/>
        </w:rPr>
        <w:t>2</w:t>
      </w:r>
      <w:r>
        <w:t>). Однако, если пор</w:t>
      </w:r>
      <w:r>
        <w:t>о</w:t>
      </w:r>
      <w:r>
        <w:t>сят вакцинировать в 45-50 дневном возрасте (при отъеме их в 60 дней), то титр антител у них был несколько выше, чем при вакцинации их в 25-дневном возрасте (5,5-5,8 log</w:t>
      </w:r>
      <w:r>
        <w:rPr>
          <w:vertAlign w:val="subscript"/>
        </w:rPr>
        <w:t>2</w:t>
      </w:r>
      <w:r>
        <w:t>).</w:t>
      </w:r>
    </w:p>
    <w:p w:rsidR="00F4654E" w:rsidRDefault="00F4654E">
      <w:pPr>
        <w:pStyle w:val="a6"/>
      </w:pPr>
      <w:r>
        <w:t>Таким образом, оба метода определения антител в крови и по ним оценки наличия невосприимчивости свинопоголовья к вирусу КЧС совп</w:t>
      </w:r>
      <w:r>
        <w:t>а</w:t>
      </w:r>
      <w:r>
        <w:t>дают и не противоречат друг другу, а снижение титров антител у свином</w:t>
      </w:r>
      <w:r>
        <w:t>а</w:t>
      </w:r>
      <w:r>
        <w:t>ток перед и после опороса, также как и у поросят в возрасте 20-25 дней я</w:t>
      </w:r>
      <w:r>
        <w:t>в</w:t>
      </w:r>
      <w:r>
        <w:t xml:space="preserve">ляется физиологическим явлением. </w:t>
      </w:r>
    </w:p>
    <w:p w:rsidR="00F4654E" w:rsidRDefault="00F4654E">
      <w:pPr>
        <w:pStyle w:val="a4"/>
      </w:pPr>
      <w:r>
        <w:t>УДК 619:616.983:636</w:t>
      </w:r>
    </w:p>
    <w:p w:rsidR="00F4654E" w:rsidRDefault="00F4654E">
      <w:pPr>
        <w:pStyle w:val="1"/>
      </w:pPr>
      <w:bookmarkStart w:id="509" w:name="_Toc10731063"/>
      <w:bookmarkStart w:id="510" w:name="_Toc10731724"/>
      <w:bookmarkStart w:id="511" w:name="_Toc10891557"/>
      <w:bookmarkStart w:id="512" w:name="_Toc10892232"/>
      <w:bookmarkStart w:id="513" w:name="_Toc11390091"/>
      <w:bookmarkStart w:id="514" w:name="_Toc11839776"/>
      <w:bookmarkStart w:id="515" w:name="_Toc11937312"/>
      <w:r>
        <w:t>ДИАГНОСТИКА И ПРОФИЛАКТИКА ХЛАМИДИОЗА У СВИНЕЙ</w:t>
      </w:r>
      <w:bookmarkEnd w:id="509"/>
      <w:bookmarkEnd w:id="510"/>
      <w:bookmarkEnd w:id="511"/>
      <w:bookmarkEnd w:id="512"/>
      <w:bookmarkEnd w:id="513"/>
      <w:bookmarkEnd w:id="514"/>
      <w:bookmarkEnd w:id="515"/>
    </w:p>
    <w:p w:rsidR="00F4654E" w:rsidRDefault="00F4654E">
      <w:pPr>
        <w:pStyle w:val="2"/>
      </w:pPr>
      <w:bookmarkStart w:id="516" w:name="_Toc10731064"/>
      <w:bookmarkStart w:id="517" w:name="_Toc10731725"/>
      <w:bookmarkStart w:id="518" w:name="_Toc10891558"/>
      <w:bookmarkStart w:id="519" w:name="_Toc10892233"/>
      <w:bookmarkStart w:id="520" w:name="_Toc11390092"/>
      <w:bookmarkStart w:id="521" w:name="_Toc11937313"/>
      <w:r>
        <w:t>Ануфриев П.А., Першина С.И.</w:t>
      </w:r>
      <w:bookmarkEnd w:id="516"/>
      <w:bookmarkEnd w:id="517"/>
      <w:bookmarkEnd w:id="518"/>
      <w:bookmarkEnd w:id="519"/>
      <w:bookmarkEnd w:id="520"/>
      <w:bookmarkEnd w:id="521"/>
      <w:r>
        <w:t>,Фролов Н.С.</w:t>
      </w:r>
    </w:p>
    <w:p w:rsidR="00F4654E" w:rsidRDefault="00F4654E">
      <w:pPr>
        <w:pStyle w:val="a5"/>
      </w:pPr>
      <w:r>
        <w:t>Всероссийский НИВИ патологии, фармакологии и терапии</w:t>
      </w:r>
    </w:p>
    <w:p w:rsidR="00F4654E" w:rsidRDefault="00F4654E">
      <w:pPr>
        <w:pStyle w:val="a6"/>
      </w:pPr>
      <w:r>
        <w:t>Хламидиоз (орнитоз) – зоонозная, хронически или остропротекающая инфекционная болезнь птиц, человека, крупного рогатого скота, овец, коз, свиней и пушных зверей, характеризующаяся наличием природных и вт</w:t>
      </w:r>
      <w:r>
        <w:t>о</w:t>
      </w:r>
      <w:r>
        <w:t>ричных антропургических очагов, вызываемая внутриклеточным возбуд</w:t>
      </w:r>
      <w:r>
        <w:t>и</w:t>
      </w:r>
      <w:r>
        <w:t>телем Chlamydia psittaci, рода Chlamydia. Основными носителями его в природе являются дикие и домашние птицы (более 140 видов), у которых он вызывает острое, хроническое или латентное течение болезни (Безд</w:t>
      </w:r>
      <w:r>
        <w:t>е</w:t>
      </w:r>
      <w:r>
        <w:t>нежных И.С., М., 1959; Терских И.И., М., 1965; Фомина А.Я., М., 1969; Дорофеев К.А., М., 1970; Борисова С.П., М., 1971; Андросик Н.Н., 1989).</w:t>
      </w:r>
    </w:p>
    <w:p w:rsidR="00F4654E" w:rsidRDefault="00F4654E">
      <w:pPr>
        <w:pStyle w:val="a6"/>
        <w:rPr>
          <w:spacing w:val="-4"/>
        </w:rPr>
      </w:pPr>
      <w:r>
        <w:rPr>
          <w:spacing w:val="-4"/>
        </w:rPr>
        <w:t>С помощью клинико-эпизоотологических, патологоанатомических, с</w:t>
      </w:r>
      <w:r>
        <w:rPr>
          <w:spacing w:val="-4"/>
        </w:rPr>
        <w:t>е</w:t>
      </w:r>
      <w:r>
        <w:rPr>
          <w:spacing w:val="-4"/>
        </w:rPr>
        <w:t>рологических, ИФА и ПЦР-исследований хламидиоз диагностирован у св</w:t>
      </w:r>
      <w:r>
        <w:rPr>
          <w:spacing w:val="-4"/>
        </w:rPr>
        <w:t>и</w:t>
      </w:r>
      <w:r>
        <w:rPr>
          <w:spacing w:val="-4"/>
        </w:rPr>
        <w:t>ней и других видов животных и птиц в хозяйствах Воронежской, Курской, Тамбовской, Волгоградской, Липецкой, Белгородской и других областей РФ. Нами подтверждено, что заражение свиней хламидиозом происходит в о</w:t>
      </w:r>
      <w:r>
        <w:rPr>
          <w:spacing w:val="-4"/>
        </w:rPr>
        <w:t>с</w:t>
      </w:r>
      <w:r>
        <w:rPr>
          <w:spacing w:val="-4"/>
        </w:rPr>
        <w:t>новном алиментарно при общении их в кормушках с больными птицами, н</w:t>
      </w:r>
      <w:r>
        <w:rPr>
          <w:spacing w:val="-4"/>
        </w:rPr>
        <w:t>о</w:t>
      </w:r>
      <w:r>
        <w:rPr>
          <w:spacing w:val="-4"/>
        </w:rPr>
        <w:t>сителями возбудителя болезни, или объектами внешней среды (корма, пре</w:t>
      </w:r>
      <w:r>
        <w:rPr>
          <w:spacing w:val="-4"/>
        </w:rPr>
        <w:t>д</w:t>
      </w:r>
      <w:r>
        <w:rPr>
          <w:spacing w:val="-4"/>
        </w:rPr>
        <w:t>меты ухода, выгульные площадки и т.д.), загрязненных фекалиями птиц, с</w:t>
      </w:r>
      <w:r>
        <w:rPr>
          <w:spacing w:val="-4"/>
        </w:rPr>
        <w:t>о</w:t>
      </w:r>
      <w:r>
        <w:rPr>
          <w:spacing w:val="-4"/>
        </w:rPr>
        <w:t>держащими хламидии (Воронежская и Тамбовская о</w:t>
      </w:r>
      <w:r>
        <w:rPr>
          <w:spacing w:val="-4"/>
        </w:rPr>
        <w:t>б</w:t>
      </w:r>
      <w:r>
        <w:rPr>
          <w:spacing w:val="-4"/>
        </w:rPr>
        <w:t>ласти).</w:t>
      </w:r>
    </w:p>
    <w:p w:rsidR="00F4654E" w:rsidRDefault="00F4654E">
      <w:pPr>
        <w:pStyle w:val="a6"/>
      </w:pPr>
      <w:r>
        <w:t xml:space="preserve"> Болезнь свиней характеризовалась развитием пневмоний, конъюн</w:t>
      </w:r>
      <w:r>
        <w:t>к</w:t>
      </w:r>
      <w:r>
        <w:t>тивитов, артритов у поросят, единичных или массовых абортов, прохол</w:t>
      </w:r>
      <w:r>
        <w:t>о</w:t>
      </w:r>
      <w:r>
        <w:t>стов у свиноматок и наличием мертворожденного и не жизнеспособного потомства. У свиноматок первого опороса аборты составляли 4-17, а пр</w:t>
      </w:r>
      <w:r>
        <w:t>о</w:t>
      </w:r>
      <w:r>
        <w:t>холосты – 40-70%, а у основных свиноматок они не превышали 2-4 и 5-12% соответственно. Наряду с этим  в 3-х случаях из 4-х отмечено, что особую опасность, как источник заражения, представляют больные хлам</w:t>
      </w:r>
      <w:r>
        <w:t>и</w:t>
      </w:r>
      <w:r>
        <w:t>диозом свиноматки, принесшие не жизнеспособное потомство или аборт</w:t>
      </w:r>
      <w:r>
        <w:t>и</w:t>
      </w:r>
      <w:r>
        <w:lastRenderedPageBreak/>
        <w:t>ровавшие. Контакт с ними серонегативных свиноматок приводил к сер</w:t>
      </w:r>
      <w:r>
        <w:t>о</w:t>
      </w:r>
      <w:r>
        <w:t xml:space="preserve">конверсии у них через 20-40 дней (титр антител  в РНГА  1:80 и выше). </w:t>
      </w:r>
    </w:p>
    <w:p w:rsidR="00F4654E" w:rsidRDefault="00F4654E">
      <w:pPr>
        <w:pStyle w:val="a6"/>
      </w:pPr>
      <w:r>
        <w:t>Не меньшую опасность представляли хряки-производители с клин</w:t>
      </w:r>
      <w:r>
        <w:t>и</w:t>
      </w:r>
      <w:r>
        <w:t xml:space="preserve">ческими признаками болезни (уретрит, кровотечения из уретры, наличие крови в сперме, орхит и баланопостит) или серопозитивные в РНГА. Они эту болезнь серонегативным свиноматкам передавали при естественной случке или искусственном осеменении. </w:t>
      </w:r>
    </w:p>
    <w:p w:rsidR="00A11B7B" w:rsidRDefault="00F4654E">
      <w:pPr>
        <w:pStyle w:val="a6"/>
      </w:pPr>
      <w:r>
        <w:t>Клинически здоровые хряки-производители и не имеющие в сыворо</w:t>
      </w:r>
      <w:r>
        <w:t>т</w:t>
      </w:r>
      <w:r>
        <w:t>ке крови в РНГА противохламидиозных антител, серонегативных свин</w:t>
      </w:r>
      <w:r>
        <w:t>о</w:t>
      </w:r>
      <w:r>
        <w:t>маток при естественном осеменении не заражали хламидиозом и они ост</w:t>
      </w:r>
      <w:r>
        <w:t>а</w:t>
      </w:r>
      <w:r>
        <w:t>вались серонегативными в течение месяца с момента оплодотворения (срок наблюдения). У заразившихся свиноматок от больных хряков или инфицированных через сперму, хламидиоз проявлялся, прежде всего, в о</w:t>
      </w:r>
      <w:r>
        <w:t>б</w:t>
      </w:r>
      <w:r>
        <w:t>наружении антител против хламидий в сыворотке крови в РНГА у серон</w:t>
      </w:r>
      <w:r>
        <w:t>е</w:t>
      </w:r>
      <w:r>
        <w:t>гативных до осеменения животных. В последующем среди таких свином</w:t>
      </w:r>
      <w:r>
        <w:t>а</w:t>
      </w:r>
      <w:r>
        <w:t>ток, в зависимости от хозяйства, наблюдали ранние (первые 36 дней) и поздние аборты (80-90дней супоросности), составляющие 5-20 и 4-10% с</w:t>
      </w:r>
      <w:r>
        <w:t>о</w:t>
      </w:r>
      <w:r>
        <w:t>ответственно. Наряду с этим нами установлено, что возбудитель хлам</w:t>
      </w:r>
      <w:r>
        <w:t>и</w:t>
      </w:r>
      <w:r>
        <w:t>диоза потомству может быть передан свиноматкой трансплацентарно, т.е. (вертикально). Так, в кляч-препаратах из органов аборт-плодов и их пл</w:t>
      </w:r>
      <w:r>
        <w:t>а</w:t>
      </w:r>
      <w:r>
        <w:t>цент, от павших не жизнеспособных поросят, погибших от хламидиоза в подсосный и доращивания периоды, а также из органов зараженных белых мышей патологическим материалом и погибших на 3-5 дни после инфиц</w:t>
      </w:r>
      <w:r>
        <w:t>и</w:t>
      </w:r>
      <w:r>
        <w:t>рования, обнаруживали тельца-включения в препаратах, окрашенных по Романовскому-Гимза и Маккиавелло соответственно в фиолетовый и кра</w:t>
      </w:r>
      <w:r>
        <w:t>с</w:t>
      </w:r>
      <w:r>
        <w:t xml:space="preserve">ный цвета. </w:t>
      </w:r>
    </w:p>
    <w:p w:rsidR="00F4654E" w:rsidRDefault="00F4654E">
      <w:pPr>
        <w:pStyle w:val="a6"/>
      </w:pPr>
      <w:r>
        <w:t>Все это, как биологическими, так и микробиологическими методами подтвердило наличие хламидиоза у свиней в обследованных хозя</w:t>
      </w:r>
      <w:r>
        <w:t>й</w:t>
      </w:r>
      <w:r>
        <w:t>ствах и передачи возбудителя поросятам трансплацентарным путем. В</w:t>
      </w:r>
      <w:r>
        <w:t>ы</w:t>
      </w:r>
      <w:r>
        <w:t>жившие такие поросята на вид были вялые, плохо сосали, шерсть взъерошена. О</w:t>
      </w:r>
      <w:r>
        <w:t>т</w:t>
      </w:r>
      <w:r>
        <w:t>мечали наличие диареи, повышение температуры тела на 1-1,5ºС. Затем у них развивался катаральный ринит и конъюнктивит, веки склеивались эк</w:t>
      </w:r>
      <w:r>
        <w:t>с</w:t>
      </w:r>
      <w:r>
        <w:t>судатом, дыхание было затруднено, они быстро худели и часто п</w:t>
      </w:r>
      <w:r>
        <w:t>о</w:t>
      </w:r>
      <w:r>
        <w:t>гибали (Курская, Тамбовская, Воронежская и Волгоградская области), а оста</w:t>
      </w:r>
      <w:r>
        <w:t>в</w:t>
      </w:r>
      <w:r>
        <w:t>шиеся живыми имели в сыворотке крови антитела в титре 1:80 и выше, о</w:t>
      </w:r>
      <w:r>
        <w:t>б</w:t>
      </w:r>
      <w:r>
        <w:t>наруживаемые РНГА в течение 9 месяцев с момента рождения (срок н</w:t>
      </w:r>
      <w:r>
        <w:t>а</w:t>
      </w:r>
      <w:r>
        <w:t>блюдения).</w:t>
      </w:r>
    </w:p>
    <w:p w:rsidR="00F4654E" w:rsidRDefault="00F4654E">
      <w:pPr>
        <w:pStyle w:val="a6"/>
      </w:pPr>
      <w:r>
        <w:t>У подсвинков доминировали поражения органов дыхания, артриты, конъюнктиво-кератиты (Воронежская, Белгородская, Курская области). Температура тела в пределах нормы или повышалась на 0,5-1ºС. Наблюд</w:t>
      </w:r>
      <w:r>
        <w:t>а</w:t>
      </w:r>
      <w:r>
        <w:t xml:space="preserve">ли отказ от корма, затрудненное дыхание, слезотечение с последующим развитием конъюнктиво-кератита. </w:t>
      </w:r>
    </w:p>
    <w:p w:rsidR="00F4654E" w:rsidRDefault="00F4654E">
      <w:pPr>
        <w:pStyle w:val="a6"/>
      </w:pPr>
      <w:r>
        <w:lastRenderedPageBreak/>
        <w:t>Болезнь во всех случаях причиняла хозяйствам экономический ущерб, складывающийся из потерь от падежа животных, снижения продуктивн</w:t>
      </w:r>
      <w:r>
        <w:t>о</w:t>
      </w:r>
      <w:r>
        <w:t>сти откормочного поголовья, вынужденного убоя и недополучения пр</w:t>
      </w:r>
      <w:r>
        <w:t>и</w:t>
      </w:r>
      <w:r>
        <w:t>плода.</w:t>
      </w:r>
    </w:p>
    <w:p w:rsidR="00F4654E" w:rsidRDefault="00F4654E">
      <w:pPr>
        <w:pStyle w:val="a6"/>
      </w:pPr>
      <w:r>
        <w:t>При вскрытии павших поросят обнаруживали водянистый отек кожи и подкожной клетчатки в области затылка, подчелюстного пространства и промежности. В грудной и брюшной полостях содержалось от 0,5 до 1,5 литра транссудата соломенно-желтого цвета, под эпи- и эндокардом т</w:t>
      </w:r>
      <w:r>
        <w:t>о</w:t>
      </w:r>
      <w:r>
        <w:t>чечные кровоизлияния, сердечная мышца размягчена. В печени иногда н</w:t>
      </w:r>
      <w:r>
        <w:t>а</w:t>
      </w:r>
      <w:r>
        <w:t>блюдали венозный застой.</w:t>
      </w:r>
    </w:p>
    <w:p w:rsidR="00F4654E" w:rsidRDefault="00F4654E">
      <w:pPr>
        <w:pStyle w:val="a6"/>
      </w:pPr>
      <w:r>
        <w:t>При исследовании с помощью РДСК, РИСК и РНГА сывороток крови разных половозрастных групп свиней независимо от сезона года, физиол</w:t>
      </w:r>
      <w:r>
        <w:t>о</w:t>
      </w:r>
      <w:r>
        <w:t>гического состояния животных, а также их упитанности и гигиены соде</w:t>
      </w:r>
      <w:r>
        <w:t>р</w:t>
      </w:r>
      <w:r>
        <w:t>жания, было установлено, что хозяйства «Глазковское» - Тамбовской, «Железногорское»- Курской, «Николаевское» - Воронежской областей и т.д. имеют серопозитивных хряков-производителей, маток и молодняк (4-10%), у которых налицо были клинические признаки хламидиоза (пораж</w:t>
      </w:r>
      <w:r>
        <w:t>е</w:t>
      </w:r>
      <w:r>
        <w:t>ния репродуктивных органов, пневмония, конъюнктиво-кератиты и артр</w:t>
      </w:r>
      <w:r>
        <w:t>и</w:t>
      </w:r>
      <w:r>
        <w:t>ты у молодняка, орхиты и баланопоститы, кровотечения из уретры и кровь в сперме - у хряков; аборты и большой процент переосеменения – у свин</w:t>
      </w:r>
      <w:r>
        <w:t>о</w:t>
      </w:r>
      <w:r>
        <w:t>маток). Кроме того, патологический материал, взятый из хозяйств, име</w:t>
      </w:r>
      <w:r>
        <w:t>ю</w:t>
      </w:r>
      <w:r>
        <w:t>щих серопозитивных животных (абортированные плоды, плаценты, органы и ткани погибших поросят) в 10-20% случаев вызывал гибель зараженных белых мышей.</w:t>
      </w:r>
    </w:p>
    <w:p w:rsidR="00F4654E" w:rsidRDefault="00F4654E">
      <w:pPr>
        <w:pStyle w:val="a6"/>
      </w:pPr>
      <w:r>
        <w:t>Микроскопия окрашенных кляч-препаратов из патологических мат</w:t>
      </w:r>
      <w:r>
        <w:t>е</w:t>
      </w:r>
      <w:r>
        <w:t>риалов и органов павших белых мышей, инфицированных ими, подтве</w:t>
      </w:r>
      <w:r>
        <w:t>р</w:t>
      </w:r>
      <w:r>
        <w:t>ждала наличие хламидиоза среди свинопоголовья, так как в таких окр</w:t>
      </w:r>
      <w:r>
        <w:t>а</w:t>
      </w:r>
      <w:r>
        <w:t>шенных мазках-отпечатках выявляли включения хламидий.</w:t>
      </w:r>
    </w:p>
    <w:p w:rsidR="00F4654E" w:rsidRDefault="00F4654E">
      <w:pPr>
        <w:pStyle w:val="a6"/>
      </w:pPr>
      <w:r>
        <w:t>Лечебно-профилактические мероприятия при хламидиозе проводили со</w:t>
      </w:r>
      <w:r>
        <w:softHyphen/>
        <w:t>гласно Ветеринарному законодательству. Однако такими мероприяти</w:t>
      </w:r>
      <w:r>
        <w:t>я</w:t>
      </w:r>
      <w:r>
        <w:t>ми ликвидировать болезнь нам не удалось ни в одном хозяйстве, так как повторные серологические, микроскопические и клинико-эпизоотологиче</w:t>
      </w:r>
      <w:r>
        <w:softHyphen/>
        <w:t>ские исследования животных из ранее неблагополучных хозяйств через 9 меся</w:t>
      </w:r>
      <w:r>
        <w:softHyphen/>
        <w:t>цев после наложения ограничений и соответствующего лечения, мы снова вы</w:t>
      </w:r>
      <w:r>
        <w:softHyphen/>
        <w:t xml:space="preserve">являли серопозитивных и больных животных. </w:t>
      </w:r>
    </w:p>
    <w:p w:rsidR="00F4654E" w:rsidRDefault="00F4654E">
      <w:pPr>
        <w:pStyle w:val="a6"/>
      </w:pPr>
      <w:r>
        <w:t>Мероприятия, включающие исследование сывороток крови всего св</w:t>
      </w:r>
      <w:r>
        <w:t>и</w:t>
      </w:r>
      <w:r>
        <w:t>нопоголовья в РНГА, выделение и убой положительно и сомнительно ре</w:t>
      </w:r>
      <w:r>
        <w:t>а</w:t>
      </w:r>
      <w:r>
        <w:t>гирующих с последующей вакцина</w:t>
      </w:r>
      <w:r>
        <w:softHyphen/>
        <w:t>цией серонегативных свиней, обеспеч</w:t>
      </w:r>
      <w:r>
        <w:t>и</w:t>
      </w:r>
      <w:r>
        <w:t>вали стойкое благополучие живот</w:t>
      </w:r>
      <w:r>
        <w:softHyphen/>
        <w:t xml:space="preserve">ных по хламидиозу в течение 6 мес. (срок наблюдения).  </w:t>
      </w:r>
    </w:p>
    <w:p w:rsidR="00A11B7B" w:rsidRDefault="00A11B7B">
      <w:pPr>
        <w:pStyle w:val="a4"/>
      </w:pPr>
    </w:p>
    <w:p w:rsidR="00F4654E" w:rsidRDefault="00F4654E">
      <w:pPr>
        <w:pStyle w:val="a4"/>
      </w:pPr>
      <w:r>
        <w:lastRenderedPageBreak/>
        <w:t>УДК 619:616.98-085.371</w:t>
      </w:r>
    </w:p>
    <w:p w:rsidR="00F4654E" w:rsidRDefault="00F4654E">
      <w:pPr>
        <w:pStyle w:val="1"/>
      </w:pPr>
      <w:bookmarkStart w:id="522" w:name="_Toc10731065"/>
      <w:bookmarkStart w:id="523" w:name="_Toc10731726"/>
      <w:bookmarkStart w:id="524" w:name="_Toc10891559"/>
      <w:bookmarkStart w:id="525" w:name="_Toc10892234"/>
      <w:bookmarkStart w:id="526" w:name="_Toc11390093"/>
      <w:bookmarkStart w:id="527" w:name="_Toc11839778"/>
      <w:bookmarkStart w:id="528" w:name="_Toc11937314"/>
      <w:r>
        <w:t xml:space="preserve">КЛИНИКО-ЭПИЗООТОЛОГИЧЕСКИЙ МОНИТОРИНГ ПРИ </w:t>
      </w:r>
      <w:r>
        <w:br/>
        <w:t>ПРИМЕНЕНИИ ВАКЦИН ПРОТИВ РРСС + ПВИС И ТГС</w:t>
      </w:r>
      <w:bookmarkEnd w:id="522"/>
      <w:bookmarkEnd w:id="523"/>
      <w:bookmarkEnd w:id="524"/>
      <w:bookmarkEnd w:id="525"/>
      <w:bookmarkEnd w:id="526"/>
      <w:bookmarkEnd w:id="527"/>
      <w:bookmarkEnd w:id="528"/>
    </w:p>
    <w:p w:rsidR="00F4654E" w:rsidRDefault="00F4654E">
      <w:pPr>
        <w:pStyle w:val="2"/>
      </w:pPr>
      <w:bookmarkStart w:id="529" w:name="_Toc10731066"/>
      <w:bookmarkStart w:id="530" w:name="_Toc10731727"/>
      <w:bookmarkStart w:id="531" w:name="_Toc10891560"/>
      <w:bookmarkStart w:id="532" w:name="_Toc10892235"/>
      <w:bookmarkStart w:id="533" w:name="_Toc11390094"/>
      <w:bookmarkStart w:id="534" w:name="_Toc11937315"/>
      <w:r>
        <w:t xml:space="preserve"> Ануфриев П.А., Першина С.И.</w:t>
      </w:r>
      <w:bookmarkEnd w:id="529"/>
      <w:bookmarkEnd w:id="530"/>
      <w:bookmarkEnd w:id="531"/>
      <w:bookmarkEnd w:id="532"/>
      <w:bookmarkEnd w:id="533"/>
      <w:bookmarkEnd w:id="534"/>
    </w:p>
    <w:p w:rsidR="00F4654E" w:rsidRDefault="00F4654E">
      <w:pPr>
        <w:pStyle w:val="a5"/>
      </w:pPr>
      <w:r>
        <w:t>Всероссийский НИВИ патологии, фармакологии и терапии</w:t>
      </w:r>
    </w:p>
    <w:p w:rsidR="00F4654E" w:rsidRDefault="00F4654E">
      <w:pPr>
        <w:pStyle w:val="a6"/>
      </w:pPr>
      <w:r>
        <w:t>Клинико-эпизоотологический мониторинг в АО «Тихий дон» пров</w:t>
      </w:r>
      <w:r>
        <w:t>о</w:t>
      </w:r>
      <w:r>
        <w:t>дили путем изучения: характера опоросов у основных и ремонтных свин</w:t>
      </w:r>
      <w:r>
        <w:t>о</w:t>
      </w:r>
      <w:r>
        <w:t>маток; количества поросят на одну свиноматку после опороса; живой вес поросят; количества поросят на одну свиноматку при отъеме в 60 дней; н</w:t>
      </w:r>
      <w:r>
        <w:t>а</w:t>
      </w:r>
      <w:r>
        <w:t>личия или отсутствия, а также количества мертворожденных поросят (п</w:t>
      </w:r>
      <w:r>
        <w:t>о</w:t>
      </w:r>
      <w:r>
        <w:t>метов); количества абортированных свиноматок; количества поросят с уродствами в помете; наличия поросят с заболеваниями органов пищев</w:t>
      </w:r>
      <w:r>
        <w:t>а</w:t>
      </w:r>
      <w:r>
        <w:t>рения и дыхания; наличие в патологическом материале специфических а</w:t>
      </w:r>
      <w:r>
        <w:t>н</w:t>
      </w:r>
      <w:r>
        <w:t>тител или антигенов и все эти данные сравнивали с аналогичными показ</w:t>
      </w:r>
      <w:r>
        <w:t>а</w:t>
      </w:r>
      <w:r>
        <w:t>телями у этих животных до применения тотальной вакцинации. Проведен анализ 200 основных и 200 ремонтных свинок, поступивших на опорос до тотальной вакцинации, т.е. вакцинации только основных и ремонтных свиноматок и хряков перед осеменением против РРСС+ ПВИС и этих же животных -  перед опоросом против ТГС. Поросят на доращивании и о</w:t>
      </w:r>
      <w:r>
        <w:t>т</w:t>
      </w:r>
      <w:r>
        <w:t>корме, а также ремонтный молодняк не вакцинировали, так как их имм</w:t>
      </w:r>
      <w:r>
        <w:t>у</w:t>
      </w:r>
      <w:r>
        <w:t>низация не предусматривалась «Наставлениями» по применению этих ва</w:t>
      </w:r>
      <w:r>
        <w:t>к</w:t>
      </w:r>
      <w:r>
        <w:t>цин. Поэтому при тотальной вакцинации иммунизировали все поголовье свиней (основные и ремонтные свиноматки, основные и ремонтные хряки, поросята, находящиеся на доращивании, откорме и ремонтного стада).</w:t>
      </w:r>
    </w:p>
    <w:p w:rsidR="00F4654E" w:rsidRDefault="00F4654E">
      <w:pPr>
        <w:pStyle w:val="a6"/>
      </w:pPr>
      <w:r>
        <w:t>Эпизоотологический мониторинг в течение 1 года проводили в свин</w:t>
      </w:r>
      <w:r>
        <w:t>о</w:t>
      </w:r>
      <w:r>
        <w:t>водческом хозяйстве, где вакцинация велась согласно существующим «Н</w:t>
      </w:r>
      <w:r>
        <w:t>а</w:t>
      </w:r>
      <w:r>
        <w:t>ставлениям», а в течение последующего года – иммунизации подлежали все половозрастные группы животных (тотальная вакцинация).</w:t>
      </w:r>
    </w:p>
    <w:p w:rsidR="00F4654E" w:rsidRDefault="00F4654E">
      <w:pPr>
        <w:pStyle w:val="a6"/>
      </w:pPr>
      <w:r>
        <w:t>Изучение клинико-эпизоотологического состояния в хозяйстве при иммунизации свинопоголовья против РРСС и ПВИС только основных и ремонтных свиноматок и хряков-производителей перед осеменением и против ТГС – перед опоросом показало, что на одну основную и ремон</w:t>
      </w:r>
      <w:r>
        <w:t>т</w:t>
      </w:r>
      <w:r>
        <w:t>ную свиноматку получено соответственно по 9,3 и 8,6 поросенка с массой тела 1,2 и 1,05 кг, выросших до отъемного возраста в количестве 7,6 и 7,1 поросенка.</w:t>
      </w:r>
    </w:p>
    <w:p w:rsidR="00F4654E" w:rsidRDefault="00F4654E">
      <w:pPr>
        <w:pStyle w:val="a6"/>
      </w:pPr>
      <w:r>
        <w:t>Среди 200 основных и 200 ремонтных свиноматок, охваченных кл</w:t>
      </w:r>
      <w:r>
        <w:t>и</w:t>
      </w:r>
      <w:r>
        <w:t>нико-эпизоотологическим мониторингом, мертворожденных пометов зар</w:t>
      </w:r>
      <w:r>
        <w:t>е</w:t>
      </w:r>
      <w:r>
        <w:t>гистрировано 8 и 12, а одновременно в помете мертворожденных и мум</w:t>
      </w:r>
      <w:r>
        <w:t>и</w:t>
      </w:r>
      <w:r>
        <w:t>фицированных плодов – 11 и 14. Причем, в 75% случаев у плодов мертв</w:t>
      </w:r>
      <w:r>
        <w:t>о</w:t>
      </w:r>
      <w:r>
        <w:t>рожденных пометов обнаружены: методом ВИЭФ – антиген РРСС и мет</w:t>
      </w:r>
      <w:r>
        <w:t>о</w:t>
      </w:r>
      <w:r>
        <w:t xml:space="preserve">дом РТГА – антитела против антигена ПВИС в грудобрюшной жидкости. В 25% случаев выявлен антиген только РРСС. Из пометов, содержащих </w:t>
      </w:r>
      <w:r>
        <w:lastRenderedPageBreak/>
        <w:t>мертворожденные и мумифицированные плоды, в 7 случаях из 11 и в 10 – из 14 выявлены в грудобрюшной жидкости антитела против ПВИС и ант</w:t>
      </w:r>
      <w:r>
        <w:t>и</w:t>
      </w:r>
      <w:r>
        <w:t>гены возбудителя РРСС.  Интересен и тот факт, что у отдельных мертв</w:t>
      </w:r>
      <w:r>
        <w:t>о</w:t>
      </w:r>
      <w:r>
        <w:t>рожденных плодов в грудобрюшной жидкости обнаружены антитела пр</w:t>
      </w:r>
      <w:r>
        <w:t>о</w:t>
      </w:r>
      <w:r>
        <w:t>тив антигенов возбудителей ПВИС и хламидиоза, а в тканях таких поросят – антигены ТГС и ротавируса.</w:t>
      </w:r>
    </w:p>
    <w:p w:rsidR="00F4654E" w:rsidRDefault="00F4654E">
      <w:pPr>
        <w:pStyle w:val="a6"/>
      </w:pPr>
      <w:r>
        <w:t>Среди 7 плодов от абортированных основных и 9 ремонтных свин</w:t>
      </w:r>
      <w:r>
        <w:t>о</w:t>
      </w:r>
      <w:r>
        <w:t>маток в 3-х и 4-х случаях обнаружен антиген РРСС, а в 2-х и 2-х – антитела в грудобрюшной жидкости против возбудителя хламидиоза. Кроме того, среди пометов поросят в 2-х случаях у основных и в 3-х – у ремонтных свиноматок зарегистрировано наличие уродств в виде одного большого г</w:t>
      </w:r>
      <w:r>
        <w:t>о</w:t>
      </w:r>
      <w:r>
        <w:t>лубого глаза и отсутствия второго (сросшиеся веки). В крови этих поросят обнаружены антитела против антигена РРСС. Наряду с этим у поросят 15 и 3</w:t>
      </w:r>
      <w:r>
        <w:rPr>
          <w:vertAlign w:val="superscript"/>
        </w:rPr>
        <w:t>х</w:t>
      </w:r>
      <w:r>
        <w:t xml:space="preserve"> пометов от основных и у 22 и 5 пометов – от ремонтных свиноматок з</w:t>
      </w:r>
      <w:r>
        <w:t>а</w:t>
      </w:r>
      <w:r>
        <w:t>регистрирована диарея и нежизнеспособные плоды соответственно. Среди диарейных поросят в 10 и в 16 случаях в фекалиях обнаружен антиген ТГС и 3-х и в 5 – антиген ротавируса. В 5 и 6 случаях, соответственно, бакт</w:t>
      </w:r>
      <w:r>
        <w:t>е</w:t>
      </w:r>
      <w:r>
        <w:t>риологически диареи были вызваны эшерихиями серотипов О26 и О78. Во всех случаях у нежизнеспособных поросят обнаружен антиген РРСС в гр</w:t>
      </w:r>
      <w:r>
        <w:t>у</w:t>
      </w:r>
      <w:r>
        <w:t>добрюшной жидкости.</w:t>
      </w:r>
    </w:p>
    <w:p w:rsidR="00F4654E" w:rsidRDefault="00F4654E">
      <w:pPr>
        <w:pStyle w:val="a6"/>
      </w:pPr>
      <w:r>
        <w:t>Через год с момента начала тотальной вакцинации осуществляли эп</w:t>
      </w:r>
      <w:r>
        <w:t>и</w:t>
      </w:r>
      <w:r>
        <w:t>зоотологический мониторинг в течение последующего 1 года. Было сре</w:t>
      </w:r>
      <w:r>
        <w:t>д</w:t>
      </w:r>
      <w:r>
        <w:t>нестатистически установлено, что на одну основную и, соответственно, одну ремонтную свиноматку было получено по 9,8 и 9,2 поросенка; вес поросенка после опороса составлял –1,15 и 1,0 кг; количество поросят, достигших отъемного возраста – 8,2 и 8,0 голов; мертворожденных пом</w:t>
      </w:r>
      <w:r>
        <w:t>е</w:t>
      </w:r>
      <w:r>
        <w:t>тов поросят составило 1 и 2 , у которых методом ВИЭФ выделен антиген РРСС и у поросят одного помета ремонтной свиноматки обнаружен в к</w:t>
      </w:r>
      <w:r>
        <w:t>и</w:t>
      </w:r>
      <w:r>
        <w:t>шечнике антиген ТГС методом ИФА. Среди других пометов обнаружены наряду с нормально развитыми поросятами, мумифицированные и мертв</w:t>
      </w:r>
      <w:r>
        <w:t>о</w:t>
      </w:r>
      <w:r>
        <w:t>рожденные плоды, число которых составило 1 и 4. У мертворожденных плодов обнаружен антиген РРСС и методом РТГА антитела против ПВИС в грудобрюшной жидкости. У таких поросят одного помета от ремонтной свиноматки методом ИФА обнаружен антиген ТГС. Причем, частота обн</w:t>
      </w:r>
      <w:r>
        <w:t>а</w:t>
      </w:r>
      <w:r>
        <w:t>ружения антигена РРСС и ПВИС составила 100, а ТГС – 20%. Кроме того, нами зарегистрировано 2 аборта среди ремонтных свиноматок. В обоих случаях, как у абортировавших свиноматок в сыворотках крови, так и в грудобрюшной жидкости абортплодов методом РНГА обнаружены ант</w:t>
      </w:r>
      <w:r>
        <w:t>и</w:t>
      </w:r>
      <w:r>
        <w:t>тела против возбудителя хламидиоза. Заражение белых мышей суспензией органов и тканей абортплодов и микроскопия препаратов подтвердила хламидиозный аборт свиней. Наряду с этим в помете ремонтной свинома</w:t>
      </w:r>
      <w:r>
        <w:t>т</w:t>
      </w:r>
      <w:r>
        <w:t>ки нами обнаружены уродливые поросята, у которых были выпучены гл</w:t>
      </w:r>
      <w:r>
        <w:t>а</w:t>
      </w:r>
      <w:r>
        <w:t>за, удлинены задние конечности или увеличена нижняя челюсть. Эти ж</w:t>
      </w:r>
      <w:r>
        <w:t>и</w:t>
      </w:r>
      <w:r>
        <w:lastRenderedPageBreak/>
        <w:t>вотные погибли в течение первых 5 дней. У таких поросят в крови обн</w:t>
      </w:r>
      <w:r>
        <w:t>а</w:t>
      </w:r>
      <w:r>
        <w:t>ружены антитела против антигена РРСС.</w:t>
      </w:r>
    </w:p>
    <w:p w:rsidR="00F4654E" w:rsidRDefault="00F4654E">
      <w:pPr>
        <w:pStyle w:val="a6"/>
      </w:pPr>
      <w:r>
        <w:t>Наблюдения за поросятами показали, что на 1-5 дни после рождения отмечается у них профузный понос, скучивание и гибель. Количество т</w:t>
      </w:r>
      <w:r>
        <w:t>а</w:t>
      </w:r>
      <w:r>
        <w:t>ких пометов среди основных свиноматок составило 21, а среди ремонтных – 35. Методом ИФА в 17 случаях у поросят основных и в 28 – от ремон</w:t>
      </w:r>
      <w:r>
        <w:t>т</w:t>
      </w:r>
      <w:r>
        <w:t>ных свиноматок в содержимом кишечника обнаружены антигены ТГС, а также ротавируса в 16 и 25 случаях, соответственно. Во всех остальных случаях диагностирован эшерихиоз серотипов О26 и О78.</w:t>
      </w:r>
    </w:p>
    <w:p w:rsidR="00F4654E" w:rsidRDefault="00F4654E">
      <w:pPr>
        <w:pStyle w:val="a6"/>
      </w:pPr>
      <w:r>
        <w:t>Заключительным этапом наших наблюдений было определение нал</w:t>
      </w:r>
      <w:r>
        <w:t>и</w:t>
      </w:r>
      <w:r>
        <w:t>чия нежизнеспособных пометов в стадах основных и ремонтных свином</w:t>
      </w:r>
      <w:r>
        <w:t>а</w:t>
      </w:r>
      <w:r>
        <w:t>ток при тотальной вакцинации всех животных против РРСС, ПВИС и ТГС. Установлено, что в стадах основных и ремонтных свиноматок зарегистр</w:t>
      </w:r>
      <w:r>
        <w:t>и</w:t>
      </w:r>
      <w:r>
        <w:t>ровано всего пять таких случаев, в том числе один – у основных. В 3-х случаях у поросят в грудобрюшной жидкости обнаружены антитела пр</w:t>
      </w:r>
      <w:r>
        <w:t>о</w:t>
      </w:r>
      <w:r>
        <w:t>тив РРСС и ПВИС, и в 2-х – против хламидиоза.</w:t>
      </w:r>
    </w:p>
    <w:p w:rsidR="00F4654E" w:rsidRDefault="00F4654E">
      <w:pPr>
        <w:pStyle w:val="a6"/>
      </w:pPr>
      <w:r>
        <w:t>Таким образом, представленные данные свидетельствуют о том, что в свиноводческих хозяйствах возможно течение моно -, би-, тройной и см</w:t>
      </w:r>
      <w:r>
        <w:t>е</w:t>
      </w:r>
      <w:r>
        <w:t>шанной инфекции из четырех вирусных возбудителей болезни. Причем, наиболее часто встречается смешанная инфекция, вызываемая вирусами РРСС и ПВИС, ТГС и ротавирусной болезни и реже с ними в ассоциации с бактериями хламидиоза, эшерихиоза и других.</w:t>
      </w:r>
    </w:p>
    <w:p w:rsidR="00F4654E" w:rsidRDefault="00F4654E">
      <w:pPr>
        <w:pStyle w:val="a6"/>
      </w:pPr>
      <w:r>
        <w:t>Доказано внутриутробное заражение эмбрионов возбудителями РРСС, ПВИС, ТГС и хламидиоза, которое, как известно, приводит к вирусонос</w:t>
      </w:r>
      <w:r>
        <w:t>и</w:t>
      </w:r>
      <w:r>
        <w:t>тельству у таких поросят, что способствует течению этих инфекций в о</w:t>
      </w:r>
      <w:r>
        <w:t>б</w:t>
      </w:r>
      <w:r>
        <w:t>разовавшихся неиммунных нишах среди животных доращивания, откорма и ремонта. Поэтому тотальная вакцинация против РРСС, ПВИС и ТГС способствует улучшению эпизоотической обстановки в хозяйстве и пов</w:t>
      </w:r>
      <w:r>
        <w:t>ы</w:t>
      </w:r>
      <w:r>
        <w:t>шению эффективности производства.</w:t>
      </w:r>
    </w:p>
    <w:p w:rsidR="00F4654E" w:rsidRDefault="00F4654E">
      <w:pPr>
        <w:pStyle w:val="a4"/>
      </w:pPr>
      <w:r>
        <w:t>УДК 576.8.097.3</w:t>
      </w:r>
    </w:p>
    <w:p w:rsidR="00F4654E" w:rsidRDefault="00F4654E">
      <w:pPr>
        <w:pStyle w:val="1"/>
      </w:pPr>
      <w:bookmarkStart w:id="535" w:name="_Toc10731067"/>
      <w:bookmarkStart w:id="536" w:name="_Toc10731728"/>
      <w:bookmarkStart w:id="537" w:name="_Toc10891561"/>
      <w:bookmarkStart w:id="538" w:name="_Toc10892236"/>
      <w:bookmarkStart w:id="539" w:name="_Toc11390095"/>
      <w:bookmarkStart w:id="540" w:name="_Toc11839780"/>
      <w:bookmarkStart w:id="541" w:name="_Toc11937316"/>
      <w:r>
        <w:t xml:space="preserve">ИММУНОЛОГИЧЕСКАЯ РЕАКТИВНОСТЬ И НЕСПЕЦИФИЧЕСКАЯ РЕЗИСТЕНТНОСТЬ У СВИНЕЙ ПРИ ВАКЦИНАЦИИ ИХ ПРОТИВ </w:t>
      </w:r>
      <w:r>
        <w:br/>
        <w:t>РРСС, ПВИС И ТГС</w:t>
      </w:r>
      <w:bookmarkEnd w:id="535"/>
      <w:bookmarkEnd w:id="536"/>
      <w:bookmarkEnd w:id="537"/>
      <w:bookmarkEnd w:id="538"/>
      <w:bookmarkEnd w:id="539"/>
      <w:bookmarkEnd w:id="540"/>
      <w:bookmarkEnd w:id="541"/>
    </w:p>
    <w:p w:rsidR="00F4654E" w:rsidRDefault="00F4654E">
      <w:pPr>
        <w:pStyle w:val="2"/>
      </w:pPr>
      <w:bookmarkStart w:id="542" w:name="_Toc10731068"/>
      <w:bookmarkStart w:id="543" w:name="_Toc10731729"/>
      <w:bookmarkStart w:id="544" w:name="_Toc10891562"/>
      <w:bookmarkStart w:id="545" w:name="_Toc10892237"/>
      <w:bookmarkStart w:id="546" w:name="_Toc11390096"/>
      <w:bookmarkStart w:id="547" w:name="_Toc11937317"/>
      <w:r>
        <w:t>Ануфриев А.И., Ануфриев П.А., Першина С.И.</w:t>
      </w:r>
      <w:bookmarkEnd w:id="542"/>
      <w:bookmarkEnd w:id="543"/>
      <w:bookmarkEnd w:id="544"/>
      <w:bookmarkEnd w:id="545"/>
      <w:bookmarkEnd w:id="546"/>
      <w:bookmarkEnd w:id="547"/>
    </w:p>
    <w:p w:rsidR="00F4654E" w:rsidRDefault="00F4654E">
      <w:pPr>
        <w:pStyle w:val="a5"/>
      </w:pPr>
      <w:r>
        <w:t>Всероссийский НИВИ патологии, фармакологии и терапии</w:t>
      </w:r>
    </w:p>
    <w:p w:rsidR="00F4654E" w:rsidRDefault="00F4654E">
      <w:pPr>
        <w:pStyle w:val="a6"/>
      </w:pPr>
      <w:r>
        <w:t>Опыт проводили на свинокомплексе «Тихий Дон», неблагополучном по репродуктивно-респираторному синдрому свиней (РРСС), парвовиру</w:t>
      </w:r>
      <w:r>
        <w:t>с</w:t>
      </w:r>
      <w:r>
        <w:t>ной инфекции свиней (ПВИС) и трансмиссивному гастроэнтериту свиней (ТГС), не смотря на систематическую плановую вакцинацию основных и ремонтных свиноматок и хряков против РРСС и ПВИС вакцинами прои</w:t>
      </w:r>
      <w:r>
        <w:t>з</w:t>
      </w:r>
      <w:r>
        <w:t>водства ВНИИЗЖ, а против ТГС – вирусвакциной из штамма ВГНКИ-5.</w:t>
      </w:r>
    </w:p>
    <w:p w:rsidR="00F4654E" w:rsidRDefault="00F4654E">
      <w:pPr>
        <w:pStyle w:val="a6"/>
      </w:pPr>
      <w:r>
        <w:lastRenderedPageBreak/>
        <w:t>Перед тотальной иммунизацией (всего поголовья) от основных и р</w:t>
      </w:r>
      <w:r>
        <w:t>е</w:t>
      </w:r>
      <w:r>
        <w:t>монтных свиноматок и хряков, а также от поросят на доращивании и о</w:t>
      </w:r>
      <w:r>
        <w:t>т</w:t>
      </w:r>
      <w:r>
        <w:t>корме, были взяты образцы крови и их сыворотки проанализированы в с</w:t>
      </w:r>
      <w:r>
        <w:t>е</w:t>
      </w:r>
      <w:r>
        <w:t>рологических реакциях (РНГА и РТГА). Через 30 и 150 дней после око</w:t>
      </w:r>
      <w:r>
        <w:t>н</w:t>
      </w:r>
      <w:r>
        <w:t>чания вакцинации были отобраны пробы крови и их сыворотки снова пр</w:t>
      </w:r>
      <w:r>
        <w:t>о</w:t>
      </w:r>
      <w:r>
        <w:t>анализированы в серологических реакциях, а за животными вели клинич</w:t>
      </w:r>
      <w:r>
        <w:t>е</w:t>
      </w:r>
      <w:r>
        <w:t>ское наблюдение в течение всего п</w:t>
      </w:r>
      <w:r>
        <w:t>е</w:t>
      </w:r>
      <w:r>
        <w:t>риода исследований.</w:t>
      </w:r>
    </w:p>
    <w:p w:rsidR="00F4654E" w:rsidRDefault="00F4654E">
      <w:pPr>
        <w:pStyle w:val="a6"/>
      </w:pPr>
      <w:r>
        <w:t>Следует отметить, что процесс одновременной вакцинации всех пол</w:t>
      </w:r>
      <w:r>
        <w:t>о</w:t>
      </w:r>
      <w:r>
        <w:t>возрастных групп свинопоголовья (перед осеменением – против РРСС, ПВИС и перед опоросом – против ТГС), перенесен ими удовлетворительно и выборочная термометрия не выявила у них гипертермии тела и отклон</w:t>
      </w:r>
      <w:r>
        <w:t>е</w:t>
      </w:r>
      <w:r>
        <w:t>ний в поведении на 2 и 5 дни после вакцинации. Наряду с этим следует подчеркнуть, что титры антител перед иммунизацией животных против РРСС, ПВИС и ТГС были либо ниже диагностических,  либо в несколько раз превышали нижнюю границу, свидетельствующую о наличии иммун</w:t>
      </w:r>
      <w:r>
        <w:t>и</w:t>
      </w:r>
      <w:r>
        <w:t>тета. Однако, среднестатистические данные титров антител показывают, что при РРСС только основные и ремонтные свиноматки имеют антитела ниже диагностического титра (75</w:t>
      </w:r>
      <w:r>
        <w:sym w:font="Symbol" w:char="F0B1"/>
      </w:r>
      <w:r>
        <w:t>16 и 60</w:t>
      </w:r>
      <w:r>
        <w:sym w:font="Symbol" w:char="F0B1"/>
      </w:r>
      <w:r>
        <w:t xml:space="preserve"> 8 вместо 80 соответственно). У основных и ремонтных хряков, а также поросят, находящихся на доращ</w:t>
      </w:r>
      <w:r>
        <w:t>и</w:t>
      </w:r>
      <w:r>
        <w:t>вании и откорме, они составили 80</w:t>
      </w:r>
      <w:r>
        <w:sym w:font="Symbol" w:char="F0B1"/>
      </w:r>
      <w:r>
        <w:t>10; 85</w:t>
      </w:r>
      <w:r>
        <w:sym w:font="Symbol" w:char="F0B1"/>
      </w:r>
      <w:r>
        <w:t>7; 80</w:t>
      </w:r>
      <w:r>
        <w:sym w:font="Symbol" w:char="F0B1"/>
      </w:r>
      <w:r>
        <w:t>10; 90</w:t>
      </w:r>
      <w:r>
        <w:sym w:font="Symbol" w:char="F0B1"/>
      </w:r>
      <w:r>
        <w:t>12 соответственно. Следовательно, у животных, находящихся на откорме, более высокий титр специфических антител был против антигена вируса РРСС. Что касается титров антител к антигенам вирусов ПВИС и ТГС, то они составили: 32</w:t>
      </w:r>
      <w:r>
        <w:sym w:font="Symbol" w:char="F0B1"/>
      </w:r>
      <w:r>
        <w:t>6; 40</w:t>
      </w:r>
      <w:r>
        <w:sym w:font="Symbol" w:char="F0B1"/>
      </w:r>
      <w:r>
        <w:t>5; 35</w:t>
      </w:r>
      <w:r>
        <w:sym w:font="Symbol" w:char="F0B1"/>
      </w:r>
      <w:r>
        <w:t>5; 30</w:t>
      </w:r>
      <w:r>
        <w:sym w:font="Symbol" w:char="F0B1"/>
      </w:r>
      <w:r>
        <w:t>6; 80</w:t>
      </w:r>
      <w:r>
        <w:sym w:font="Symbol" w:char="F0B1"/>
      </w:r>
      <w:r>
        <w:t>10; 75</w:t>
      </w:r>
      <w:r>
        <w:sym w:font="Symbol" w:char="F0B1"/>
      </w:r>
      <w:r>
        <w:t>16; и 2</w:t>
      </w:r>
      <w:r>
        <w:sym w:font="Symbol" w:char="F0B1"/>
      </w:r>
      <w:r>
        <w:t>1; 6</w:t>
      </w:r>
      <w:r>
        <w:sym w:font="Symbol" w:char="F0B1"/>
      </w:r>
      <w:r>
        <w:t>1; 2,5</w:t>
      </w:r>
      <w:r>
        <w:sym w:font="Symbol" w:char="F0B1"/>
      </w:r>
      <w:r>
        <w:t>1; 8</w:t>
      </w:r>
      <w:r>
        <w:sym w:font="Symbol" w:char="F0B1"/>
      </w:r>
      <w:r>
        <w:t>2; 12</w:t>
      </w:r>
      <w:r>
        <w:sym w:font="Symbol" w:char="F0B1"/>
      </w:r>
      <w:r>
        <w:t>3 соответстве</w:t>
      </w:r>
      <w:r>
        <w:t>н</w:t>
      </w:r>
      <w:r>
        <w:t>но для основных и ремонтных свиноматок и хряков, а также поросят, н</w:t>
      </w:r>
      <w:r>
        <w:t>а</w:t>
      </w:r>
      <w:r>
        <w:t>ходящихся на доращивании и откорме.</w:t>
      </w:r>
    </w:p>
    <w:p w:rsidR="00F4654E" w:rsidRDefault="00F4654E">
      <w:pPr>
        <w:pStyle w:val="a6"/>
      </w:pPr>
      <w:r>
        <w:t>Через месяц после вакцинации указанных групп свинопоголовья пр</w:t>
      </w:r>
      <w:r>
        <w:t>о</w:t>
      </w:r>
      <w:r>
        <w:t>тив РРСС, ПВИС и ТГС титры антител резко возросли и составили: против антигена вируса РРСС – у всех половозрастных групп животных – больше 640; против антигена вируса ПВИС – 1542</w:t>
      </w:r>
      <w:r>
        <w:sym w:font="Symbol" w:char="F0B1"/>
      </w:r>
      <w:r>
        <w:t>21; 1300</w:t>
      </w:r>
      <w:r>
        <w:sym w:font="Symbol" w:char="F0B1"/>
      </w:r>
      <w:r>
        <w:t>40; 1600</w:t>
      </w:r>
      <w:r>
        <w:sym w:font="Symbol" w:char="F0B1"/>
      </w:r>
      <w:r>
        <w:t>70; 1400</w:t>
      </w:r>
      <w:r>
        <w:sym w:font="Symbol" w:char="F0B1"/>
      </w:r>
      <w:r>
        <w:t>60; 1580</w:t>
      </w:r>
      <w:r>
        <w:sym w:font="Symbol" w:char="F0B1"/>
      </w:r>
      <w:r>
        <w:t>40 и 1470</w:t>
      </w:r>
      <w:r>
        <w:sym w:font="Symbol" w:char="F0B1"/>
      </w:r>
      <w:r>
        <w:t>65; против антигена вируса ТГС - 16</w:t>
      </w:r>
      <w:r>
        <w:sym w:font="Symbol" w:char="F0B1"/>
      </w:r>
      <w:r>
        <w:t>2; 14</w:t>
      </w:r>
      <w:r>
        <w:sym w:font="Symbol" w:char="F0B1"/>
      </w:r>
      <w:r>
        <w:t>3; 18</w:t>
      </w:r>
      <w:r>
        <w:sym w:font="Symbol" w:char="F0B1"/>
      </w:r>
      <w:r>
        <w:t>5; 15</w:t>
      </w:r>
      <w:r>
        <w:sym w:font="Symbol" w:char="F0B1"/>
      </w:r>
      <w:r>
        <w:t>2; 22</w:t>
      </w:r>
      <w:r>
        <w:sym w:font="Symbol" w:char="F0B1"/>
      </w:r>
      <w:r>
        <w:t>6 и 22</w:t>
      </w:r>
      <w:r>
        <w:sym w:font="Symbol" w:char="F0B1"/>
      </w:r>
      <w:r>
        <w:t>4 соответственно у основных и ремонтных свиноматок и хряков, а также у поросят, находящихся на доращивании и откорме. Однако, по истечении 4,5 месяцев после вакцинации было установлено, что титры а</w:t>
      </w:r>
      <w:r>
        <w:t>н</w:t>
      </w:r>
      <w:r>
        <w:t>тител резко снизились и составили перед вакцинацией и последующей случкой: при РРСС - 80</w:t>
      </w:r>
      <w:r>
        <w:sym w:font="Symbol" w:char="F0B1"/>
      </w:r>
      <w:r>
        <w:t>10; 90</w:t>
      </w:r>
      <w:r>
        <w:sym w:font="Symbol" w:char="F0B1"/>
      </w:r>
      <w:r>
        <w:t>12; 100</w:t>
      </w:r>
      <w:r>
        <w:sym w:font="Symbol" w:char="F0B1"/>
      </w:r>
      <w:r>
        <w:t>15; 80</w:t>
      </w:r>
      <w:r>
        <w:sym w:font="Symbol" w:char="F0B1"/>
      </w:r>
      <w:r>
        <w:t>10; 40</w:t>
      </w:r>
      <w:r>
        <w:sym w:font="Symbol" w:char="F0B1"/>
      </w:r>
      <w:r>
        <w:t>12 и 50</w:t>
      </w:r>
      <w:r>
        <w:sym w:font="Symbol" w:char="F0B1"/>
      </w:r>
      <w:r>
        <w:t>10; при ПВИС - 60</w:t>
      </w:r>
      <w:r>
        <w:sym w:font="Symbol" w:char="F0B1"/>
      </w:r>
      <w:r>
        <w:t>8; 40</w:t>
      </w:r>
      <w:r>
        <w:sym w:font="Symbol" w:char="F0B1"/>
      </w:r>
      <w:r>
        <w:t>5; 70</w:t>
      </w:r>
      <w:r>
        <w:sym w:font="Symbol" w:char="F0B1"/>
      </w:r>
      <w:r>
        <w:t>12; 50</w:t>
      </w:r>
      <w:r>
        <w:sym w:font="Symbol" w:char="F0B1"/>
      </w:r>
      <w:r>
        <w:t xml:space="preserve">10; </w:t>
      </w:r>
      <w:r>
        <w:sym w:font="Symbol" w:char="F03C"/>
      </w:r>
      <w:r>
        <w:t xml:space="preserve"> 40 и </w:t>
      </w:r>
      <w:r>
        <w:sym w:font="Symbol" w:char="F03C"/>
      </w:r>
      <w:r>
        <w:t xml:space="preserve"> 40; при ТГС - 3</w:t>
      </w:r>
      <w:r>
        <w:sym w:font="Symbol" w:char="F0B1"/>
      </w:r>
      <w:r>
        <w:t>1; 4</w:t>
      </w:r>
      <w:r>
        <w:sym w:font="Symbol" w:char="F0B1"/>
      </w:r>
      <w:r>
        <w:t>2; 4</w:t>
      </w:r>
      <w:r>
        <w:sym w:font="Symbol" w:char="F0B1"/>
      </w:r>
      <w:r>
        <w:t>1; 6</w:t>
      </w:r>
      <w:r>
        <w:sym w:font="Symbol" w:char="F0B1"/>
      </w:r>
      <w:r>
        <w:t>2; 8</w:t>
      </w:r>
      <w:r>
        <w:sym w:font="Symbol" w:char="F0B1"/>
      </w:r>
      <w:r>
        <w:t>2; 7</w:t>
      </w:r>
      <w:r>
        <w:sym w:font="Symbol" w:char="F0B1"/>
      </w:r>
      <w:r>
        <w:t>3 соответственно у основных и ремонтных свиноматок и хр</w:t>
      </w:r>
      <w:r>
        <w:t>я</w:t>
      </w:r>
      <w:r>
        <w:t>ков, а также у поросят, находящихся на доращивании и откорме.</w:t>
      </w:r>
    </w:p>
    <w:p w:rsidR="00F4654E" w:rsidRDefault="00F4654E">
      <w:pPr>
        <w:pStyle w:val="a6"/>
      </w:pPr>
      <w:r>
        <w:t>Детальный анализ титров антител каждого животного в отдельности позволил констатировать тот факт, что, не смотря на аналогичный возраст, пол, кормление, уход, содержание, проведение плановых вакцинаций, ос</w:t>
      </w:r>
      <w:r>
        <w:t>е</w:t>
      </w:r>
      <w:r>
        <w:lastRenderedPageBreak/>
        <w:t>менения с разницей в 1-2 дня, в одной и той же половозрастной группе свиней, титры антител имеют широкий диапазон колебаний (2-8 раз), вплоть до нулевого значения. Очевидно, такое положение можно объя</w:t>
      </w:r>
      <w:r>
        <w:t>с</w:t>
      </w:r>
      <w:r>
        <w:t>нить различным иммунным статусом в пуле животных, иммунным фоном против антигена, используемого в качестве вакцины, а также различиями генетических пар (отец – мать) у каждой свиноматки, и на этой почве ра</w:t>
      </w:r>
      <w:r>
        <w:t>з</w:t>
      </w:r>
      <w:r>
        <w:t>личиями в иммунном ответе на антигенный раздражитель.</w:t>
      </w:r>
    </w:p>
    <w:p w:rsidR="00F4654E" w:rsidRDefault="00F4654E">
      <w:pPr>
        <w:pStyle w:val="a6"/>
      </w:pPr>
      <w:r>
        <w:t>В этой связи мы провели исследование некоторых показателей естес</w:t>
      </w:r>
      <w:r>
        <w:t>т</w:t>
      </w:r>
      <w:r>
        <w:t>венной (неспецифической) резистентности после опороса у основных св</w:t>
      </w:r>
      <w:r>
        <w:t>и</w:t>
      </w:r>
      <w:r>
        <w:t>номаток АО «Тихий Дон» с целью подтверждения наших предположений о влиянии показателей неспецифической резистентности на иммунолог</w:t>
      </w:r>
      <w:r>
        <w:t>и</w:t>
      </w:r>
      <w:r>
        <w:t>ческую реактивность организма. Установлено, что показатели резистен</w:t>
      </w:r>
      <w:r>
        <w:t>т</w:t>
      </w:r>
      <w:r>
        <w:t>ности у таких животных колеблются: лизоцимная активность от 13,6 до 28,6 (20,42</w:t>
      </w:r>
      <w:r>
        <w:sym w:font="Symbol" w:char="F0B1"/>
      </w:r>
      <w:r w:rsidR="00D7004F">
        <w:t>1,03) мкг/мл; компле</w:t>
      </w:r>
      <w:r>
        <w:t>ментарная активность – от 0,83 до 78,25 (22,5</w:t>
      </w:r>
      <w:r>
        <w:sym w:font="Symbol" w:char="F0B1"/>
      </w:r>
      <w:r>
        <w:t>3,2)%; бактерицидная активность – от 72,11 до 77,63 (76,4</w:t>
      </w:r>
      <w:r>
        <w:sym w:font="Symbol" w:char="F0B1"/>
      </w:r>
      <w:r>
        <w:t>1,17)%; ФАЛ – от 96,1 до 99,3 (98,3</w:t>
      </w:r>
      <w:r>
        <w:sym w:font="Symbol" w:char="F0B1"/>
      </w:r>
      <w:r>
        <w:t>1,4); ФИ – от 5,4 до 6,8 (6,1</w:t>
      </w:r>
      <w:r>
        <w:sym w:font="Symbol" w:char="F0B1"/>
      </w:r>
      <w:r>
        <w:t>0,2)%; ФЧ – от 5,1 до 6,2 (6,0</w:t>
      </w:r>
      <w:r>
        <w:sym w:font="Symbol" w:char="F0B1"/>
      </w:r>
      <w:r>
        <w:t>0,3)%; титр нормальных антител – от 1:8 до 1:64 (30</w:t>
      </w:r>
      <w:r>
        <w:sym w:font="Symbol" w:char="F0B1"/>
      </w:r>
      <w:r>
        <w:t>10); ЦИК – от 0 до 1,7 (0,65</w:t>
      </w:r>
      <w:r>
        <w:sym w:font="Symbol" w:char="F0B1"/>
      </w:r>
      <w:r>
        <w:t>0,03)мг/мл; Ig G – от 9,5 до 25,4 (16,11</w:t>
      </w:r>
      <w:r>
        <w:sym w:font="Symbol" w:char="F0B1"/>
      </w:r>
      <w:r>
        <w:t>2,7); Ig M – от 1,1 до 2,0 (1,48</w:t>
      </w:r>
      <w:r>
        <w:sym w:font="Symbol" w:char="F0B1"/>
      </w:r>
      <w:r>
        <w:t>0,11) и Ig А – от 0,4 до 1,5 (1,03</w:t>
      </w:r>
      <w:r>
        <w:sym w:font="Symbol" w:char="F0B1"/>
      </w:r>
      <w:r>
        <w:t>0,18) соответственно мг/мл. Анализ колебаний показателей естественной резистентности у ка</w:t>
      </w:r>
      <w:r>
        <w:t>ж</w:t>
      </w:r>
      <w:r>
        <w:t>дой основной свиноматки свидетельствует о том, что с вероятностью P</w:t>
      </w:r>
      <w:r>
        <w:sym w:font="Symbol" w:char="F03C"/>
      </w:r>
      <w:r>
        <w:t>0,001 отличия имеются по содержанию нормальных антител, ЦИК, Ig A и лизоцимной активности. Другие показатели в этой же группе свиноматок не имеют существенных различий друг от друга и от средней величины этого показателя. Причем установлено, что одно и тоже животное иногда не отвечает иммунологической реакцией на 1-2 антигена, а на остальные антигены иммунологический ответ очень четкий и превосходит иногда по величине титры антител у животных этого же пула. Для выяснения причин этого явления проведен эксперимент на поросятах, находящихся на отко</w:t>
      </w:r>
      <w:r>
        <w:t>р</w:t>
      </w:r>
      <w:r>
        <w:t>ме, в возрасте 5 мес., от которых была взята кровь перед иммунизацией моновакциной РРСС (серия 4, контроль 4, изготовленной 16.05.2001) и ч</w:t>
      </w:r>
      <w:r>
        <w:t>е</w:t>
      </w:r>
      <w:r>
        <w:t>рез 1 и 2 мес. после вакцинации сыворотки крови были проанализированы в РНГА на наличие антител. Было установлено, что перед иммунизацией 40% поросят имели титр антител 1:40, 40% - 1:80 и 20% - 1:320. Через м</w:t>
      </w:r>
      <w:r>
        <w:t>е</w:t>
      </w:r>
      <w:r>
        <w:t xml:space="preserve">сяц после вакцинации все животные с титром антител 1:40 – 1:80 (80%) до иммунизации стали иметь титр антител </w:t>
      </w:r>
      <w:r>
        <w:sym w:font="Symbol" w:char="F03E"/>
      </w:r>
      <w:r>
        <w:t>1:640, а 20% с титром 1:320 – только 1:80. При исследовании сывороток крови этих поросят через 2 м</w:t>
      </w:r>
      <w:r>
        <w:t>е</w:t>
      </w:r>
      <w:r>
        <w:t xml:space="preserve">сяца было выяснено, что все поросята с титром антител до вакцинаций 1:40 содержали в крови антитела </w:t>
      </w:r>
      <w:r>
        <w:sym w:font="Symbol" w:char="F0B3"/>
      </w:r>
      <w:r>
        <w:t xml:space="preserve"> 1:640, с титром 1:80-1:160 – 1:320, а с титром 1:320-1:80 – 1:160. </w:t>
      </w:r>
    </w:p>
    <w:p w:rsidR="00F4654E" w:rsidRDefault="00F4654E">
      <w:pPr>
        <w:pStyle w:val="a6"/>
      </w:pPr>
      <w:r>
        <w:t>Таким образом, моновакцина РРСС по иммуногенности не уступает бивалентной вакцине РРСС + ПВИС, а напряженность и продолжител</w:t>
      </w:r>
      <w:r>
        <w:t>ь</w:t>
      </w:r>
      <w:r>
        <w:lastRenderedPageBreak/>
        <w:t>ность поствакцинального иммунитета имеет обратную связь между титром антител против этого антигена до- и после иммунизации.</w:t>
      </w:r>
    </w:p>
    <w:p w:rsidR="00F4654E" w:rsidRDefault="00F4654E">
      <w:pPr>
        <w:pStyle w:val="a6"/>
      </w:pPr>
      <w:r>
        <w:t>Таким образом, учитывая разный иммунный фон вакцинируемых ж</w:t>
      </w:r>
      <w:r>
        <w:t>и</w:t>
      </w:r>
      <w:r>
        <w:t>вотных, клонально-селекционную теории иммунитета, возможную инте</w:t>
      </w:r>
      <w:r>
        <w:t>р</w:t>
      </w:r>
      <w:r>
        <w:t>ференцию между возбудителями болезни и конкуренцию между антиген</w:t>
      </w:r>
      <w:r>
        <w:t>а</w:t>
      </w:r>
      <w:r>
        <w:t>ми, наличие стрессовых явлений, вызывающих снижение показателей н</w:t>
      </w:r>
      <w:r>
        <w:t>е</w:t>
      </w:r>
      <w:r>
        <w:t>специфической резистентности, влекущей за собой появление вторичных (временных) иммунодефицитов, можно полагать, что различие в имму</w:t>
      </w:r>
      <w:r>
        <w:t>н</w:t>
      </w:r>
      <w:r>
        <w:t>ном статусе и иммунологической реактивности животных одного пула я</w:t>
      </w:r>
      <w:r>
        <w:t>в</w:t>
      </w:r>
      <w:r>
        <w:t>ляются закономерными, а иммунокорректоры и иммуномодуляторы – сп</w:t>
      </w:r>
      <w:r>
        <w:t>е</w:t>
      </w:r>
      <w:r>
        <w:t>цифичными для каждого антигена.</w:t>
      </w:r>
    </w:p>
    <w:p w:rsidR="00F4654E" w:rsidRDefault="00F4654E">
      <w:pPr>
        <w:pStyle w:val="a4"/>
      </w:pPr>
      <w:r>
        <w:t>УДК 612.329:612.018</w:t>
      </w:r>
    </w:p>
    <w:p w:rsidR="00F4654E" w:rsidRDefault="00F4654E">
      <w:pPr>
        <w:pStyle w:val="1"/>
      </w:pPr>
      <w:bookmarkStart w:id="548" w:name="_Toc10115282"/>
      <w:bookmarkStart w:id="549" w:name="_Toc10731069"/>
      <w:bookmarkStart w:id="550" w:name="_Toc10731730"/>
      <w:bookmarkStart w:id="551" w:name="_Toc10891563"/>
      <w:bookmarkStart w:id="552" w:name="_Toc10892238"/>
      <w:bookmarkStart w:id="553" w:name="_Toc11390097"/>
      <w:bookmarkStart w:id="554" w:name="_Toc11839782"/>
      <w:bookmarkStart w:id="555" w:name="_Toc11937318"/>
      <w:r>
        <w:t>Морфологическая характеристика печени крыс в зависимости от обеспеченности организма кальцием</w:t>
      </w:r>
      <w:bookmarkEnd w:id="548"/>
      <w:bookmarkEnd w:id="549"/>
      <w:bookmarkEnd w:id="550"/>
      <w:bookmarkEnd w:id="551"/>
      <w:bookmarkEnd w:id="552"/>
      <w:bookmarkEnd w:id="553"/>
      <w:bookmarkEnd w:id="554"/>
      <w:bookmarkEnd w:id="555"/>
    </w:p>
    <w:p w:rsidR="00F4654E" w:rsidRDefault="00F4654E">
      <w:pPr>
        <w:pStyle w:val="2"/>
      </w:pPr>
      <w:bookmarkStart w:id="556" w:name="_Toc10115283"/>
      <w:bookmarkStart w:id="557" w:name="_Toc10731070"/>
      <w:bookmarkStart w:id="558" w:name="_Toc10731731"/>
      <w:bookmarkStart w:id="559" w:name="_Toc10891564"/>
      <w:bookmarkStart w:id="560" w:name="_Toc10892239"/>
      <w:bookmarkStart w:id="561" w:name="_Toc11390098"/>
      <w:bookmarkStart w:id="562" w:name="_Toc11937319"/>
      <w:r>
        <w:t>Арешидзе Д.А., Руденко В.В.</w:t>
      </w:r>
      <w:bookmarkEnd w:id="556"/>
      <w:bookmarkEnd w:id="557"/>
      <w:bookmarkEnd w:id="558"/>
      <w:bookmarkEnd w:id="559"/>
      <w:bookmarkEnd w:id="560"/>
      <w:bookmarkEnd w:id="561"/>
      <w:bookmarkEnd w:id="562"/>
    </w:p>
    <w:p w:rsidR="00F4654E" w:rsidRDefault="00F4654E">
      <w:pPr>
        <w:pStyle w:val="a6"/>
      </w:pPr>
      <w:r>
        <w:t>В последние 35 лет в научной литературе широко освещен вопрос о роли кальция в жизнедеятельности организма. Без участия ионизированн</w:t>
      </w:r>
      <w:r>
        <w:t>о</w:t>
      </w:r>
      <w:r>
        <w:t>го кальция невозможно нормальное выполнение большинства физиолог</w:t>
      </w:r>
      <w:r>
        <w:t>и</w:t>
      </w:r>
      <w:r>
        <w:t>ческих функций. В последние годы большое внимание уделяется роли кальция в функционировании гепатоцитов.</w:t>
      </w:r>
    </w:p>
    <w:p w:rsidR="00F4654E" w:rsidRDefault="00F4654E">
      <w:pPr>
        <w:pStyle w:val="a6"/>
      </w:pPr>
      <w:r>
        <w:t>Известно, что при гиперпаратиреозе и гиперкальциемии в клетках п</w:t>
      </w:r>
      <w:r>
        <w:t>е</w:t>
      </w:r>
      <w:r>
        <w:t>чени человека происходит отложение солей кальция. Кроме того, рядом исследователей отмечено, что аккумуляция  кальция в любой клетке пр</w:t>
      </w:r>
      <w:r>
        <w:t>и</w:t>
      </w:r>
      <w:r>
        <w:t>водит к изменению структурно-функциональной целостности клеточных компартментов и вызывать повреждения (Ramos K., Acosta D., 1985)  и</w:t>
      </w:r>
      <w:r>
        <w:t>с</w:t>
      </w:r>
      <w:r>
        <w:t>следования Трампа (Trump et al., 1984) свидетельствуют о том, что поток Са</w:t>
      </w:r>
      <w:r>
        <w:rPr>
          <w:vertAlign w:val="superscript"/>
        </w:rPr>
        <w:t>2+</w:t>
      </w:r>
      <w:r>
        <w:t xml:space="preserve"> из внеклеточной среды вызывает изменения цитоскелета клетки. </w:t>
      </w:r>
    </w:p>
    <w:p w:rsidR="00F4654E" w:rsidRDefault="00F4654E">
      <w:pPr>
        <w:pStyle w:val="a6"/>
      </w:pPr>
      <w:r>
        <w:t>Заслуживает пристального внимания то, что развитие ритмической системы организма, а, следовательно, его способность к адаптации, нач</w:t>
      </w:r>
      <w:r>
        <w:t>и</w:t>
      </w:r>
      <w:r>
        <w:t>нается в раннем онтогенезе и также подвержено влиянию среды. Рядом р</w:t>
      </w:r>
      <w:r>
        <w:t>а</w:t>
      </w:r>
      <w:r>
        <w:t>нее проведенных исследований показана зависимость становления фун</w:t>
      </w:r>
      <w:r>
        <w:t>к</w:t>
      </w:r>
      <w:r>
        <w:t>циональных систем организма в зависимости от обеспеченности организма матери паратгормоном в период беременности, а так же  крыс на разных этапах онтогенеза в зависимости от обеспеченности организма кальцием.</w:t>
      </w:r>
    </w:p>
    <w:p w:rsidR="00F4654E" w:rsidRDefault="00F4654E">
      <w:pPr>
        <w:pStyle w:val="a6"/>
      </w:pPr>
      <w:r>
        <w:t>Исходя из вышеизложенного нам представлялось интересным изуч</w:t>
      </w:r>
      <w:r>
        <w:t>е</w:t>
      </w:r>
      <w:r>
        <w:t>ние морфологической характеристики клеток печени  шестимесячных крыс с экспериментальной гипер – и гипокальциемией при смещении св</w:t>
      </w:r>
      <w:r>
        <w:t>е</w:t>
      </w:r>
      <w:r>
        <w:t xml:space="preserve">тового режима. Этот возраст характеризуется завершением становления всех функциональных систем в зависимости от уровня кальциемии. </w:t>
      </w:r>
    </w:p>
    <w:p w:rsidR="00F4654E" w:rsidRDefault="00F4654E">
      <w:pPr>
        <w:pStyle w:val="a6"/>
      </w:pPr>
      <w:r>
        <w:t xml:space="preserve">В качестве основного критерия оценки состояния  печени  нами была выбрана микроморфометрия, поскольку она дает наиболее информативные </w:t>
      </w:r>
      <w:r>
        <w:lastRenderedPageBreak/>
        <w:t>данные о гепатоцитах. Согласно ряду литературных данных (Ташке, 1978, Реутова, 2000), увеличение линейных размеров ядра и клетки свидетельс</w:t>
      </w:r>
      <w:r>
        <w:t>т</w:t>
      </w:r>
      <w:r>
        <w:t>вует об усилении функциональной активности гепатоцита.</w:t>
      </w:r>
    </w:p>
    <w:p w:rsidR="00F4654E" w:rsidRDefault="00F4654E">
      <w:pPr>
        <w:pStyle w:val="a6"/>
      </w:pPr>
      <w:r>
        <w:t>Эксперимент был проведен на 36 белых крысах линии Вистар, разд</w:t>
      </w:r>
      <w:r>
        <w:t>е</w:t>
      </w:r>
      <w:r>
        <w:t>ленных на 3 группы. Первую группу составили животные, которым пер</w:t>
      </w:r>
      <w:r>
        <w:t>е</w:t>
      </w:r>
      <w:r>
        <w:t>саживали дополнительно три пары околощитовидных желез (ОЩЖ), что обеспечивало длительный  и стойкий гиперпаратиреоз и гиперкальциемию. Вторая группа была составлена из крыс, у которых удаляли ОЩЖ, что обеспечивало гипопаратиреоз и гипокальциемию. В третью группу вошли интактные животные. После умерщвления крыс печень фиксировалась в нейтральном формалине, после чего осуществлялась проводка по общ</w:t>
      </w:r>
      <w:r>
        <w:t>е</w:t>
      </w:r>
      <w:r>
        <w:t>принятой методике с последующей окраской гематоксилин – эозином. И</w:t>
      </w:r>
      <w:r>
        <w:t>з</w:t>
      </w:r>
      <w:r>
        <w:t>мерения линейных размеров проводились при помощи окуляр-микрометра.</w:t>
      </w:r>
    </w:p>
    <w:p w:rsidR="00F4654E" w:rsidRDefault="00F4654E">
      <w:pPr>
        <w:pStyle w:val="a6"/>
      </w:pPr>
      <w:r>
        <w:t>Полученные результаты свидетельствуют, что у интактных животных площадь поперечного сечения ядра составила 22,13</w:t>
      </w:r>
      <w:r>
        <w:sym w:font="Symbol" w:char="F0B1"/>
      </w:r>
      <w:r>
        <w:t>0,12 мкм</w:t>
      </w:r>
      <w:r>
        <w:rPr>
          <w:vertAlign w:val="superscript"/>
        </w:rPr>
        <w:t>2</w:t>
      </w:r>
      <w:r>
        <w:t>,  площадь поперечного сечения клетки – 54,27</w:t>
      </w:r>
      <w:r>
        <w:sym w:font="Symbol" w:char="F0B1"/>
      </w:r>
      <w:r>
        <w:t>0,04 мкм</w:t>
      </w:r>
      <w:r>
        <w:rPr>
          <w:vertAlign w:val="superscript"/>
        </w:rPr>
        <w:t>2</w:t>
      </w:r>
      <w:r>
        <w:t>.  Ядерно-плазматическое отношение (ЯПО) в этой группе составило 1:2. У крыс с гиперкальциемией площадь поперечного сечения ядра достоверно выше и составляет 48,45</w:t>
      </w:r>
      <w:r>
        <w:sym w:font="Symbol" w:char="F0B1"/>
      </w:r>
      <w:r>
        <w:t>0,7 мкм</w:t>
      </w:r>
      <w:r>
        <w:rPr>
          <w:vertAlign w:val="superscript"/>
        </w:rPr>
        <w:t>2</w:t>
      </w:r>
      <w:r>
        <w:t>, площадь поперечного сечения клетки так же достоверно выше – 208,3</w:t>
      </w:r>
      <w:r>
        <w:sym w:font="Symbol" w:char="F0B1"/>
      </w:r>
      <w:r>
        <w:t>0,33 мкм</w:t>
      </w:r>
      <w:r>
        <w:rPr>
          <w:vertAlign w:val="superscript"/>
        </w:rPr>
        <w:t>2</w:t>
      </w:r>
      <w:r>
        <w:t>, и так же достоверно изменяется ЯПО – 1:4. У крыс с гипокальциемией площади поперечного сечения и ядра, и клетки отличается достоверно от таковой у интактных животных и составляют 29,7</w:t>
      </w:r>
      <w:r>
        <w:sym w:font="Symbol" w:char="F0B1"/>
      </w:r>
      <w:r>
        <w:t>0,6 мкм</w:t>
      </w:r>
      <w:r>
        <w:rPr>
          <w:vertAlign w:val="superscript"/>
        </w:rPr>
        <w:t>2</w:t>
      </w:r>
      <w:r>
        <w:t xml:space="preserve"> и 65,15</w:t>
      </w:r>
      <w:r>
        <w:sym w:font="Symbol" w:char="F0B1"/>
      </w:r>
      <w:r>
        <w:t xml:space="preserve"> 0,24 мкм</w:t>
      </w:r>
      <w:r>
        <w:rPr>
          <w:vertAlign w:val="superscript"/>
        </w:rPr>
        <w:t>2</w:t>
      </w:r>
      <w:r>
        <w:t xml:space="preserve"> соответственно. При этом эти показатели достоверно ниже, чем в клетках печени крыс при гиперкальциемии. Недо</w:t>
      </w:r>
      <w:r>
        <w:t>с</w:t>
      </w:r>
      <w:r>
        <w:t xml:space="preserve">товерно от интактной группы  отличается ЯПО – 1:2,4. </w:t>
      </w:r>
    </w:p>
    <w:p w:rsidR="00F4654E" w:rsidRDefault="00F4654E">
      <w:pPr>
        <w:pStyle w:val="a6"/>
      </w:pPr>
      <w:r>
        <w:t>Таким образом, полученные данные позволяют нам сделать вывод о том, что и гиперкальциемия и гипокальциемия  существенно изменяют  структуру гепатоцитов, это позволяет нам предположить, что изменяется как следствие и функциональная активность клеток, что в большей степени  проявляется при гиперкальциемии</w:t>
      </w:r>
    </w:p>
    <w:p w:rsidR="00F4654E" w:rsidRDefault="00F4654E">
      <w:pPr>
        <w:pStyle w:val="a4"/>
      </w:pPr>
      <w:r>
        <w:t>УДК  619:615.248.21.44</w:t>
      </w:r>
    </w:p>
    <w:p w:rsidR="00F4654E" w:rsidRDefault="00F4654E">
      <w:pPr>
        <w:pStyle w:val="1"/>
      </w:pPr>
      <w:bookmarkStart w:id="563" w:name="_Toc10115284"/>
      <w:bookmarkStart w:id="564" w:name="_Toc10731071"/>
      <w:bookmarkStart w:id="565" w:name="_Toc10731732"/>
      <w:bookmarkStart w:id="566" w:name="_Toc10891565"/>
      <w:bookmarkStart w:id="567" w:name="_Toc10892240"/>
      <w:bookmarkStart w:id="568" w:name="_Toc11390099"/>
      <w:bookmarkStart w:id="569" w:name="_Toc11839784"/>
      <w:bookmarkStart w:id="570" w:name="_Toc11937320"/>
      <w:r>
        <w:t>Испытание биологической активности  диаквадибензимидазолосульфата меди</w:t>
      </w:r>
      <w:bookmarkEnd w:id="563"/>
      <w:bookmarkEnd w:id="564"/>
      <w:bookmarkEnd w:id="565"/>
      <w:bookmarkEnd w:id="566"/>
      <w:bookmarkEnd w:id="567"/>
      <w:bookmarkEnd w:id="568"/>
      <w:bookmarkEnd w:id="569"/>
      <w:bookmarkEnd w:id="570"/>
    </w:p>
    <w:p w:rsidR="00F4654E" w:rsidRDefault="00F4654E">
      <w:pPr>
        <w:pStyle w:val="2"/>
      </w:pPr>
      <w:bookmarkStart w:id="571" w:name="_Toc10115285"/>
      <w:bookmarkStart w:id="572" w:name="_Toc10731072"/>
      <w:bookmarkStart w:id="573" w:name="_Toc10731733"/>
      <w:bookmarkStart w:id="574" w:name="_Toc10891566"/>
      <w:bookmarkStart w:id="575" w:name="_Toc10892241"/>
      <w:bookmarkStart w:id="576" w:name="_Toc11390100"/>
      <w:bookmarkStart w:id="577" w:name="_Toc11937321"/>
      <w:r>
        <w:t>Арзыбаев М., Бабакулов М., Дюшеналиева Ч.К.*,</w:t>
      </w:r>
      <w:r>
        <w:br/>
        <w:t xml:space="preserve"> Сулайманкулов К.С.*, Шыйтиева Н.К.*</w:t>
      </w:r>
      <w:bookmarkEnd w:id="571"/>
      <w:bookmarkEnd w:id="572"/>
      <w:bookmarkEnd w:id="573"/>
      <w:bookmarkEnd w:id="574"/>
      <w:bookmarkEnd w:id="575"/>
      <w:bookmarkEnd w:id="576"/>
      <w:bookmarkEnd w:id="577"/>
    </w:p>
    <w:p w:rsidR="00F4654E" w:rsidRDefault="00F4654E">
      <w:pPr>
        <w:pStyle w:val="a5"/>
      </w:pPr>
      <w:r>
        <w:t xml:space="preserve">Кыргызский государственный научно-исследовательский контрольный </w:t>
      </w:r>
      <w:r>
        <w:br/>
        <w:t>институт ветеринарии</w:t>
      </w:r>
      <w:r>
        <w:br/>
        <w:t>*Институт химии и химических технологий НАН Кыргызской республики</w:t>
      </w:r>
    </w:p>
    <w:p w:rsidR="00F4654E" w:rsidRDefault="00F4654E">
      <w:pPr>
        <w:pStyle w:val="a6"/>
      </w:pPr>
      <w:r>
        <w:t>Производные бензимидазола известны как противопаразитарные средства (антигельминтики, фунгициды, инсектициды и др.). Они, проя</w:t>
      </w:r>
      <w:r>
        <w:t>в</w:t>
      </w:r>
      <w:r>
        <w:t>ляя высокую специфическую активность, одновременно обладают отриц</w:t>
      </w:r>
      <w:r>
        <w:t>а</w:t>
      </w:r>
      <w:r>
        <w:lastRenderedPageBreak/>
        <w:t>тельным побочным эффектом отдаленного характера (тератогенность, э</w:t>
      </w:r>
      <w:r>
        <w:t>м</w:t>
      </w:r>
      <w:r>
        <w:t>бриотоксичность). Поэтому учеными ведутся научные исследования по получению новых соединений бензимидазола, лишенных этих вредных свойств, и усовершенствованию существующих.</w:t>
      </w:r>
    </w:p>
    <w:p w:rsidR="00F4654E" w:rsidRDefault="00F4654E">
      <w:pPr>
        <w:pStyle w:val="a6"/>
      </w:pPr>
      <w:r>
        <w:t>В лаборатории неорганической химии Института химии и химических технологий НАН Кыргызской республики на основе двух гельминтоци</w:t>
      </w:r>
      <w:r>
        <w:t>д</w:t>
      </w:r>
      <w:r>
        <w:t>ных соединений (бензимидозол и сульфат меди) синтезировано комплек</w:t>
      </w:r>
      <w:r>
        <w:t>с</w:t>
      </w:r>
      <w:r>
        <w:t>ное соединение – диаквадибензимидазолосульфат ме</w:t>
      </w:r>
      <w:r>
        <w:softHyphen/>
        <w:t>ди (СиSO</w:t>
      </w:r>
      <w:r>
        <w:rPr>
          <w:vertAlign w:val="subscript"/>
        </w:rPr>
        <w:t>4</w:t>
      </w:r>
      <w:r>
        <w:rPr>
          <w:vertAlign w:val="superscript"/>
        </w:rPr>
        <w:t xml:space="preserve">. </w:t>
      </w:r>
      <w:r>
        <w:t>2СН</w:t>
      </w:r>
      <w:r>
        <w:rPr>
          <w:vertAlign w:val="subscript"/>
        </w:rPr>
        <w:t>6</w:t>
      </w:r>
      <w:r>
        <w:t>N</w:t>
      </w:r>
      <w:r>
        <w:rPr>
          <w:vertAlign w:val="subscript"/>
        </w:rPr>
        <w:t xml:space="preserve">2 </w:t>
      </w:r>
      <w:r>
        <w:rPr>
          <w:vertAlign w:val="superscript"/>
        </w:rPr>
        <w:t>.</w:t>
      </w:r>
      <w:r>
        <w:t xml:space="preserve"> 2Н</w:t>
      </w:r>
      <w:r>
        <w:rPr>
          <w:vertAlign w:val="subscript"/>
        </w:rPr>
        <w:t>2</w:t>
      </w:r>
      <w:r>
        <w:t>О). Нами это вещество испытано на острую токсичность и гельминт</w:t>
      </w:r>
      <w:r>
        <w:t>о</w:t>
      </w:r>
      <w:r>
        <w:t>цидную активность.</w:t>
      </w:r>
    </w:p>
    <w:p w:rsidR="00F4654E" w:rsidRDefault="00F4654E">
      <w:pPr>
        <w:pStyle w:val="a6"/>
      </w:pPr>
      <w:r>
        <w:t>Опыты по изучению острой токсичности диаквадибензимидазол</w:t>
      </w:r>
      <w:r>
        <w:t>о</w:t>
      </w:r>
      <w:r>
        <w:t>сульфата меди проводили на 42 беспородных белых мышах обоего пола, с живой массой 18 – 22 г. Препарат вводили мышам перорально в дозах 600, 850, 1000, 1150, 1300 и 1450 мг/кг живой массы в виде водной суспензии с помощью шприца, снабженного металлическим зондом и наблюдали за ними в течение 10 дней. При этом учитывали общее состояние, характер и степень препаративного токсикоза, время гибели животных. Трупы па</w:t>
      </w:r>
      <w:r>
        <w:t>в</w:t>
      </w:r>
      <w:r>
        <w:t>ших мышей подвергались патологоанатомическому вскрытию для уст</w:t>
      </w:r>
      <w:r>
        <w:t>а</w:t>
      </w:r>
      <w:r>
        <w:t>новления причин гибели. В конце опытов провели статистическую обр</w:t>
      </w:r>
      <w:r>
        <w:t>а</w:t>
      </w:r>
      <w:r>
        <w:t>ботку цифровых данных методом пробит анализа в модификации А.Н. Кудрина и Г.Т. Пономаревой (1967).</w:t>
      </w:r>
    </w:p>
    <w:p w:rsidR="00F4654E" w:rsidRDefault="00F4654E">
      <w:pPr>
        <w:pStyle w:val="a6"/>
      </w:pPr>
      <w:r>
        <w:t>Клиника отравления у мышей по выраженности и степени тяжести были разными в зависимости от полученных ими доз и проявлялись в во</w:t>
      </w:r>
      <w:r>
        <w:t>з</w:t>
      </w:r>
      <w:r>
        <w:t>бужденном состоянии (беспокойство, повышенная реакция на внешние раздражители), которое быстро сменялось прогрессирующим угнетением, переходящим в полную прострацию. При этом отмечены потливость, о</w:t>
      </w:r>
      <w:r>
        <w:t>т</w:t>
      </w:r>
      <w:r>
        <w:t>сутствие аппетита, безразличие на тактильные раздражители. Смерть ж</w:t>
      </w:r>
      <w:r>
        <w:t>и</w:t>
      </w:r>
      <w:r>
        <w:t>вотных от токсикоза наступает, как правило, че</w:t>
      </w:r>
      <w:r>
        <w:softHyphen/>
        <w:t>рез 4-5 часов после дачи препарата в дозах 1150 – 1450 мг/кг. Животные, получившие меньшие д</w:t>
      </w:r>
      <w:r>
        <w:t>о</w:t>
      </w:r>
      <w:r>
        <w:t>зы препарата, гибнут в течение 2-3 дней. У них отмечается сильная диарея, анрекция и значительная потеря в живой массе.</w:t>
      </w:r>
    </w:p>
    <w:p w:rsidR="00F4654E" w:rsidRDefault="00F4654E">
      <w:pPr>
        <w:pStyle w:val="a6"/>
      </w:pPr>
      <w:r>
        <w:t>Результаты статистической обработки цифровых данных опыта пок</w:t>
      </w:r>
      <w:r>
        <w:t>а</w:t>
      </w:r>
      <w:r>
        <w:t>зали, что максимально переносимая доза (ЛД</w:t>
      </w:r>
      <w:r>
        <w:rPr>
          <w:vertAlign w:val="subscript"/>
        </w:rPr>
        <w:t>0</w:t>
      </w:r>
      <w:r>
        <w:t>) диаквадибензимидозол</w:t>
      </w:r>
      <w:r>
        <w:t>о</w:t>
      </w:r>
      <w:r>
        <w:t>суль-фата меди для белых мышей при пероральном введении составила 600 мг/кг. ЛД</w:t>
      </w:r>
      <w:r>
        <w:rPr>
          <w:vertAlign w:val="subscript"/>
        </w:rPr>
        <w:t>16</w:t>
      </w:r>
      <w:r>
        <w:t xml:space="preserve"> – 900 мг/кг, среднесмертельная доза (ЛД</w:t>
      </w:r>
      <w:r>
        <w:rPr>
          <w:vertAlign w:val="subscript"/>
        </w:rPr>
        <w:t>50</w:t>
      </w:r>
      <w:r>
        <w:t xml:space="preserve">) – 1095 (977,6 </w:t>
      </w:r>
      <w:r>
        <w:sym w:font="Symbol" w:char="F0B8"/>
      </w:r>
      <w:r>
        <w:t>1228,4) мг/кг, ЛД</w:t>
      </w:r>
      <w:r>
        <w:rPr>
          <w:vertAlign w:val="subscript"/>
        </w:rPr>
        <w:t>84</w:t>
      </w:r>
      <w:r>
        <w:t xml:space="preserve"> – 1385 мг/кг, а его абсолютно смертельная доза 1460 мг/кг массы тела животных.</w:t>
      </w:r>
    </w:p>
    <w:p w:rsidR="00F4654E" w:rsidRDefault="00F4654E">
      <w:pPr>
        <w:pStyle w:val="a6"/>
      </w:pPr>
      <w:r>
        <w:t xml:space="preserve">Гельминтоцидную активность соединения изучали методом </w:t>
      </w:r>
      <w:r>
        <w:rPr>
          <w:lang w:val="en-US"/>
        </w:rPr>
        <w:t>in</w:t>
      </w:r>
      <w:r>
        <w:t xml:space="preserve"> </w:t>
      </w:r>
      <w:r>
        <w:rPr>
          <w:lang w:val="en-US"/>
        </w:rPr>
        <w:t>vivo</w:t>
      </w:r>
      <w:r>
        <w:t>, сначала на лабораторной модели цестодозов (гименолепидоз белых м</w:t>
      </w:r>
      <w:r>
        <w:t>ы</w:t>
      </w:r>
      <w:r>
        <w:t>шей), затем на спонтанно зараженных мониезиозом овцах.</w:t>
      </w:r>
    </w:p>
    <w:p w:rsidR="00F4654E" w:rsidRDefault="00F4654E">
      <w:pPr>
        <w:pStyle w:val="a6"/>
      </w:pPr>
      <w:r>
        <w:t>Изучаемое соединение искусственно вводили инвазированным белым мышам перорально в виде водной суспензии с помощью шприца, сна</w:t>
      </w:r>
      <w:r>
        <w:t>б</w:t>
      </w:r>
      <w:r>
        <w:t xml:space="preserve">женного специальным металлическим зондом в дозе 100 мг/кг массы тела </w:t>
      </w:r>
      <w:r>
        <w:lastRenderedPageBreak/>
        <w:t>(пять мышей), и ещё пять мышей (контроль), дегельминтиза</w:t>
      </w:r>
      <w:r>
        <w:softHyphen/>
        <w:t>ции не подве</w:t>
      </w:r>
      <w:r>
        <w:t>р</w:t>
      </w:r>
      <w:r>
        <w:t>гались. По окончании эксперимента, мыши опытной и контрольной групп забивались, провели гельминтологическое вскрытие кишечника и подсч</w:t>
      </w:r>
      <w:r>
        <w:t>и</w:t>
      </w:r>
      <w:r>
        <w:t>тали число гельминтов в каждой группе для определения экстенсэффе</w:t>
      </w:r>
      <w:r>
        <w:t>к</w:t>
      </w:r>
      <w:r>
        <w:t>тивности (ЭЭ) и интенсэффективности (ИЭ) препарата, которые составили – ЭЭ = 80%, а ИЭ = 90,3%.</w:t>
      </w:r>
    </w:p>
    <w:p w:rsidR="00F4654E" w:rsidRDefault="00F4654E">
      <w:pPr>
        <w:pStyle w:val="a6"/>
      </w:pPr>
      <w:r>
        <w:t>У известного российского антигельминтика фенасала, взятого для сравнения, ЭЭ = 80%, а ИЭ = 81,9%. Новый антигельминтик, широкого спек</w:t>
      </w:r>
      <w:r>
        <w:softHyphen/>
        <w:t>тра действия, производимый в Турции на основе альбендозола, в н</w:t>
      </w:r>
      <w:r>
        <w:t>а</w:t>
      </w:r>
      <w:r>
        <w:t>ших опытах освободил только 20% мышей от гименолепидоза, при сравни</w:t>
      </w:r>
      <w:r>
        <w:softHyphen/>
        <w:t>тельно заметном понижении интенсивности инвазии (ИЭ = 69,8%).</w:t>
      </w:r>
    </w:p>
    <w:p w:rsidR="00F4654E" w:rsidRDefault="00F4654E">
      <w:pPr>
        <w:pStyle w:val="a6"/>
      </w:pPr>
      <w:r>
        <w:t>Следовательно, антигельминтная эффективность диаквадибензимидо-золосульфата меди в дозе 100мг/кг при гименолепидозе белых мы</w:t>
      </w:r>
      <w:r>
        <w:softHyphen/>
        <w:t>шей б</w:t>
      </w:r>
      <w:r>
        <w:t>ы</w:t>
      </w:r>
      <w:r>
        <w:t>ла выше уже известных цестодоцидных препаратов фенасала и вермитана.</w:t>
      </w:r>
    </w:p>
    <w:p w:rsidR="00F4654E" w:rsidRDefault="00F4654E">
      <w:pPr>
        <w:pStyle w:val="a6"/>
        <w:rPr>
          <w:spacing w:val="-4"/>
        </w:rPr>
      </w:pPr>
      <w:r>
        <w:rPr>
          <w:spacing w:val="-4"/>
        </w:rPr>
        <w:t>Испытание диаквадибензимидазолосульфата меди при цестодозах сел</w:t>
      </w:r>
      <w:r>
        <w:rPr>
          <w:spacing w:val="-4"/>
        </w:rPr>
        <w:t>ь</w:t>
      </w:r>
      <w:r>
        <w:rPr>
          <w:spacing w:val="-4"/>
        </w:rPr>
        <w:t>скохозяйственных животных проводилось на 10 головах ягнят текущего года рождения и 10 голов молодняка крупного рогатого скота 1 –2 года. Перед д</w:t>
      </w:r>
      <w:r>
        <w:rPr>
          <w:spacing w:val="-4"/>
        </w:rPr>
        <w:t>а</w:t>
      </w:r>
      <w:r>
        <w:rPr>
          <w:spacing w:val="-4"/>
        </w:rPr>
        <w:t>чей препарата все животные были подвергнуты исследованию на мониезиоз и трихостронгилидоз методом гельминтоскопии по Я.Л. Никольскому (1961) и М.И. Кузнецову (1972) трехкратно с интервалом 5 дней.</w:t>
      </w:r>
    </w:p>
    <w:p w:rsidR="00F4654E" w:rsidRDefault="00F4654E">
      <w:pPr>
        <w:pStyle w:val="a6"/>
      </w:pPr>
      <w:r>
        <w:t>После проведенных гельминтологических и общеклинических иссл</w:t>
      </w:r>
      <w:r>
        <w:t>е</w:t>
      </w:r>
      <w:r>
        <w:t>дований и ягнята и телята были разделены по принципу аналогов, на две группы (подопытная и контрольная) по 5 голов каждого вида. Подопы</w:t>
      </w:r>
      <w:r>
        <w:t>т</w:t>
      </w:r>
      <w:r>
        <w:t>ным группам, после 18 часовой выдержки их на голодной диете, был задан диаквадибензимидазолосульфат меди в форме 5% -ной водной суспензии, ягнятам в дозе 100 мг/кг, а телятам – 200 мг/кг живого веса.</w:t>
      </w:r>
    </w:p>
    <w:p w:rsidR="00F4654E" w:rsidRDefault="00F4654E">
      <w:pPr>
        <w:pStyle w:val="a6"/>
      </w:pPr>
      <w:r>
        <w:t>Эффективность препарата оценивали по выделению фрагментов це</w:t>
      </w:r>
      <w:r>
        <w:t>с</w:t>
      </w:r>
      <w:r>
        <w:t xml:space="preserve">тод с калом через каждые 24,48 и 96 часов, а также путем убоя по одному животному из каждой группы с 11-го дня опыта. </w:t>
      </w:r>
    </w:p>
    <w:p w:rsidR="00F4654E" w:rsidRDefault="00F4654E">
      <w:pPr>
        <w:pStyle w:val="a6"/>
        <w:rPr>
          <w:spacing w:val="-2"/>
        </w:rPr>
      </w:pPr>
      <w:r>
        <w:rPr>
          <w:spacing w:val="-2"/>
        </w:rPr>
        <w:t>Выявлено, что ягнята подопытной группы полностью освободились от гельминтов в первые два дня, отхождение погибших гельминтов началось через 6 часов после дачи препарата. Каких – либо расстройств желудочно – кишечного тракта не наблюдалось. В контрольной группе ягнят после гел</w:t>
      </w:r>
      <w:r>
        <w:rPr>
          <w:spacing w:val="-2"/>
        </w:rPr>
        <w:t>ь</w:t>
      </w:r>
      <w:r>
        <w:rPr>
          <w:spacing w:val="-2"/>
        </w:rPr>
        <w:t>минтокапрологических исследований обнаружены яйца гель</w:t>
      </w:r>
      <w:r>
        <w:rPr>
          <w:spacing w:val="-2"/>
        </w:rPr>
        <w:softHyphen/>
        <w:t>минтов, а при вскрытии кишечника найдено З экз. мониезий. Следовательно, испытуе</w:t>
      </w:r>
      <w:r>
        <w:rPr>
          <w:spacing w:val="-2"/>
        </w:rPr>
        <w:softHyphen/>
        <w:t>мое вещество проявило 100%-ную эффективность (ЭЭ = 100%, ИЭ = 100%).</w:t>
      </w:r>
    </w:p>
    <w:p w:rsidR="00F4654E" w:rsidRDefault="00F4654E">
      <w:pPr>
        <w:pStyle w:val="a6"/>
      </w:pPr>
      <w:r>
        <w:t>Из пяти голов телят, дегельминтизированных препаратом, полнос</w:t>
      </w:r>
      <w:r>
        <w:softHyphen/>
        <w:t>тью освободились от мониезий 4 головы, один остался зараженным, в его к</w:t>
      </w:r>
      <w:r>
        <w:t>и</w:t>
      </w:r>
      <w:r>
        <w:t xml:space="preserve">шечнике найдена одна живая цестода. </w:t>
      </w:r>
    </w:p>
    <w:p w:rsidR="00F4654E" w:rsidRDefault="00F4654E">
      <w:pPr>
        <w:pStyle w:val="a6"/>
      </w:pPr>
      <w:r>
        <w:t>Контрольная группа телят в течение опыта полностью осталась зар</w:t>
      </w:r>
      <w:r>
        <w:t>а</w:t>
      </w:r>
      <w:r>
        <w:t>женной гельминтами и при вскрытии кишечника обнаружено в среднем по 2,2 экземпляра мониезий на одну зараженную голову.</w:t>
      </w:r>
    </w:p>
    <w:p w:rsidR="00F4654E" w:rsidRDefault="00F4654E">
      <w:pPr>
        <w:pStyle w:val="a6"/>
      </w:pPr>
      <w:r>
        <w:lastRenderedPageBreak/>
        <w:t>Таким образом, диаквадибензимидазолосульфат меди при мониезиозе показывает ЭЭ = 66% и ИЭ = 95,5%.</w:t>
      </w:r>
    </w:p>
    <w:p w:rsidR="00F4654E" w:rsidRDefault="00F4654E">
      <w:pPr>
        <w:pStyle w:val="a6"/>
      </w:pPr>
      <w:r>
        <w:t>Полученные результаты исследований по изучению эксперименталь</w:t>
      </w:r>
      <w:r>
        <w:softHyphen/>
        <w:t>но биологической активности диаквадибензомидазолосульфата меди показ</w:t>
      </w:r>
      <w:r>
        <w:t>а</w:t>
      </w:r>
      <w:r>
        <w:t>ли, что это новое комплексное соединение бензимидозола явля</w:t>
      </w:r>
      <w:r>
        <w:softHyphen/>
        <w:t>ется мал</w:t>
      </w:r>
      <w:r>
        <w:t>о</w:t>
      </w:r>
      <w:r>
        <w:t>токсичным веществом, обладающим выраженной антигельминтной акти</w:t>
      </w:r>
      <w:r>
        <w:t>в</w:t>
      </w:r>
      <w:r>
        <w:t>ностью при цестодозах животных.</w:t>
      </w:r>
    </w:p>
    <w:p w:rsidR="00F4654E" w:rsidRDefault="00F4654E">
      <w:pPr>
        <w:pStyle w:val="a4"/>
      </w:pPr>
      <w:r>
        <w:t>УДК 619:615.514.47</w:t>
      </w:r>
    </w:p>
    <w:p w:rsidR="00F4654E" w:rsidRDefault="00F4654E">
      <w:pPr>
        <w:pStyle w:val="1"/>
      </w:pPr>
      <w:bookmarkStart w:id="578" w:name="_Toc10115286"/>
      <w:bookmarkStart w:id="579" w:name="_Toc10731073"/>
      <w:bookmarkStart w:id="580" w:name="_Toc10731734"/>
      <w:bookmarkStart w:id="581" w:name="_Toc10891567"/>
      <w:bookmarkStart w:id="582" w:name="_Toc10892242"/>
      <w:bookmarkStart w:id="583" w:name="_Toc11390101"/>
      <w:bookmarkStart w:id="584" w:name="_Toc11839786"/>
      <w:bookmarkStart w:id="585" w:name="_Toc11937322"/>
      <w:r>
        <w:t>Токсические свойства и антибактериальная активность соединений гексаметилентетрамина</w:t>
      </w:r>
      <w:bookmarkEnd w:id="578"/>
      <w:bookmarkEnd w:id="579"/>
      <w:bookmarkEnd w:id="580"/>
      <w:bookmarkEnd w:id="581"/>
      <w:bookmarkEnd w:id="582"/>
      <w:bookmarkEnd w:id="583"/>
      <w:bookmarkEnd w:id="584"/>
      <w:bookmarkEnd w:id="585"/>
    </w:p>
    <w:p w:rsidR="00F4654E" w:rsidRDefault="00F4654E">
      <w:pPr>
        <w:pStyle w:val="2"/>
      </w:pPr>
      <w:bookmarkStart w:id="586" w:name="_Toc10115287"/>
      <w:bookmarkStart w:id="587" w:name="_Toc10731074"/>
      <w:bookmarkStart w:id="588" w:name="_Toc10731735"/>
      <w:bookmarkStart w:id="589" w:name="_Toc10891568"/>
      <w:bookmarkStart w:id="590" w:name="_Toc10892243"/>
      <w:bookmarkStart w:id="591" w:name="_Toc11390102"/>
      <w:bookmarkStart w:id="592" w:name="_Toc11937323"/>
      <w:r>
        <w:t>Арзыбаев М., Иманалиев М.И., Алтыбаева Д.Т.*, Токтоматов Т.А.*</w:t>
      </w:r>
      <w:bookmarkEnd w:id="586"/>
      <w:bookmarkEnd w:id="587"/>
      <w:bookmarkEnd w:id="588"/>
      <w:bookmarkEnd w:id="589"/>
      <w:bookmarkEnd w:id="590"/>
      <w:bookmarkEnd w:id="591"/>
      <w:bookmarkEnd w:id="592"/>
    </w:p>
    <w:p w:rsidR="00F4654E" w:rsidRDefault="00F4654E">
      <w:pPr>
        <w:pStyle w:val="a5"/>
      </w:pPr>
      <w:r>
        <w:t>Кыргызский государственный научно-исследовательский контрольный</w:t>
      </w:r>
      <w:r>
        <w:br/>
        <w:t xml:space="preserve">институт ветеринарии </w:t>
      </w:r>
      <w:r>
        <w:br/>
        <w:t>*Институт химии и химических технологий НАН Кыргызской республики</w:t>
      </w:r>
    </w:p>
    <w:p w:rsidR="00F4654E" w:rsidRDefault="00F4654E">
      <w:pPr>
        <w:pStyle w:val="a6"/>
      </w:pPr>
      <w:r>
        <w:t>Гексаметилентетрамин (уротропин) – соединение формальдегида и аммиака впервые получено Бутлеровым (открывшим формальдегид), и</w:t>
      </w:r>
      <w:r>
        <w:t>з</w:t>
      </w:r>
      <w:r>
        <w:t>давна применяемся для дезинфекции по</w:t>
      </w:r>
      <w:r>
        <w:softHyphen/>
        <w:t>мещений. Чтобы использовать формальдегид как лекарственное средство, надо иметь соединения, кот</w:t>
      </w:r>
      <w:r>
        <w:t>о</w:t>
      </w:r>
      <w:r>
        <w:t>рые медленно отщепляют его под влиянием жидкостей организма. Фо</w:t>
      </w:r>
      <w:r>
        <w:t>р</w:t>
      </w:r>
      <w:r>
        <w:t>мальдегид дает различные соединения и с другими вещества</w:t>
      </w:r>
      <w:r>
        <w:softHyphen/>
        <w:t>ми: с декстр</w:t>
      </w:r>
      <w:r>
        <w:t>и</w:t>
      </w:r>
      <w:r>
        <w:t>ном (декстроформ), с лактозой (формаминт), но наибо</w:t>
      </w:r>
      <w:r>
        <w:softHyphen/>
        <w:t>лее активным в пр</w:t>
      </w:r>
      <w:r>
        <w:t>о</w:t>
      </w:r>
      <w:r>
        <w:t>тивомикробном отношении является гексаметилен</w:t>
      </w:r>
      <w:r>
        <w:softHyphen/>
        <w:t>тетрамин, широко пр</w:t>
      </w:r>
      <w:r>
        <w:t>и</w:t>
      </w:r>
      <w:r>
        <w:t>меняемый в медицине и ветеринарии как антисептическое средство при заболеваниях мочеполовых путей людей и рас</w:t>
      </w:r>
      <w:r>
        <w:softHyphen/>
        <w:t>стройствах желудо</w:t>
      </w:r>
      <w:r>
        <w:t>ч</w:t>
      </w:r>
      <w:r>
        <w:t>но-кишечного тракта молодняка животных. При инфекционных заболеваниях организм животных испытывает дефицит в минеральных веществах, в том числе и микроэлементах. Поэтому, с целью улучшить антимикробное де</w:t>
      </w:r>
      <w:r>
        <w:t>й</w:t>
      </w:r>
      <w:r>
        <w:t>ствие гексаметилентетрамина присутствием микроэлементов (кобальт, марганец, никель), в лаборатории химии и технологии благородных мета</w:t>
      </w:r>
      <w:r>
        <w:t>л</w:t>
      </w:r>
      <w:r>
        <w:t>лов Института химии и химических технологий НАН КР синтезированы 3 соединения его с солями переходных металлов: декааквадигексаметиле</w:t>
      </w:r>
      <w:r>
        <w:t>н</w:t>
      </w:r>
      <w:r>
        <w:t>тетрамин хлорид кобальта, пентааквадигексаметилентетрамин хлорид ма</w:t>
      </w:r>
      <w:r>
        <w:t>р</w:t>
      </w:r>
      <w:r>
        <w:t>ганца и пентааквадигексамет</w:t>
      </w:r>
      <w:r>
        <w:t>и</w:t>
      </w:r>
      <w:r>
        <w:t>лентетрамин хлорид никеля.</w:t>
      </w:r>
    </w:p>
    <w:p w:rsidR="00F4654E" w:rsidRDefault="00F4654E">
      <w:pPr>
        <w:pStyle w:val="a6"/>
      </w:pPr>
      <w:r>
        <w:t>Опыты по изучению острой токсичности их проводились на клини</w:t>
      </w:r>
      <w:r>
        <w:softHyphen/>
        <w:t>чески здоровых беспородных белых мышах с массой тела 20-26 г. Ве</w:t>
      </w:r>
      <w:r>
        <w:softHyphen/>
        <w:t>щества вводили им перорально в виде 10-20%-ных концентраций вод</w:t>
      </w:r>
      <w:r>
        <w:softHyphen/>
        <w:t>ных растворов в различных дозах с помощью шприца, снабженного специал</w:t>
      </w:r>
      <w:r>
        <w:t>ь</w:t>
      </w:r>
      <w:r>
        <w:t>ным металлическим зондом. Действие каждой дозы испытуемых веществ проверяли на группе мышей из 6 голов, а ещё одна группа из 6 голов была контрольной и получала воду без препаратов. Наб</w:t>
      </w:r>
      <w:r>
        <w:softHyphen/>
        <w:t xml:space="preserve">людения за животными вели в течение 9 дней, учитывались общее состояние, поведение, аппетит, </w:t>
      </w:r>
      <w:r>
        <w:lastRenderedPageBreak/>
        <w:t>температура тела, дыхание, сердце</w:t>
      </w:r>
      <w:r>
        <w:softHyphen/>
        <w:t>биение и гибель их. Цифровые данные подвергли статистической обработке (А.Н.Кудрин, Г.Т. Пономарева,1967).</w:t>
      </w:r>
    </w:p>
    <w:p w:rsidR="00F4654E" w:rsidRDefault="00F4654E">
      <w:pPr>
        <w:pStyle w:val="a6"/>
      </w:pPr>
      <w:r>
        <w:t>Результаты статистической обработки цифровых данных опытов по</w:t>
      </w:r>
      <w:r>
        <w:softHyphen/>
        <w:t>казали, что параметры острой токсичности изученных веществ были ра</w:t>
      </w:r>
      <w:r>
        <w:t>з</w:t>
      </w:r>
      <w:r>
        <w:t>ные. Так, максимально переносимая доза декааквадигексаметилентетр-амин хлорида кобальта составила 2800 мг/кг, средне смертельная доза ра</w:t>
      </w:r>
      <w:r>
        <w:t>в</w:t>
      </w:r>
      <w:r>
        <w:t>на 3900 (3305</w:t>
      </w:r>
      <w:r>
        <w:sym w:font="Symbol" w:char="F0B8"/>
      </w:r>
      <w:r>
        <w:t>4602) мг/кг, а его абсолютно смертельная доза была равна 4800 мг/кг. Параметры острой токсичности пентааквадигексаметиленте</w:t>
      </w:r>
      <w:r>
        <w:t>т</w:t>
      </w:r>
      <w:r>
        <w:t>рамин хлорида марганца для белых мышей были следующими: ЛД</w:t>
      </w:r>
      <w:r>
        <w:rPr>
          <w:vertAlign w:val="subscript"/>
        </w:rPr>
        <w:t>0</w:t>
      </w:r>
      <w:r>
        <w:t xml:space="preserve"> сост</w:t>
      </w:r>
      <w:r>
        <w:t>а</w:t>
      </w:r>
      <w:r>
        <w:t>вила 2500 мг/кг, ЛД</w:t>
      </w:r>
      <w:r>
        <w:rPr>
          <w:vertAlign w:val="subscript"/>
        </w:rPr>
        <w:t>50</w:t>
      </w:r>
      <w:r>
        <w:t xml:space="preserve"> –3620 (3175</w:t>
      </w:r>
      <w:r>
        <w:sym w:font="Symbol" w:char="F0B8"/>
      </w:r>
      <w:r>
        <w:t>4127) мг/кг, ЛД</w:t>
      </w:r>
      <w:r>
        <w:rPr>
          <w:vertAlign w:val="subscript"/>
        </w:rPr>
        <w:t>100</w:t>
      </w:r>
      <w:r>
        <w:t xml:space="preserve"> – 5000 мг/кг массы тела.Острая токсичность пентааквадигексаметилентетрамин хлорида ник</w:t>
      </w:r>
      <w:r>
        <w:t>е</w:t>
      </w:r>
      <w:r>
        <w:t>ля характеризовалась следующими параметрами: ЛД</w:t>
      </w:r>
      <w:r>
        <w:rPr>
          <w:vertAlign w:val="subscript"/>
        </w:rPr>
        <w:t>0</w:t>
      </w:r>
      <w:r>
        <w:t xml:space="preserve"> – 2600 мг/кг, ЛД</w:t>
      </w:r>
      <w:r>
        <w:rPr>
          <w:vertAlign w:val="subscript"/>
        </w:rPr>
        <w:t>50</w:t>
      </w:r>
      <w:r>
        <w:t xml:space="preserve"> – 3700 (3135</w:t>
      </w:r>
      <w:r>
        <w:sym w:font="Symbol" w:char="F0B8"/>
      </w:r>
      <w:r>
        <w:t>4366) мг/кг, а ЛД</w:t>
      </w:r>
      <w:r>
        <w:rPr>
          <w:vertAlign w:val="subscript"/>
        </w:rPr>
        <w:t>100</w:t>
      </w:r>
      <w:r>
        <w:t xml:space="preserve"> – 5000 мг/кг.</w:t>
      </w:r>
    </w:p>
    <w:p w:rsidR="00F4654E" w:rsidRDefault="00F4654E">
      <w:pPr>
        <w:pStyle w:val="a6"/>
      </w:pPr>
      <w:r>
        <w:t>Опыты по изучению бактерицидного и бактериостатического дейс</w:t>
      </w:r>
      <w:r>
        <w:t>т</w:t>
      </w:r>
      <w:r>
        <w:t>вия соединений проведены методом in vitro. Для этого, путем серийных разведении дистиллированной водой (1:10, 1:20, 1:40…1:2560) готовили различные концентрации веществ, бактерицидное действие которых из</w:t>
      </w:r>
      <w:r>
        <w:t>у</w:t>
      </w:r>
      <w:r>
        <w:t>чали посевом на агар-агар в чашках Петри возбудителей сальмонеллезной инфекции ягнят (Sa</w:t>
      </w:r>
      <w:r w:rsidR="00403C86">
        <w:rPr>
          <w:lang w:val="en-US"/>
        </w:rPr>
        <w:t>l</w:t>
      </w:r>
      <w:r>
        <w:t>monella typhi murium, 04), сальмонеллеза телят (Salmonella Dublin, 09) и колипатогенных серотипов кишечной палочки (Escherichia coli, 055,026) и добавлением по 0,1 мл каждого разведения в</w:t>
      </w:r>
      <w:r>
        <w:t>е</w:t>
      </w:r>
      <w:r>
        <w:t>ществ.  Учет результатов проводили после суточного выращивания в те</w:t>
      </w:r>
      <w:r>
        <w:t>р</w:t>
      </w:r>
      <w:r>
        <w:t>мостате при t =37С</w:t>
      </w:r>
      <w:r>
        <w:rPr>
          <w:vertAlign w:val="superscript"/>
        </w:rPr>
        <w:t>0</w:t>
      </w:r>
      <w:r>
        <w:t>, измерением диаметра зон (в мм), или отсутствия ро</w:t>
      </w:r>
      <w:r>
        <w:t>с</w:t>
      </w:r>
      <w:r>
        <w:t>та микроорганизмов на месте нанесения препарата. Контролем слу</w:t>
      </w:r>
      <w:r>
        <w:softHyphen/>
        <w:t>жил гекс</w:t>
      </w:r>
      <w:r>
        <w:t>а</w:t>
      </w:r>
      <w:r>
        <w:t>метилентетрамин (уротропин) в тех же концентрациях.</w:t>
      </w:r>
    </w:p>
    <w:p w:rsidR="00F4654E" w:rsidRDefault="00F4654E">
      <w:pPr>
        <w:pStyle w:val="a6"/>
      </w:pPr>
      <w:r>
        <w:t>Результаты опытов показали, что все испытанные вещества проя</w:t>
      </w:r>
      <w:r>
        <w:softHyphen/>
        <w:t>вили бактерицидную активность против выбранных микробных культур. Хотя не наблюдалась выраженная видовая специфичность в их действии, но о</w:t>
      </w:r>
      <w:r>
        <w:t>т</w:t>
      </w:r>
      <w:r>
        <w:t>четливо видно, что бактерицидная активность подученных сое</w:t>
      </w:r>
      <w:r>
        <w:softHyphen/>
        <w:t>динений выше, по сравнению с самим гексаметилентетрамином, являю</w:t>
      </w:r>
      <w:r>
        <w:softHyphen/>
        <w:t>щимся пр</w:t>
      </w:r>
      <w:r>
        <w:t>о</w:t>
      </w:r>
      <w:r>
        <w:t>тивомикробным средством при некоторых заболеваниях мик</w:t>
      </w:r>
      <w:r>
        <w:softHyphen/>
        <w:t>робной эти</w:t>
      </w:r>
      <w:r>
        <w:t>о</w:t>
      </w:r>
      <w:r>
        <w:t xml:space="preserve">логии (М.Д. Машковский,1967). </w:t>
      </w:r>
    </w:p>
    <w:p w:rsidR="00F4654E" w:rsidRDefault="00F4654E">
      <w:pPr>
        <w:pStyle w:val="a6"/>
      </w:pPr>
      <w:r>
        <w:t>Так, бактерицидная актив</w:t>
      </w:r>
      <w:r>
        <w:softHyphen/>
        <w:t>ность гексаметилентетрамина против ук</w:t>
      </w:r>
      <w:r>
        <w:t>а</w:t>
      </w:r>
      <w:r>
        <w:t>занных микробов проявляется до разведений 1:320 и 1:640, с зоной лизиса микробных колоний до 17 мм, пентааквадигексаметилентетрамин хлорид марганца убивает мик</w:t>
      </w:r>
      <w:r>
        <w:softHyphen/>
        <w:t>робов до разведений 1:2560 и 1:5120, а зона лизиса при этом дохо</w:t>
      </w:r>
      <w:r>
        <w:softHyphen/>
        <w:t>дит до 28 мм. У декааквадигексаметилентетрамин хлорида кобальта бактериальная активность проявляется до разведений 1:1280 и 1:2560, а зона лизиса –22 мм. Несколько меньшую активность против ми</w:t>
      </w:r>
      <w:r>
        <w:t>к</w:t>
      </w:r>
      <w:r>
        <w:t>робов оказывает пентааквадигексаметилентетрамин хлорид никеля, выз</w:t>
      </w:r>
      <w:r>
        <w:t>ы</w:t>
      </w:r>
      <w:r>
        <w:t>вая гибель возбудителей вышеназванных инфекций до разведений 1:640 и 1:1280. с зоной лизиса до 24 мм.</w:t>
      </w:r>
    </w:p>
    <w:p w:rsidR="00F4654E" w:rsidRDefault="00F4654E">
      <w:pPr>
        <w:pStyle w:val="a6"/>
      </w:pPr>
      <w:r>
        <w:lastRenderedPageBreak/>
        <w:t>Бактериостатическая активность веществ изучалась также путем их разведений в мясопептонном бульоне в тех же концентрациях с посл</w:t>
      </w:r>
      <w:r>
        <w:t>е</w:t>
      </w:r>
      <w:r>
        <w:t>дующим посевом чистых культур микробов в нём. Результаты этой серии опытов показали, что гексаметилентетрамин задержива</w:t>
      </w:r>
      <w:r>
        <w:softHyphen/>
        <w:t>ет рост сальмонелл в разведениях с 1:10 до 1:160, а рост эшерихий в разведениях с 1:10 до 1:80. Бактериостатическое действие соединений гексаметилентетрамина с металлами было выше. Так, выраженное отличие наблюдалось у пентаа</w:t>
      </w:r>
      <w:r>
        <w:t>к</w:t>
      </w:r>
      <w:r>
        <w:t>вадигексаметилентетрамин хлорида марганца, который подав</w:t>
      </w:r>
      <w:r>
        <w:softHyphen/>
        <w:t>ляет рост сальмонелл и эшерихий в разведениях с 1:10 до 1:320. Декааквадигексам</w:t>
      </w:r>
      <w:r>
        <w:t>е</w:t>
      </w:r>
      <w:r>
        <w:t>тилентетрамин хлорид кобальта и пентааквадиге-ксаметилентетрамин хл</w:t>
      </w:r>
      <w:r>
        <w:t>о</w:t>
      </w:r>
      <w:r>
        <w:t>рид никеля показали аналогичную активность, только с той разницей, что первое соединение останавливает рост сальмонелл в разведениях с 1:10 до 1:320, а рост эшерихий прек</w:t>
      </w:r>
      <w:r>
        <w:softHyphen/>
        <w:t>ращался в присутствии вещества в разведениях с 1:10 до 1:160. У второго соединения эти показатели меняются местами, т.е. рост сальмонелл подавляется при разведениях с 1:10 до 1:160, а рост эшерихий прекращается в разведениях с 1:10 до 1:320. Наблюдаемая зак</w:t>
      </w:r>
      <w:r>
        <w:t>о</w:t>
      </w:r>
      <w:r>
        <w:t>номерность понижения бактериостатической активности гексаметиленте</w:t>
      </w:r>
      <w:r>
        <w:t>т</w:t>
      </w:r>
      <w:r>
        <w:t>рамина и его соединении против микроорганизмов, культивируемых в жидкой среде (мясо-пептонный бульон), по всей вероятности объясняется слабощелочным показателем рН да</w:t>
      </w:r>
      <w:r>
        <w:softHyphen/>
        <w:t>нной среды, в которой гексаметиле</w:t>
      </w:r>
      <w:r>
        <w:t>н</w:t>
      </w:r>
      <w:r>
        <w:t>тетрамин и его дериваты не могут проявить высокую противомикробную активность. Изученные нами соединения гексаметилентетрамина с солями переходных металлов по классификации токсичности химических ве</w:t>
      </w:r>
      <w:r>
        <w:softHyphen/>
        <w:t>ществ (Л.И. Медведь,1968) относятся к классу малотоксичных сое</w:t>
      </w:r>
      <w:r>
        <w:softHyphen/>
        <w:t>динений. Схо</w:t>
      </w:r>
      <w:r>
        <w:t>д</w:t>
      </w:r>
      <w:r>
        <w:t>ство клинических признаков отравлений мышей всеми испытанными в</w:t>
      </w:r>
      <w:r>
        <w:t>е</w:t>
      </w:r>
      <w:r>
        <w:t>ществами объясняется наличием гексаметилентетрамина в их химической структуре.</w:t>
      </w:r>
    </w:p>
    <w:p w:rsidR="00F4654E" w:rsidRDefault="00F4654E">
      <w:pPr>
        <w:pStyle w:val="a6"/>
      </w:pPr>
      <w:r>
        <w:t>Исследованные вещества обладают выраженными бактерицидным и бактериостатическим действиями. Однако наиболее активным в этом о</w:t>
      </w:r>
      <w:r>
        <w:t>т</w:t>
      </w:r>
      <w:r>
        <w:t>ношении является пентааквадигексаметилентетрамин хлорид марганца. Наличие атомов переходных металлов в химической структуре повышает антибактериальную активность этих соединений, по сравнению с таковой у самого гексаметилентетрамина.</w:t>
      </w:r>
    </w:p>
    <w:p w:rsidR="00F4654E" w:rsidRDefault="00F4654E">
      <w:pPr>
        <w:pStyle w:val="a4"/>
      </w:pPr>
      <w:r>
        <w:t>УДК 619:615.514.47.28.281</w:t>
      </w:r>
    </w:p>
    <w:p w:rsidR="00F4654E" w:rsidRDefault="00F4654E">
      <w:pPr>
        <w:pStyle w:val="1"/>
      </w:pPr>
      <w:bookmarkStart w:id="593" w:name="_Toc10115288"/>
      <w:bookmarkStart w:id="594" w:name="_Toc10731075"/>
      <w:bookmarkStart w:id="595" w:name="_Toc10731736"/>
      <w:bookmarkStart w:id="596" w:name="_Toc10891569"/>
      <w:bookmarkStart w:id="597" w:name="_Toc10892244"/>
      <w:bookmarkStart w:id="598" w:name="_Toc11390103"/>
      <w:bookmarkStart w:id="599" w:name="_Toc11839788"/>
      <w:bookmarkStart w:id="600" w:name="_Toc11937324"/>
      <w:r>
        <w:t>Антибактериальные производные пиромеллитовой кислоты</w:t>
      </w:r>
      <w:bookmarkEnd w:id="593"/>
      <w:bookmarkEnd w:id="594"/>
      <w:bookmarkEnd w:id="595"/>
      <w:bookmarkEnd w:id="596"/>
      <w:bookmarkEnd w:id="597"/>
      <w:bookmarkEnd w:id="598"/>
      <w:bookmarkEnd w:id="599"/>
      <w:bookmarkEnd w:id="600"/>
    </w:p>
    <w:p w:rsidR="00F4654E" w:rsidRDefault="00F4654E">
      <w:pPr>
        <w:pStyle w:val="2"/>
      </w:pPr>
      <w:bookmarkStart w:id="601" w:name="_Toc10115289"/>
      <w:bookmarkStart w:id="602" w:name="_Toc10731076"/>
      <w:bookmarkStart w:id="603" w:name="_Toc10731737"/>
      <w:bookmarkStart w:id="604" w:name="_Toc10891570"/>
      <w:bookmarkStart w:id="605" w:name="_Toc10892245"/>
      <w:bookmarkStart w:id="606" w:name="_Toc11390104"/>
      <w:bookmarkStart w:id="607" w:name="_Toc11937325"/>
      <w:r>
        <w:t>Арзыбаев М., Иманалиев М.И., Королева Р.П.,* Арапбаева Г.М.*</w:t>
      </w:r>
      <w:bookmarkEnd w:id="601"/>
      <w:bookmarkEnd w:id="602"/>
      <w:bookmarkEnd w:id="603"/>
      <w:bookmarkEnd w:id="604"/>
      <w:bookmarkEnd w:id="605"/>
      <w:bookmarkEnd w:id="606"/>
      <w:bookmarkEnd w:id="607"/>
    </w:p>
    <w:p w:rsidR="00F4654E" w:rsidRDefault="00F4654E">
      <w:pPr>
        <w:pStyle w:val="a5"/>
      </w:pPr>
      <w:r>
        <w:t xml:space="preserve">Кыргызкий государственный научно-исследовательский контрольный </w:t>
      </w:r>
      <w:r>
        <w:br/>
        <w:t>институт ветеринарии</w:t>
      </w:r>
    </w:p>
    <w:p w:rsidR="00F4654E" w:rsidRDefault="00F4654E">
      <w:pPr>
        <w:pStyle w:val="a5"/>
      </w:pPr>
      <w:r>
        <w:t>*Институт химии и химических технологий НАН Кыргызкой республики</w:t>
      </w:r>
    </w:p>
    <w:p w:rsidR="00F4654E" w:rsidRDefault="00F4654E">
      <w:pPr>
        <w:pStyle w:val="a6"/>
      </w:pPr>
      <w:r>
        <w:t>Пиромеллитовая (бензолтетракарбоновая) кислота из всех 12 бензол-карбоновых кислот имеет самое большое значение. Особая структура сп</w:t>
      </w:r>
      <w:r>
        <w:t>о</w:t>
      </w:r>
      <w:r>
        <w:lastRenderedPageBreak/>
        <w:t>собствует применению ее в промышленности органического синтеза для производства высокомолекулярных соединений, отличающихся компле</w:t>
      </w:r>
      <w:r>
        <w:t>к</w:t>
      </w:r>
      <w:r>
        <w:t>сом ценных физико – химических и технических свойств. Поэтому весьма актуальной является разработка приемлемых методов ее получения и все возрастающее внимание уделяется возможности использования с этой ц</w:t>
      </w:r>
      <w:r>
        <w:t>е</w:t>
      </w:r>
      <w:r>
        <w:t xml:space="preserve">лью ископаемых углей. </w:t>
      </w:r>
    </w:p>
    <w:p w:rsidR="00F4654E" w:rsidRDefault="00F4654E">
      <w:pPr>
        <w:pStyle w:val="a6"/>
      </w:pPr>
      <w:r>
        <w:t>В связи с этой проблемой нами были разработаны способы термок</w:t>
      </w:r>
      <w:r>
        <w:t>а</w:t>
      </w:r>
      <w:r>
        <w:t>талитический модификации структуры низкосортных углей, их окисления до пиромеллитовой кислоты и выделения ее из оксидата с выходом 45,3% и степенью чистоты 99,8%. Одновременно для расширения областей пр</w:t>
      </w:r>
      <w:r>
        <w:t>и</w:t>
      </w:r>
      <w:r>
        <w:t>менения этой кислоты был осуществлен синтез новых производных (ам</w:t>
      </w:r>
      <w:r>
        <w:t>и</w:t>
      </w:r>
      <w:r>
        <w:t>ды, анилиды, гидразиды, гидразоны, соли и др.), среди которых дигексам</w:t>
      </w:r>
      <w:r>
        <w:t>е</w:t>
      </w:r>
      <w:r>
        <w:t>тилентетраминпиромеллитат (ДГП) оказался перспективным физиологич</w:t>
      </w:r>
      <w:r>
        <w:t>е</w:t>
      </w:r>
      <w:r>
        <w:t>ски активным препаратом.</w:t>
      </w:r>
    </w:p>
    <w:p w:rsidR="00F4654E" w:rsidRDefault="00F4654E">
      <w:pPr>
        <w:pStyle w:val="a6"/>
      </w:pPr>
      <w:r>
        <w:t>Антибактериальную активность ДГП исследовали методом in vitro в чашках Петри с посевами возбудителей сальмонеллезной инфекции (Salmonella typhi murium, Salmonella dublin) и колипатогенных серотипов эшерихии – 0111, 026 и 055. Серийные разведения различных концентр</w:t>
      </w:r>
      <w:r>
        <w:t>а</w:t>
      </w:r>
      <w:r>
        <w:t>ций препарата (1:10, 1:20, 1:80, 1:160, 1:320, 1:640 и 1:1280) готовились на стерильном физиологическом растворе. В чашке с посевами выбранных микробов вносили по 0,1 мл раствора из каждого разведения. Результаты учитывали по диаметру зон (мм.) отсутствия роста микроорганизмов на месте нанесения препарата после суточного выдерживания в термостате при температуре 37</w:t>
      </w:r>
      <w:r>
        <w:rPr>
          <w:vertAlign w:val="superscript"/>
        </w:rPr>
        <w:t>0</w:t>
      </w:r>
      <w:r>
        <w:t xml:space="preserve"> С. В качестве контроля использовали гексаметиле</w:t>
      </w:r>
      <w:r>
        <w:t>н</w:t>
      </w:r>
      <w:r>
        <w:t>тетрамин и пиромеллитовую кислоту аналогичным методом.</w:t>
      </w:r>
    </w:p>
    <w:p w:rsidR="00F4654E" w:rsidRDefault="00F4654E">
      <w:pPr>
        <w:pStyle w:val="a6"/>
      </w:pPr>
      <w:r>
        <w:t>Результаты опытов показали, что ДГП оказывает бактерицидное де</w:t>
      </w:r>
      <w:r>
        <w:t>й</w:t>
      </w:r>
      <w:r>
        <w:t>ствие на возбудителей сальмонеллеза ягнят (Sal</w:t>
      </w:r>
      <w:r>
        <w:rPr>
          <w:lang w:val="en-US"/>
        </w:rPr>
        <w:t>m</w:t>
      </w:r>
      <w:r>
        <w:t>. typhi mur.) и (Salm. dublin) в разведениях 1:10 – 1:80 и 1:10 – 1:160 соответственно. Колипат</w:t>
      </w:r>
      <w:r>
        <w:t>о</w:t>
      </w:r>
      <w:r>
        <w:t>генные серотипы эшерихии 0111 и 036 погибают при введении препарата в разведениях 1:10 – 1:40, а серотип 055 – в разведениях 1:10 – 1:160. исхо</w:t>
      </w:r>
      <w:r>
        <w:t>д</w:t>
      </w:r>
      <w:r>
        <w:t>ная пиромеллитовая кислота – один из компонентов синтеза препарата, г</w:t>
      </w:r>
      <w:r>
        <w:t>у</w:t>
      </w:r>
      <w:r>
        <w:t>бительна для возбудителей сальмонеллезной инфекции и колипатогенных серотипов эшерихии в разведениях 1:10 – 1:40, антибактериальные дейс</w:t>
      </w:r>
      <w:r>
        <w:t>т</w:t>
      </w:r>
      <w:r>
        <w:t>вия гексамети-лентетрамина оказалось менее выраженным. Гибель сал</w:t>
      </w:r>
      <w:r>
        <w:t>ь</w:t>
      </w:r>
      <w:r>
        <w:t>монелл он вызывает в разведениях 1:10 – 1:20, а эшерихии – только в ра</w:t>
      </w:r>
      <w:r>
        <w:t>з</w:t>
      </w:r>
      <w:r>
        <w:t>ведении 1:10.</w:t>
      </w:r>
    </w:p>
    <w:p w:rsidR="00F4654E" w:rsidRDefault="00F4654E">
      <w:pPr>
        <w:pStyle w:val="a6"/>
      </w:pPr>
      <w:r>
        <w:t>Опыты по определению острой токсичности пиромеллитовой кислоты и синтезированного на ее основе препарата проводили на клинически зд</w:t>
      </w:r>
      <w:r>
        <w:t>о</w:t>
      </w:r>
      <w:r>
        <w:t>ровых белых мышах обоего пола с массой тела 18-25 г их вводили пер</w:t>
      </w:r>
      <w:r>
        <w:t>о</w:t>
      </w:r>
      <w:r>
        <w:t>рально в виде 5 и 10% водных суспензий и раствора. Наблюдения за хара</w:t>
      </w:r>
      <w:r>
        <w:t>к</w:t>
      </w:r>
      <w:r>
        <w:t>тером и степенью препаративного токсикоза и временем гибели животных проводили в течение 10 суток. Трупы павших животных подвергали пат</w:t>
      </w:r>
      <w:r>
        <w:t>о</w:t>
      </w:r>
      <w:r>
        <w:lastRenderedPageBreak/>
        <w:t>логоанатомическому вскрытию для установления характера поражения внутренних органов.</w:t>
      </w:r>
    </w:p>
    <w:p w:rsidR="00F4654E" w:rsidRDefault="00F4654E">
      <w:pPr>
        <w:pStyle w:val="a6"/>
      </w:pPr>
      <w:r>
        <w:t>Результаты статистической обработки опытов показали, что 10 % водная суспензия пиромеллитовой кислоты при пероральном введении о</w:t>
      </w:r>
      <w:r>
        <w:t>б</w:t>
      </w:r>
      <w:r>
        <w:t>ладает низкой токсичностью для белых мышей. Признаки отравления и последующая гибель животных отличалась только от введения летальных доз. ЛД</w:t>
      </w:r>
      <w:r>
        <w:rPr>
          <w:vertAlign w:val="subscript"/>
        </w:rPr>
        <w:t>50</w:t>
      </w:r>
      <w:r>
        <w:t xml:space="preserve"> – 1630 (1429,8 </w:t>
      </w:r>
      <w:r>
        <w:sym w:font="Symbol" w:char="F0B8"/>
      </w:r>
      <w:r>
        <w:t xml:space="preserve"> 1858,2) мг/кг, ЛД</w:t>
      </w:r>
      <w:r>
        <w:rPr>
          <w:vertAlign w:val="subscript"/>
        </w:rPr>
        <w:t>84</w:t>
      </w:r>
      <w:r>
        <w:t xml:space="preserve"> – 1900 и ЛД</w:t>
      </w:r>
      <w:r>
        <w:rPr>
          <w:vertAlign w:val="subscript"/>
        </w:rPr>
        <w:t>100</w:t>
      </w:r>
      <w:r>
        <w:t xml:space="preserve"> – 2100 мг/кг.</w:t>
      </w:r>
    </w:p>
    <w:p w:rsidR="00F4654E" w:rsidRDefault="00F4654E">
      <w:pPr>
        <w:pStyle w:val="a6"/>
      </w:pPr>
      <w:r>
        <w:t>В клиники препаративного токсикоза мышей, получивших отравление дозы 10%-ного водного раствора ДГП, отличает раздражающее действие на слизистую оболочку ротовой полости и желудочно-кишечного тракта. Вскоре появляется сильное угнетение, приводящее к гибели животных, как правило, через 8-10 часов после введения препарата. Параметры острой токсичности соединения следующие: ЛД</w:t>
      </w:r>
      <w:r>
        <w:rPr>
          <w:vertAlign w:val="subscript"/>
        </w:rPr>
        <w:t>0</w:t>
      </w:r>
      <w:r>
        <w:t xml:space="preserve"> – 1000 мг/кг, ЛД</w:t>
      </w:r>
      <w:r>
        <w:rPr>
          <w:vertAlign w:val="subscript"/>
        </w:rPr>
        <w:t>50</w:t>
      </w:r>
      <w:r>
        <w:t xml:space="preserve"> – 1425 (1429,8 </w:t>
      </w:r>
      <w:r>
        <w:sym w:font="Symbol" w:char="F0B8"/>
      </w:r>
      <w:r>
        <w:t xml:space="preserve"> 1858,2); ЛД</w:t>
      </w:r>
      <w:r>
        <w:rPr>
          <w:vertAlign w:val="subscript"/>
        </w:rPr>
        <w:t>100</w:t>
      </w:r>
      <w:r>
        <w:t xml:space="preserve"> – 2000 мг/кг массы тела животных.</w:t>
      </w:r>
    </w:p>
    <w:p w:rsidR="00F4654E" w:rsidRDefault="00F4654E">
      <w:pPr>
        <w:pStyle w:val="a6"/>
        <w:rPr>
          <w:spacing w:val="-2"/>
        </w:rPr>
      </w:pPr>
      <w:r>
        <w:rPr>
          <w:spacing w:val="-2"/>
        </w:rPr>
        <w:t>На основании полученных экспериментами данных опытов установл</w:t>
      </w:r>
      <w:r>
        <w:rPr>
          <w:spacing w:val="-2"/>
        </w:rPr>
        <w:t>е</w:t>
      </w:r>
      <w:r>
        <w:rPr>
          <w:spacing w:val="-2"/>
        </w:rPr>
        <w:t>но, что новое соединение дигексаметилентетраминпиро-меллитат оказывает выраженные действия на возбудителей сальмонеллеза животных и колип</w:t>
      </w:r>
      <w:r>
        <w:rPr>
          <w:spacing w:val="-2"/>
        </w:rPr>
        <w:t>а</w:t>
      </w:r>
      <w:r>
        <w:rPr>
          <w:spacing w:val="-2"/>
        </w:rPr>
        <w:t>тогенных серотипов эшерихии и относится к классу малотоксичных синт</w:t>
      </w:r>
      <w:r>
        <w:rPr>
          <w:spacing w:val="-2"/>
        </w:rPr>
        <w:t>е</w:t>
      </w:r>
      <w:r>
        <w:rPr>
          <w:spacing w:val="-2"/>
        </w:rPr>
        <w:t>тических соединений делает его перспективным для разработки на его о</w:t>
      </w:r>
      <w:r>
        <w:rPr>
          <w:spacing w:val="-2"/>
        </w:rPr>
        <w:t>с</w:t>
      </w:r>
      <w:r>
        <w:rPr>
          <w:spacing w:val="-2"/>
        </w:rPr>
        <w:t>нове химиотерапевтических препаратов, используемых в ветерин</w:t>
      </w:r>
      <w:r>
        <w:rPr>
          <w:spacing w:val="-2"/>
        </w:rPr>
        <w:t>а</w:t>
      </w:r>
      <w:r>
        <w:rPr>
          <w:spacing w:val="-2"/>
        </w:rPr>
        <w:t>рии.</w:t>
      </w:r>
    </w:p>
    <w:p w:rsidR="00F4654E" w:rsidRDefault="00F4654E">
      <w:pPr>
        <w:pStyle w:val="a4"/>
        <w:spacing w:before="120"/>
      </w:pPr>
      <w:r>
        <w:t>УДК 619:615.35.44.099.092.546.56</w:t>
      </w:r>
    </w:p>
    <w:p w:rsidR="00F4654E" w:rsidRDefault="00F4654E">
      <w:pPr>
        <w:pStyle w:val="1"/>
      </w:pPr>
      <w:bookmarkStart w:id="608" w:name="_Toc10115290"/>
      <w:bookmarkStart w:id="609" w:name="_Toc10731077"/>
      <w:bookmarkStart w:id="610" w:name="_Toc10731738"/>
      <w:bookmarkStart w:id="611" w:name="_Toc10891571"/>
      <w:bookmarkStart w:id="612" w:name="_Toc10892246"/>
      <w:bookmarkStart w:id="613" w:name="_Toc11390105"/>
      <w:bookmarkStart w:id="614" w:name="_Toc11839790"/>
      <w:bookmarkStart w:id="615" w:name="_Toc11937326"/>
      <w:r>
        <w:t>Биологическая активность моноаквадипиридоксин хлорида меди</w:t>
      </w:r>
      <w:bookmarkEnd w:id="608"/>
      <w:bookmarkEnd w:id="609"/>
      <w:bookmarkEnd w:id="610"/>
      <w:bookmarkEnd w:id="611"/>
      <w:bookmarkEnd w:id="612"/>
      <w:bookmarkEnd w:id="613"/>
      <w:bookmarkEnd w:id="614"/>
      <w:bookmarkEnd w:id="615"/>
    </w:p>
    <w:p w:rsidR="00F4654E" w:rsidRDefault="00F4654E">
      <w:pPr>
        <w:pStyle w:val="2"/>
      </w:pPr>
      <w:bookmarkStart w:id="616" w:name="_Toc10115291"/>
      <w:bookmarkStart w:id="617" w:name="_Toc10731078"/>
      <w:bookmarkStart w:id="618" w:name="_Toc10731739"/>
      <w:bookmarkStart w:id="619" w:name="_Toc10891572"/>
      <w:bookmarkStart w:id="620" w:name="_Toc10892247"/>
      <w:bookmarkStart w:id="621" w:name="_Toc11390106"/>
      <w:bookmarkStart w:id="622" w:name="_Toc11937327"/>
      <w:r>
        <w:t>Арзыбаев М.*, Карабатырова Г.А., Сулаймонкулов К.С., Шыйтиева Н.</w:t>
      </w:r>
      <w:bookmarkEnd w:id="616"/>
      <w:bookmarkEnd w:id="617"/>
      <w:bookmarkEnd w:id="618"/>
      <w:bookmarkEnd w:id="619"/>
      <w:bookmarkEnd w:id="620"/>
      <w:bookmarkEnd w:id="621"/>
      <w:bookmarkEnd w:id="622"/>
    </w:p>
    <w:p w:rsidR="00F4654E" w:rsidRDefault="00F4654E">
      <w:pPr>
        <w:pStyle w:val="a5"/>
      </w:pPr>
      <w:r>
        <w:t xml:space="preserve">*Кыргызский государственный научно-исследовательский контрольный </w:t>
      </w:r>
      <w:r>
        <w:br/>
        <w:t>институт ветеринарии</w:t>
      </w:r>
      <w:r>
        <w:br/>
        <w:t>Институт химии и химических технологий НАН Кыргызской республики</w:t>
      </w:r>
    </w:p>
    <w:p w:rsidR="00F4654E" w:rsidRDefault="00F4654E">
      <w:pPr>
        <w:pStyle w:val="a6"/>
      </w:pPr>
      <w:r>
        <w:t>Заболевания животных, связанные с недостатком витаминов и микр</w:t>
      </w:r>
      <w:r>
        <w:t>о</w:t>
      </w:r>
      <w:r>
        <w:t>элементов, не редки, особенно у молодняка (Алиев А.А..1966). Поэтому синтез новых комплексных соединений пиридоксина (Вита</w:t>
      </w:r>
      <w:r>
        <w:softHyphen/>
        <w:t>мин В</w:t>
      </w:r>
      <w:r>
        <w:rPr>
          <w:vertAlign w:val="subscript"/>
        </w:rPr>
        <w:t>6</w:t>
      </w:r>
      <w:r>
        <w:t>) с сол</w:t>
      </w:r>
      <w:r>
        <w:t>я</w:t>
      </w:r>
      <w:r>
        <w:t>ми меди открывает новое перспективное направление по профилактике и лечению авитаминозов и недостатка микроэлементов одновременно пр</w:t>
      </w:r>
      <w:r>
        <w:t>е</w:t>
      </w:r>
      <w:r>
        <w:t>паратом, в структуре которого имеется этот витамин и микроэлемент медь.</w:t>
      </w:r>
    </w:p>
    <w:p w:rsidR="00F4654E" w:rsidRDefault="00F4654E">
      <w:pPr>
        <w:pStyle w:val="a6"/>
      </w:pPr>
      <w:r>
        <w:t>Пиридоксин в организме животных находится в форме  пиридоксаля и пиридоксанина и играет важную роль в обмене аминокислот как кофе</w:t>
      </w:r>
      <w:r>
        <w:t>р</w:t>
      </w:r>
      <w:r>
        <w:t>мент серии ферментов, катализирующих трансаминирование, дезаминир</w:t>
      </w:r>
      <w:r>
        <w:t>о</w:t>
      </w:r>
      <w:r>
        <w:t>вание, декарбоксилирование, десульфагидрирование, рас</w:t>
      </w:r>
      <w:r>
        <w:softHyphen/>
        <w:t>щепление и си</w:t>
      </w:r>
      <w:r>
        <w:t>н</w:t>
      </w:r>
      <w:r>
        <w:t>тез аминокислот (Ленинждер А.Л.,1965), поэтому его недостаток заметно отражается на росте и развитии молодых орга</w:t>
      </w:r>
      <w:r>
        <w:softHyphen/>
        <w:t>низмов, проявляясь в виде повышенной их возбудимости, судорог, па</w:t>
      </w:r>
      <w:r>
        <w:softHyphen/>
        <w:t xml:space="preserve">резов, распада миелина в тканях периферических нервов и микроцитарной гипохромной анемии (Braunlich </w:t>
      </w:r>
      <w:r>
        <w:lastRenderedPageBreak/>
        <w:t>K.,1951). Патологические процессы усугубляются нехваткой меди, что приводит к анемии, ос</w:t>
      </w:r>
      <w:r>
        <w:softHyphen/>
        <w:t>тановке роста и развития, нарушению кератиниз</w:t>
      </w:r>
      <w:r>
        <w:t>а</w:t>
      </w:r>
      <w:r>
        <w:t>ции и пигментации шерсти, дегенеративным изменениям в нервных тканях и нарушению оссификации (Kormer W.P., Volm J., 1978).</w:t>
      </w:r>
    </w:p>
    <w:p w:rsidR="00F4654E" w:rsidRDefault="00F4654E">
      <w:pPr>
        <w:pStyle w:val="a6"/>
      </w:pPr>
      <w:r>
        <w:t>В данной работе приведены результаты опытов по изучению ос</w:t>
      </w:r>
      <w:r>
        <w:softHyphen/>
        <w:t>трой токсичности нового комплексного соединения пиридоксина – моноаквад</w:t>
      </w:r>
      <w:r>
        <w:t>и</w:t>
      </w:r>
      <w:r>
        <w:t>пиридоксин хлорида меди и влияния его на организм молодняка белых мышей.</w:t>
      </w:r>
    </w:p>
    <w:p w:rsidR="00F4654E" w:rsidRDefault="00F4654E">
      <w:pPr>
        <w:pStyle w:val="a6"/>
      </w:pPr>
      <w:r>
        <w:t>Острую токсичность изучали на 36 клинически здоровых беспоро</w:t>
      </w:r>
      <w:r>
        <w:t>д</w:t>
      </w:r>
      <w:r>
        <w:t>ных белых мышах обоего пола с массой тела 16-24 г. Вещество вво</w:t>
      </w:r>
      <w:r>
        <w:softHyphen/>
        <w:t>дили им перорально в виде 10%-ного водного раствора в различных дозах. Каждая доза испытывалась на группе мышей из шести голов и ещё одна группа из 6 мышей служила контролем и препарат не полу</w:t>
      </w:r>
      <w:r>
        <w:softHyphen/>
        <w:t>чала. Наблюдения за ж</w:t>
      </w:r>
      <w:r>
        <w:t>и</w:t>
      </w:r>
      <w:r>
        <w:t>вотными велись в течение 9 дней, учитывали общее состояние, поведение, аппетит и гибель животных. Статистическую обработку цифрового мат</w:t>
      </w:r>
      <w:r>
        <w:t>е</w:t>
      </w:r>
      <w:r>
        <w:t>риала опыта проводили по методу пробит – анализа Litchfield, Wilcoxon (1949) в модификации Roth (1969) с использованием обычной миллиме</w:t>
      </w:r>
      <w:r>
        <w:t>т</w:t>
      </w:r>
      <w:r>
        <w:t>ровой бумаги (Кудрин А.Н., Пономарева Г.Т.,1967).</w:t>
      </w:r>
    </w:p>
    <w:p w:rsidR="00F4654E" w:rsidRDefault="00F4654E">
      <w:pPr>
        <w:pStyle w:val="a6"/>
      </w:pPr>
      <w:r>
        <w:t>Наблюдение за подопытными показало, что признаки отравлений ж</w:t>
      </w:r>
      <w:r>
        <w:t>и</w:t>
      </w:r>
      <w:r>
        <w:t>вотных отмечаются от всех доз, но степень их выраженности была прямо пропорциональна величине вводимых доз. В первые 3-5 минут у мышей отмечается сначала беспокойство, затем наступало быстро прогрессиру</w:t>
      </w:r>
      <w:r>
        <w:t>ю</w:t>
      </w:r>
      <w:r>
        <w:t>щее угнетение, которое привело к гибели мышей на вто</w:t>
      </w:r>
      <w:r>
        <w:softHyphen/>
        <w:t>рой и третий дни.</w:t>
      </w:r>
    </w:p>
    <w:p w:rsidR="00F4654E" w:rsidRDefault="00F4654E">
      <w:pPr>
        <w:pStyle w:val="a6"/>
      </w:pPr>
      <w:r>
        <w:t>Результаты статистической обработки цифровых данных опыта по изучению острой токсичности моноаквадипиридоксин  хлорида меди пок</w:t>
      </w:r>
      <w:r>
        <w:t>а</w:t>
      </w:r>
      <w:r>
        <w:t>зывают, что его максимально переносимая доза (ЛД</w:t>
      </w:r>
      <w:r>
        <w:rPr>
          <w:vertAlign w:val="subscript"/>
        </w:rPr>
        <w:t>0</w:t>
      </w:r>
      <w:r>
        <w:t>) для белых мышей при пероральном введении составила 1000 мг/кг. Средне смертельная доза (ЛД</w:t>
      </w:r>
      <w:r>
        <w:rPr>
          <w:vertAlign w:val="subscript"/>
        </w:rPr>
        <w:t>50</w:t>
      </w:r>
      <w:r>
        <w:t>) равнялась 1480 (1333</w:t>
      </w:r>
      <w:r>
        <w:sym w:font="Symbol" w:char="F0B8"/>
      </w:r>
      <w:r>
        <w:t>1643) мг/кг. Абсолютно смертельная доза (ЛД</w:t>
      </w:r>
      <w:r>
        <w:rPr>
          <w:vertAlign w:val="subscript"/>
        </w:rPr>
        <w:t>100</w:t>
      </w:r>
      <w:r>
        <w:t>), вызвавшая 100% летальность мышей, была равна 2000 мг/кг массы тела животных. Следовательно, по клас</w:t>
      </w:r>
      <w:r>
        <w:softHyphen/>
        <w:t>сификации токсичности химич</w:t>
      </w:r>
      <w:r>
        <w:t>е</w:t>
      </w:r>
      <w:r>
        <w:t>ских веществ (Медведь Л.И., Каган Ю.С.</w:t>
      </w:r>
      <w:r w:rsidR="00607793">
        <w:t>,</w:t>
      </w:r>
      <w:r>
        <w:t xml:space="preserve"> Спыну Е.И.,1988), изученное с</w:t>
      </w:r>
      <w:r>
        <w:t>о</w:t>
      </w:r>
      <w:r>
        <w:t>единение относится к классу мало</w:t>
      </w:r>
      <w:r>
        <w:softHyphen/>
        <w:t>токсичных синтетических соединений.</w:t>
      </w:r>
    </w:p>
    <w:p w:rsidR="00F4654E" w:rsidRDefault="00F4654E">
      <w:pPr>
        <w:pStyle w:val="a6"/>
      </w:pPr>
      <w:r>
        <w:t>В опыте по изучению влияния моноаквадипиридоксин хлорида меди на организм мышей использовано 40 голов молодняка белых мы</w:t>
      </w:r>
      <w:r>
        <w:softHyphen/>
        <w:t>шей обо</w:t>
      </w:r>
      <w:r>
        <w:t>е</w:t>
      </w:r>
      <w:r>
        <w:t>го пола с массой тела 6 – 8 г. Их разделили на две равные группы по при</w:t>
      </w:r>
      <w:r>
        <w:t>н</w:t>
      </w:r>
      <w:r>
        <w:t>ципу аналогов. Первую группу мышей кормили измель</w:t>
      </w:r>
      <w:r>
        <w:softHyphen/>
        <w:t>ченной зерносм</w:t>
      </w:r>
      <w:r>
        <w:t>е</w:t>
      </w:r>
      <w:r>
        <w:t>сью с добавкой моноаквадипиридоксин хлорида меди, из расчета 10 мг вещества на килограмм сухого корма. Вторая груп</w:t>
      </w:r>
      <w:r>
        <w:softHyphen/>
        <w:t>па служила контролем и получала только зерносмесь без вещества. Наблюдение за животными в</w:t>
      </w:r>
      <w:r>
        <w:t>е</w:t>
      </w:r>
      <w:r>
        <w:t>лось в течение 30 дней. По окончании опыта провели взвешивание мышей и забор крови для гематологичес</w:t>
      </w:r>
      <w:r>
        <w:softHyphen/>
        <w:t xml:space="preserve">ких исследований. </w:t>
      </w:r>
    </w:p>
    <w:p w:rsidR="00F4654E" w:rsidRDefault="00F4654E">
      <w:pPr>
        <w:pStyle w:val="a6"/>
      </w:pPr>
      <w:r>
        <w:t>Полученные цифровые данные подвергли статистической обработ</w:t>
      </w:r>
      <w:r>
        <w:softHyphen/>
        <w:t xml:space="preserve">ке по методу Фишера – Стьюдента с использованием критерия (Т) Ермолова </w:t>
      </w:r>
      <w:r>
        <w:lastRenderedPageBreak/>
        <w:t>(Шевченко И.Т., Богатев О.П., Хрипти Ф.П.,1970), из чего ста</w:t>
      </w:r>
      <w:r>
        <w:softHyphen/>
        <w:t>ло ясно, что скармливание моноаквадипиридоксин хлорида меди мы</w:t>
      </w:r>
      <w:r>
        <w:softHyphen/>
        <w:t>шатам в течение 30 дней привело к увеличению их привеса на 6,9 ± 0,4% по сравнению с ко</w:t>
      </w:r>
      <w:r>
        <w:t>н</w:t>
      </w:r>
      <w:r>
        <w:t>тролем, хотя эти изменения не были статистически достоверны (Р&lt;0,05).</w:t>
      </w:r>
    </w:p>
    <w:p w:rsidR="00F4654E" w:rsidRDefault="00F4654E">
      <w:pPr>
        <w:pStyle w:val="a6"/>
      </w:pPr>
      <w:r>
        <w:t>Это вещество также оказало положительное влияние на основные п</w:t>
      </w:r>
      <w:r>
        <w:t>о</w:t>
      </w:r>
      <w:r>
        <w:t xml:space="preserve">казатели крови: имели тенденцию к увеличению количества эритроцитов (3,0 </w:t>
      </w:r>
      <w:r>
        <w:rPr>
          <w:b/>
        </w:rPr>
        <w:t>±</w:t>
      </w:r>
      <w:r>
        <w:t xml:space="preserve"> 0,21%) и лейкоцитов (0,90±10,02%), а также повысилось содержание гемоглобина (1,05 ± 0,07%) и общего белка в сыворотке (3,81 ±0,17%). Моноаквадипиридоксин хлорида меди является оригинальным соединен</w:t>
      </w:r>
      <w:r>
        <w:t>и</w:t>
      </w:r>
      <w:r>
        <w:t>ем, имеющим в своей структуре пиридоксин (витамин В</w:t>
      </w:r>
      <w:r>
        <w:rPr>
          <w:vertAlign w:val="subscript"/>
        </w:rPr>
        <w:t>6</w:t>
      </w:r>
      <w:r>
        <w:t>) и микроэлемент медь. Он относится к категории малотоксичных синтетических соедин</w:t>
      </w:r>
      <w:r>
        <w:t>е</w:t>
      </w:r>
      <w:r>
        <w:t>ний. Микродозы вещества стимулируют рост и развитие молодняка ж</w:t>
      </w:r>
      <w:r>
        <w:t>и</w:t>
      </w:r>
      <w:r>
        <w:t>вотных.</w:t>
      </w:r>
    </w:p>
    <w:p w:rsidR="00F4654E" w:rsidRDefault="00F4654E">
      <w:pPr>
        <w:pStyle w:val="a4"/>
      </w:pPr>
      <w:r>
        <w:t>УДК 619:612.123:636.2</w:t>
      </w:r>
    </w:p>
    <w:p w:rsidR="00F4654E" w:rsidRDefault="00F4654E">
      <w:pPr>
        <w:pStyle w:val="1"/>
      </w:pPr>
      <w:bookmarkStart w:id="623" w:name="_Toc11390107"/>
      <w:bookmarkStart w:id="624" w:name="_Toc11839792"/>
      <w:bookmarkStart w:id="625" w:name="_Toc11937328"/>
      <w:r>
        <w:t>влияния лигфола на систему пол-аоз у быков в ранней стадии применения</w:t>
      </w:r>
      <w:bookmarkEnd w:id="623"/>
      <w:bookmarkEnd w:id="624"/>
      <w:bookmarkEnd w:id="625"/>
    </w:p>
    <w:p w:rsidR="00F4654E" w:rsidRDefault="00F4654E">
      <w:pPr>
        <w:pStyle w:val="2"/>
      </w:pPr>
      <w:bookmarkStart w:id="626" w:name="_Toc11390108"/>
      <w:bookmarkStart w:id="627" w:name="_Toc11937329"/>
      <w:r>
        <w:t>Артемьев Е.И., Бузлама В.С.</w:t>
      </w:r>
      <w:bookmarkEnd w:id="626"/>
      <w:bookmarkEnd w:id="627"/>
    </w:p>
    <w:p w:rsidR="00F4654E" w:rsidRDefault="00F4654E">
      <w:pPr>
        <w:pStyle w:val="a5"/>
      </w:pPr>
      <w:r>
        <w:t>Всероссийский НИВИ патологии, фармакологии и терапии</w:t>
      </w:r>
    </w:p>
    <w:p w:rsidR="00F4654E" w:rsidRDefault="00F4654E">
      <w:pPr>
        <w:pStyle w:val="a6"/>
      </w:pPr>
      <w:r>
        <w:t>Влияние лигфола на процессы перекисного окисления липидов и си</w:t>
      </w:r>
      <w:r>
        <w:t>с</w:t>
      </w:r>
      <w:r>
        <w:t>тему антиоксидантной защиты организма быков изучали в промышленном комплексе. Для этого было сформировано две группы бычков в возрасте 3,5-4 месяца - опытная (n=30) и контрольная (n=30) с учетом массы тела и общего физиологического состояния. В начале опыта животные опытной и контрольной групп были взвешены. После этого быкам опытной группы в мышцу инъецировали лигфол в дозе 0,026 мл/кг массы тела, а контрольной группы 0,9% раствор хлорида натрия в объёме 3 мл. Оценку уровня перо</w:t>
      </w:r>
      <w:r>
        <w:t>к</w:t>
      </w:r>
      <w:r>
        <w:t>сидации липидов и системы АОЗ учитывали по изменениям показателей малонового диальдегида, диеновых коньюгатов, кетодиенов, основания Шиффа и ферментативной системы АОЗ.</w:t>
      </w:r>
    </w:p>
    <w:p w:rsidR="00F4654E" w:rsidRDefault="00F4654E">
      <w:pPr>
        <w:pStyle w:val="a6"/>
      </w:pPr>
      <w:r>
        <w:t>Проведенными исследованиями установлено, что уровень малонового диальдегида  через 7 дней после инъекции препарата увеличился на 11,0 % по сравнению с фоновым исследованием крови. Так же регистрировали увеличение концентрации первичных продуктов перекисного окисления – диеновых коньюгатов и коньюгированных диенов. При этом уровень ди</w:t>
      </w:r>
      <w:r>
        <w:t>е</w:t>
      </w:r>
      <w:r>
        <w:t>новых коньюгатов  увеличился на 14,6% по сравнению с исходным уро</w:t>
      </w:r>
      <w:r>
        <w:t>в</w:t>
      </w:r>
      <w:r>
        <w:t>нем, а уровень конъюгированных диенов возрос на  13,9%. Уровень осн</w:t>
      </w:r>
      <w:r>
        <w:t>о</w:t>
      </w:r>
      <w:r>
        <w:t>ваний Шиффа достоверно не изменялся. На фоне увеличения концентр</w:t>
      </w:r>
      <w:r>
        <w:t>а</w:t>
      </w:r>
      <w:r>
        <w:t xml:space="preserve">ции малонового диальдегида и первичных продуктов ПОЛ в крови через 7 дней наблюдается рост активности глутатионпероксидазы  на 6,9%. Также имеется тенденция к увеличению активности глутатионредуктазы после применения препарата относительно фонового исследования. Активность </w:t>
      </w:r>
      <w:r>
        <w:lastRenderedPageBreak/>
        <w:t xml:space="preserve">каталазы на 7 сутки после инъекции достоверно увеличивается на 4,2% по сравнению с фоновым значением. </w:t>
      </w:r>
    </w:p>
    <w:p w:rsidR="00F4654E" w:rsidRDefault="00F4654E">
      <w:pPr>
        <w:pStyle w:val="a6"/>
      </w:pPr>
      <w:r>
        <w:t>Описанные изменения в интенсивности процессов пероксидации л</w:t>
      </w:r>
      <w:r>
        <w:t>и</w:t>
      </w:r>
      <w:r>
        <w:t>пидов и активности ферментов антиоксидантной защиты свидетельствуют о том, что через 7 дней после инъекции лигфола происходит увеличение интенсивности процессов ПОЛ, и как следствие этого - компенсаторное увеличение активности ферментов антиоксидантной защиты.</w:t>
      </w:r>
    </w:p>
    <w:p w:rsidR="00F4654E" w:rsidRDefault="00F4654E">
      <w:pPr>
        <w:pStyle w:val="a6"/>
      </w:pPr>
      <w:r>
        <w:t>Таким образом, на 7 сутки после инъекции, препарат проявляет пр</w:t>
      </w:r>
      <w:r>
        <w:t>о</w:t>
      </w:r>
      <w:r>
        <w:t>оксидантные свойства, увеличивая концентрацию продуктов пероксидации липидов в крови животных.</w:t>
      </w:r>
    </w:p>
    <w:p w:rsidR="00F4654E" w:rsidRDefault="00F4654E">
      <w:pPr>
        <w:pStyle w:val="a4"/>
        <w:rPr>
          <w:b/>
        </w:rPr>
      </w:pPr>
      <w:r>
        <w:t>УДК 619:612.123:636.2</w:t>
      </w:r>
    </w:p>
    <w:p w:rsidR="00F4654E" w:rsidRDefault="00F4654E">
      <w:pPr>
        <w:pStyle w:val="1"/>
      </w:pPr>
      <w:bookmarkStart w:id="628" w:name="_Toc11390109"/>
      <w:bookmarkStart w:id="629" w:name="_Toc11839794"/>
      <w:bookmarkStart w:id="630" w:name="_Toc11937330"/>
      <w:r>
        <w:t>Изменение показателей процессов перекисного окисления липидов и системы антиоксидантной защиты у быков на откорме на позднем этапе применения лигфола</w:t>
      </w:r>
      <w:bookmarkEnd w:id="628"/>
      <w:bookmarkEnd w:id="629"/>
      <w:bookmarkEnd w:id="630"/>
    </w:p>
    <w:p w:rsidR="00F4654E" w:rsidRDefault="00F4654E">
      <w:pPr>
        <w:pStyle w:val="2"/>
      </w:pPr>
      <w:bookmarkStart w:id="631" w:name="_Toc11390110"/>
      <w:bookmarkStart w:id="632" w:name="_Toc11937331"/>
      <w:r>
        <w:t>Артемьев Е.И.</w:t>
      </w:r>
      <w:bookmarkEnd w:id="631"/>
      <w:bookmarkEnd w:id="632"/>
    </w:p>
    <w:p w:rsidR="00F4654E" w:rsidRDefault="00F4654E">
      <w:pPr>
        <w:pStyle w:val="a5"/>
      </w:pPr>
      <w:r>
        <w:t>Всероссийский НИВИ патологии, фармакологии и терапии</w:t>
      </w:r>
    </w:p>
    <w:p w:rsidR="00F4654E" w:rsidRDefault="00F4654E">
      <w:pPr>
        <w:pStyle w:val="a6"/>
      </w:pPr>
      <w:r>
        <w:t>Опыт по изучению влияния лигфола на процессы перекисного оки</w:t>
      </w:r>
      <w:r>
        <w:t>с</w:t>
      </w:r>
      <w:r>
        <w:t>ления липидов и систему антиоксидантной защиты организма на поздних стадиях проводили на откормочных быках. В начале опыта в воловне № 1 были сформированы две группы бычков в возрасте 3,5-4 месяца - опытная (n=30) и контрольная (n=30) с учетом массы тела и общего физиологич</w:t>
      </w:r>
      <w:r>
        <w:t>е</w:t>
      </w:r>
      <w:r>
        <w:t>ского состояния. Животные опытной и контрольной групп были взвешены. После взвешивания животным опытной группы в мышцу инъецировали лигфол в дозе 0,026 мл/кг массы тела, а животным контрольной группы в мышцу инъецировали 0,9% раствор хлорида натрия в объёме 3 мл. Оценку системы ПОЛ-АОЗ проводили с учетом показателей продуктов перекисн</w:t>
      </w:r>
      <w:r>
        <w:t>о</w:t>
      </w:r>
      <w:r>
        <w:t>го окисления и ферментативного звена антиоксидантной системы защиты организма. Результаты изменений учитывали в динамике на 16 и 30 сутки после инъекции препарата.</w:t>
      </w:r>
    </w:p>
    <w:p w:rsidR="00F4654E" w:rsidRDefault="00F4654E">
      <w:pPr>
        <w:pStyle w:val="a6"/>
      </w:pPr>
      <w:r>
        <w:t>В результате исследования было установлено, что на 16 и 30 дни п</w:t>
      </w:r>
      <w:r>
        <w:t>о</w:t>
      </w:r>
      <w:r>
        <w:t>сле инъекции препарата происходит статистически достоверное снижение уровня малонового диальдегида в крови быков  на 5,2 и 15,0 % соответс</w:t>
      </w:r>
      <w:r>
        <w:t>т</w:t>
      </w:r>
      <w:r>
        <w:t>венно, по сравнению с фоновым уровнем содержания МДА в крови. На 16  день происходит снижение уровня диеновых коньюгатов  на  4,9% по сравнению с фоновым уровнем. Уровень КД снижается по сравнению с 7 днем после инъекции на 9,7%, но всё ещё остается выше исходного фон</w:t>
      </w:r>
      <w:r>
        <w:t>о</w:t>
      </w:r>
      <w:r>
        <w:t>вого значения. Уровень оснований Шиффа достоверно не изменяется, хотя наблюдается тенденция к снижению уровня конечных продуктов перокс</w:t>
      </w:r>
      <w:r>
        <w:t>и</w:t>
      </w:r>
      <w:r>
        <w:t>дации липидов к 30 дню после применения препарата.</w:t>
      </w:r>
    </w:p>
    <w:p w:rsidR="00F4654E" w:rsidRDefault="00F4654E">
      <w:pPr>
        <w:pStyle w:val="a6"/>
      </w:pPr>
      <w:r>
        <w:t>На 16 и 30 сутки после инъекции глутатионпероксидаза снижает свою активность на 3,6% и 7,6 % соответственно, относительно фонового иссл</w:t>
      </w:r>
      <w:r>
        <w:t>е</w:t>
      </w:r>
      <w:r>
        <w:lastRenderedPageBreak/>
        <w:t>дования. Происходит снижение функциональной активности глутатионр</w:t>
      </w:r>
      <w:r>
        <w:t>е</w:t>
      </w:r>
      <w:r>
        <w:t>дуктазы, но так как все изменения активности глутатионредуктазы стат</w:t>
      </w:r>
      <w:r>
        <w:t>и</w:t>
      </w:r>
      <w:r>
        <w:t>стически не достоверны, мы можем лишь говорить о тенденции изменения её активности. Активность каталазы на 16 и 30 сутки после инъекции сн</w:t>
      </w:r>
      <w:r>
        <w:t>и</w:t>
      </w:r>
      <w:r>
        <w:t>жается относительно фонового значения на 2,25% и 7,29% соответственно.</w:t>
      </w:r>
    </w:p>
    <w:p w:rsidR="00F4654E" w:rsidRDefault="00F4654E">
      <w:pPr>
        <w:pStyle w:val="a6"/>
      </w:pPr>
      <w:r>
        <w:t>Таким образом, при исследовании крови на 16 и 30 сутки после введ</w:t>
      </w:r>
      <w:r>
        <w:t>е</w:t>
      </w:r>
      <w:r>
        <w:t>ния лигфола, препарат проявляет антиоксидантные свойства, о чем свид</w:t>
      </w:r>
      <w:r>
        <w:t>е</w:t>
      </w:r>
      <w:r>
        <w:t>тельствует снижение уровня пероксидации липидов в крови животных. Это предположение также подтверждается динамикой активности антио</w:t>
      </w:r>
      <w:r>
        <w:t>к</w:t>
      </w:r>
      <w:r>
        <w:t xml:space="preserve">сидантной системы. </w:t>
      </w:r>
    </w:p>
    <w:p w:rsidR="00F4654E" w:rsidRDefault="00F4654E">
      <w:pPr>
        <w:pStyle w:val="a6"/>
      </w:pPr>
      <w:r>
        <w:t>При этом происходит последовательное снижение активности изуча</w:t>
      </w:r>
      <w:r>
        <w:t>е</w:t>
      </w:r>
      <w:r>
        <w:t>мых ферментов, что также говорит о высоких антиоксидантных свойствах препарата. Проявление антиоксидантных свойств лигфолом позволяет о</w:t>
      </w:r>
      <w:r>
        <w:t>р</w:t>
      </w:r>
      <w:r>
        <w:t>ганизму животных на фоне снижения концентрации продуктов пероксид</w:t>
      </w:r>
      <w:r>
        <w:t>а</w:t>
      </w:r>
      <w:r>
        <w:t xml:space="preserve">ции липидов снизить потенциал антиоксидантной системы защиты. </w:t>
      </w:r>
    </w:p>
    <w:p w:rsidR="00F4654E" w:rsidRDefault="00F4654E">
      <w:pPr>
        <w:pStyle w:val="a4"/>
      </w:pPr>
      <w:r>
        <w:t>УДК 636.03:579.842.23</w:t>
      </w:r>
    </w:p>
    <w:p w:rsidR="00F4654E" w:rsidRDefault="00F4654E">
      <w:pPr>
        <w:pStyle w:val="1"/>
      </w:pPr>
      <w:bookmarkStart w:id="633" w:name="_Toc10115292"/>
      <w:bookmarkStart w:id="634" w:name="_Toc10731079"/>
      <w:bookmarkStart w:id="635" w:name="_Toc10731740"/>
      <w:bookmarkStart w:id="636" w:name="_Toc10891573"/>
      <w:bookmarkStart w:id="637" w:name="_Toc10892248"/>
      <w:bookmarkStart w:id="638" w:name="_Toc11390111"/>
      <w:bookmarkStart w:id="639" w:name="_Toc11839796"/>
      <w:bookmarkStart w:id="640" w:name="_Toc11937332"/>
      <w:r>
        <w:t>ЭЛЕКТРОННО-МИКРОСКОПИЧЕСКОЕ ИССЛЕДОВАНИЕ ПОПУЛЯЦИЙ MYCOBACTERIUM AVIUM НА ОБЪЕКТАХ ОКРУЖАЮЩЕЙ СРЕДЫ</w:t>
      </w:r>
      <w:bookmarkEnd w:id="633"/>
      <w:bookmarkEnd w:id="634"/>
      <w:bookmarkEnd w:id="635"/>
      <w:bookmarkEnd w:id="636"/>
      <w:bookmarkEnd w:id="637"/>
      <w:bookmarkEnd w:id="638"/>
      <w:bookmarkEnd w:id="639"/>
      <w:bookmarkEnd w:id="640"/>
    </w:p>
    <w:p w:rsidR="00F4654E" w:rsidRDefault="00F4654E">
      <w:pPr>
        <w:pStyle w:val="2"/>
      </w:pPr>
      <w:bookmarkStart w:id="641" w:name="_Toc10115293"/>
      <w:bookmarkStart w:id="642" w:name="_Toc10731080"/>
      <w:bookmarkStart w:id="643" w:name="_Toc10731741"/>
      <w:bookmarkStart w:id="644" w:name="_Toc10891574"/>
      <w:bookmarkStart w:id="645" w:name="_Toc10892249"/>
      <w:bookmarkStart w:id="646" w:name="_Toc11390112"/>
      <w:bookmarkStart w:id="647" w:name="_Toc11937333"/>
      <w:r>
        <w:t xml:space="preserve">Архипова </w:t>
      </w:r>
      <w:r>
        <w:rPr>
          <w:caps/>
        </w:rPr>
        <w:t>н.д.</w:t>
      </w:r>
      <w:bookmarkEnd w:id="641"/>
      <w:bookmarkEnd w:id="642"/>
      <w:bookmarkEnd w:id="643"/>
      <w:bookmarkEnd w:id="644"/>
      <w:bookmarkEnd w:id="645"/>
      <w:bookmarkEnd w:id="646"/>
      <w:bookmarkEnd w:id="647"/>
    </w:p>
    <w:p w:rsidR="00F4654E" w:rsidRDefault="00F4654E">
      <w:pPr>
        <w:pStyle w:val="a5"/>
      </w:pPr>
      <w:r>
        <w:t xml:space="preserve">Всероссийский НИИ ветеринарной санитарии, гигиены и экологии </w:t>
      </w:r>
    </w:p>
    <w:p w:rsidR="00F4654E" w:rsidRDefault="00F4654E">
      <w:pPr>
        <w:pStyle w:val="a6"/>
      </w:pPr>
      <w:r>
        <w:t>В настоящее время все больше возрастает число неблагоприятных экологических факторов, способствующих развитию патогенных и поте</w:t>
      </w:r>
      <w:r>
        <w:t>н</w:t>
      </w:r>
      <w:r>
        <w:t>циально-патогенных микроорганизмов. В этой связи одним из важных в</w:t>
      </w:r>
      <w:r>
        <w:t>о</w:t>
      </w:r>
      <w:r>
        <w:t>просов является исследование способности патогенных бактерий адгез</w:t>
      </w:r>
      <w:r>
        <w:t>и</w:t>
      </w:r>
      <w:r>
        <w:t xml:space="preserve">роваться и колонизироваться на различных объектах окружающей среды. </w:t>
      </w:r>
    </w:p>
    <w:p w:rsidR="00F4654E" w:rsidRDefault="00F4654E">
      <w:pPr>
        <w:pStyle w:val="a6"/>
      </w:pPr>
      <w:r>
        <w:t>Одним из важнейших факторов в распространении туберкулезной и</w:t>
      </w:r>
      <w:r>
        <w:t>н</w:t>
      </w:r>
      <w:r>
        <w:t>фекции является циркуляция возбудителя в окружающей среде. Фунд</w:t>
      </w:r>
      <w:r>
        <w:t>а</w:t>
      </w:r>
      <w:r>
        <w:t>ментальные исследования в области изучения популяций патогенных ба</w:t>
      </w:r>
      <w:r>
        <w:t>к</w:t>
      </w:r>
      <w:r>
        <w:t>терий с использованием методов сканирующей электронной микроскопии позволяют выявить особенности развития клеток микобактерий в попул</w:t>
      </w:r>
      <w:r>
        <w:t>я</w:t>
      </w:r>
      <w:r>
        <w:t>ции, их размножение, а также процессы адгезии и колонизации на объе</w:t>
      </w:r>
      <w:r>
        <w:t>к</w:t>
      </w:r>
      <w:r>
        <w:t>тах окружающей среды.</w:t>
      </w:r>
    </w:p>
    <w:p w:rsidR="00F4654E" w:rsidRDefault="00F4654E">
      <w:pPr>
        <w:pStyle w:val="a6"/>
      </w:pPr>
      <w:r>
        <w:t>Целью настоящего исследования было изучение с применением мет</w:t>
      </w:r>
      <w:r>
        <w:t>о</w:t>
      </w:r>
      <w:r>
        <w:t>дов сканирующей электронной микроскопии способности к выживанию и размножению микобактерий на объектах окружающей среды - комбико</w:t>
      </w:r>
      <w:r>
        <w:t>р</w:t>
      </w:r>
      <w:r>
        <w:t>ме, зернах сои, скорлупе куриного яйца, коже кур.</w:t>
      </w:r>
    </w:p>
    <w:p w:rsidR="00F4654E" w:rsidRDefault="00F4654E">
      <w:pPr>
        <w:pStyle w:val="a6"/>
      </w:pPr>
      <w:r>
        <w:t>Тест-объекты исследования подвергали тщательной очистке, корма автоклавировали. Затем тест-объекты помещали на стерильные предме</w:t>
      </w:r>
      <w:r>
        <w:t>т</w:t>
      </w:r>
      <w:r>
        <w:t>ные стекла и укладывали на увлажненный стерильный бумажный фильтр в чашки Петри для создания влажной среды. После контаминации тест-объектов культурой M.avium в количестве 10</w:t>
      </w:r>
      <w:r>
        <w:rPr>
          <w:vertAlign w:val="superscript"/>
        </w:rPr>
        <w:t>8</w:t>
      </w:r>
      <w:r>
        <w:t xml:space="preserve"> кл/мл чашки выдерживали </w:t>
      </w:r>
      <w:r>
        <w:lastRenderedPageBreak/>
        <w:t>при комнатной температуре (22-23</w:t>
      </w:r>
      <w:r>
        <w:rPr>
          <w:vertAlign w:val="superscript"/>
        </w:rPr>
        <w:t>0</w:t>
      </w:r>
      <w:r>
        <w:t>С) в течение 3-4 сут. Фиксацию ко</w:t>
      </w:r>
      <w:r>
        <w:t>н</w:t>
      </w:r>
      <w:r>
        <w:t>трольных и опытных образцов проводили 4% глутаровым альдегидом на фосфатном буфере рН 6,8-7,0 с последующим обезвоживанием в возра</w:t>
      </w:r>
      <w:r>
        <w:t>с</w:t>
      </w:r>
      <w:r>
        <w:t>тающей концентрации спиртов 50</w:t>
      </w:r>
      <w:r>
        <w:rPr>
          <w:vertAlign w:val="superscript"/>
        </w:rPr>
        <w:t>0</w:t>
      </w:r>
      <w:r>
        <w:t>, 70</w:t>
      </w:r>
      <w:r>
        <w:rPr>
          <w:vertAlign w:val="superscript"/>
        </w:rPr>
        <w:t>0</w:t>
      </w:r>
      <w:r>
        <w:t>, 96</w:t>
      </w:r>
      <w:r>
        <w:rPr>
          <w:vertAlign w:val="superscript"/>
        </w:rPr>
        <w:t>0</w:t>
      </w:r>
      <w:r>
        <w:t>, 100</w:t>
      </w:r>
      <w:r>
        <w:rPr>
          <w:vertAlign w:val="superscript"/>
        </w:rPr>
        <w:t>0</w:t>
      </w:r>
      <w:r>
        <w:t xml:space="preserve"> и пропиленоксида.</w:t>
      </w:r>
    </w:p>
    <w:p w:rsidR="00F4654E" w:rsidRDefault="00F4654E">
      <w:pPr>
        <w:pStyle w:val="a6"/>
      </w:pPr>
      <w:r>
        <w:t>Препараты для сканирующей электронной микроскопии напыляли з</w:t>
      </w:r>
      <w:r>
        <w:t>о</w:t>
      </w:r>
      <w:r>
        <w:t xml:space="preserve">лотом и просматривали на электронном микроскопе Hitachi 800. </w:t>
      </w:r>
    </w:p>
    <w:p w:rsidR="00F4654E" w:rsidRDefault="00F4654E">
      <w:pPr>
        <w:pStyle w:val="a6"/>
      </w:pPr>
      <w:r>
        <w:t>В сканирующем электронном микроскопе на фрагментах комбико</w:t>
      </w:r>
      <w:r>
        <w:t>р</w:t>
      </w:r>
      <w:r>
        <w:t>мов наблюдали адгезию единичных клеток M.avium, а так же образование колоний, на поверхностях которых выявлялся массивный слоистый п</w:t>
      </w:r>
      <w:r>
        <w:t>о</w:t>
      </w:r>
      <w:r>
        <w:t xml:space="preserve">кров. </w:t>
      </w:r>
    </w:p>
    <w:p w:rsidR="00F4654E" w:rsidRDefault="00F4654E">
      <w:pPr>
        <w:pStyle w:val="a6"/>
      </w:pPr>
      <w:r>
        <w:t>На препаратах из зерен сои также было выявлено формирование к</w:t>
      </w:r>
      <w:r>
        <w:t>о</w:t>
      </w:r>
      <w:r>
        <w:t>лоний, закрытых покровами. В отдельных участках просматривались ко</w:t>
      </w:r>
      <w:r>
        <w:t>н</w:t>
      </w:r>
      <w:r>
        <w:t xml:space="preserve">цевые отделы клеток. </w:t>
      </w:r>
    </w:p>
    <w:p w:rsidR="00F4654E" w:rsidRDefault="00F4654E">
      <w:pPr>
        <w:pStyle w:val="a6"/>
      </w:pPr>
      <w:r>
        <w:t>На фрагментах скорлупы яйца с внутренней и наружной стороны в</w:t>
      </w:r>
      <w:r>
        <w:t>ы</w:t>
      </w:r>
      <w:r>
        <w:t>явлены удлиненные клетки, некоторые из которых находились на стадии деления. В участках скопления клеток выявлен межклеточный матрикс. Процесс колонизации сопровождался образованием покровов на поверхн</w:t>
      </w:r>
      <w:r>
        <w:t>о</w:t>
      </w:r>
      <w:r>
        <w:t>сти клеток. На препаратах, приготовленных из кожи кур, также выявлена адгезия единичных клеток M.avium и образование колоний, закрытых с поверхности покровами.</w:t>
      </w:r>
    </w:p>
    <w:p w:rsidR="00F4654E" w:rsidRDefault="00F4654E">
      <w:pPr>
        <w:pStyle w:val="a6"/>
      </w:pPr>
      <w:r>
        <w:t>Наши исследования показали, что взаимодействие микобактерий с и</w:t>
      </w:r>
      <w:r>
        <w:t>с</w:t>
      </w:r>
      <w:r>
        <w:t>следуемыми тест-объектами начинаются с процесса адгезии клеток к су</w:t>
      </w:r>
      <w:r>
        <w:t>б</w:t>
      </w:r>
      <w:r>
        <w:t>страту, о чем свидетельствовало наличие делящихся клеток. Процесс адг</w:t>
      </w:r>
      <w:r>
        <w:t>е</w:t>
      </w:r>
      <w:r>
        <w:t>зии идет по типу лиганд-рецепторного взаимодействия. Во взаимодейс</w:t>
      </w:r>
      <w:r>
        <w:t>т</w:t>
      </w:r>
      <w:r>
        <w:t>вии микобактерий с субстратом участвуют лигандные молекулы (адгез</w:t>
      </w:r>
      <w:r>
        <w:t>и</w:t>
      </w:r>
      <w:r>
        <w:t>ны), находящиеся на поверхности бактерий, которые взаимодействуют с комплементарными молекулами (рецепторами) на поверхности клеток биологического субстрата. По данным литературы адгезины у микобакт</w:t>
      </w:r>
      <w:r>
        <w:t>е</w:t>
      </w:r>
      <w:r>
        <w:t>рий имеют сложную пептидогликолипидную природу. В процессе адгезии клеток идет формирование межклеточного матрикса и покровов на п</w:t>
      </w:r>
      <w:r>
        <w:t>о</w:t>
      </w:r>
      <w:r>
        <w:t>верхностях клеток, что приводит к увеличению биомассы бактерий на тест-объектах.</w:t>
      </w:r>
    </w:p>
    <w:p w:rsidR="00F4654E" w:rsidRDefault="00F4654E">
      <w:pPr>
        <w:pStyle w:val="a6"/>
      </w:pPr>
      <w:r>
        <w:t>Исследования, проведенные с использованием методов сканирующей электронной микроскопии показали, что в процессах адгезии и колониз</w:t>
      </w:r>
      <w:r>
        <w:t>а</w:t>
      </w:r>
      <w:r>
        <w:t>ции особая роль принадлежит экзопродуктам клеток микобактерий. П</w:t>
      </w:r>
      <w:r>
        <w:t>о</w:t>
      </w:r>
      <w:r>
        <w:t xml:space="preserve">кровы на поверхности колоний являются также формой защиты бактерий от воздействия абиотических и биотических факторов окружающей среды. </w:t>
      </w:r>
    </w:p>
    <w:p w:rsidR="00F4654E" w:rsidRDefault="00F4654E">
      <w:pPr>
        <w:pStyle w:val="a6"/>
      </w:pPr>
      <w:r>
        <w:t>В заключение следует отметить, что патогенные микобактерии сп</w:t>
      </w:r>
      <w:r>
        <w:t>о</w:t>
      </w:r>
      <w:r>
        <w:t>собны не только выживать, но и размножаться на объектах окружающей среды. Важным экологическим фактором в развитии, адгезии и колониз</w:t>
      </w:r>
      <w:r>
        <w:t>а</w:t>
      </w:r>
      <w:r>
        <w:t xml:space="preserve">ции патогенных микобактерий являются такие необходимые условия как наличие питательного субстрата, оптимальной влажности и температуры. </w:t>
      </w:r>
    </w:p>
    <w:p w:rsidR="00F4654E" w:rsidRDefault="00F4654E">
      <w:pPr>
        <w:pStyle w:val="a6"/>
        <w:rPr>
          <w:i/>
        </w:rPr>
      </w:pPr>
      <w:r>
        <w:lastRenderedPageBreak/>
        <w:t>Полученные данные свидетельствуют о том, что выживание, размн</w:t>
      </w:r>
      <w:r>
        <w:t>о</w:t>
      </w:r>
      <w:r>
        <w:t>жение и образование колоний патогенных микобактерий на поверхностях объектов окружающей среды представляют серьезную санитарно-эпиде-миологическую опасность как возможный резервуар туберкулезной и</w:t>
      </w:r>
      <w:r>
        <w:t>н</w:t>
      </w:r>
      <w:r>
        <w:t>фекции для животных и человека.</w:t>
      </w:r>
    </w:p>
    <w:p w:rsidR="00F4654E" w:rsidRDefault="00F4654E">
      <w:pPr>
        <w:pStyle w:val="a4"/>
      </w:pPr>
      <w:r>
        <w:t>УДК 636.03:579.842.23</w:t>
      </w:r>
    </w:p>
    <w:p w:rsidR="00F4654E" w:rsidRDefault="00F4654E">
      <w:pPr>
        <w:pStyle w:val="1"/>
      </w:pPr>
      <w:bookmarkStart w:id="648" w:name="_Toc10115294"/>
      <w:bookmarkStart w:id="649" w:name="_Toc10731081"/>
      <w:bookmarkStart w:id="650" w:name="_Toc10731742"/>
      <w:bookmarkStart w:id="651" w:name="_Toc10891575"/>
      <w:bookmarkStart w:id="652" w:name="_Toc10892250"/>
      <w:bookmarkStart w:id="653" w:name="_Toc11390113"/>
      <w:bookmarkStart w:id="654" w:name="_Toc11839798"/>
      <w:bookmarkStart w:id="655" w:name="_Toc11937334"/>
      <w:r>
        <w:t>ВЛИЯНИЕ ДИМЕТИЛСУЛЬФОКСИДА НА ПОПУЛЯЦИЮ КЛЕТОК МИКОБАКТЕРИЙ</w:t>
      </w:r>
      <w:bookmarkEnd w:id="648"/>
      <w:bookmarkEnd w:id="649"/>
      <w:bookmarkEnd w:id="650"/>
      <w:bookmarkEnd w:id="651"/>
      <w:bookmarkEnd w:id="652"/>
      <w:bookmarkEnd w:id="653"/>
      <w:bookmarkEnd w:id="654"/>
      <w:bookmarkEnd w:id="655"/>
    </w:p>
    <w:p w:rsidR="00F4654E" w:rsidRDefault="00F4654E">
      <w:pPr>
        <w:pStyle w:val="2"/>
      </w:pPr>
      <w:bookmarkStart w:id="656" w:name="_Toc10115295"/>
      <w:bookmarkStart w:id="657" w:name="_Toc10731082"/>
      <w:bookmarkStart w:id="658" w:name="_Toc10731743"/>
      <w:bookmarkStart w:id="659" w:name="_Toc10891576"/>
      <w:bookmarkStart w:id="660" w:name="_Toc10892251"/>
      <w:bookmarkStart w:id="661" w:name="_Toc11390114"/>
      <w:bookmarkStart w:id="662" w:name="_Toc11937335"/>
      <w:r>
        <w:t>Архипова Н.Д.</w:t>
      </w:r>
      <w:bookmarkEnd w:id="656"/>
      <w:bookmarkEnd w:id="657"/>
      <w:bookmarkEnd w:id="658"/>
      <w:bookmarkEnd w:id="659"/>
      <w:bookmarkEnd w:id="660"/>
      <w:bookmarkEnd w:id="661"/>
      <w:bookmarkEnd w:id="662"/>
    </w:p>
    <w:p w:rsidR="00F4654E" w:rsidRDefault="00F4654E">
      <w:pPr>
        <w:pStyle w:val="a5"/>
      </w:pPr>
      <w:r>
        <w:t xml:space="preserve">Всероссийский НИИ ветеринарной санитарии, гигиены и экологии </w:t>
      </w:r>
    </w:p>
    <w:p w:rsidR="00F4654E" w:rsidRDefault="00F4654E">
      <w:pPr>
        <w:pStyle w:val="a6"/>
      </w:pPr>
      <w:r>
        <w:t>Широкое распространение туберкулезной инфекции среди животных и человека ставит проблему изыскания эффективных препаратов для д</w:t>
      </w:r>
      <w:r>
        <w:t>е</w:t>
      </w:r>
      <w:r>
        <w:t>зинфекции животноводческих помещений и других объектов окружающей среды. Исследования строения, роста и изменчивости популяций бактерий при их естественном развитии и воздействии на них биотических и аби</w:t>
      </w:r>
      <w:r>
        <w:t>о</w:t>
      </w:r>
      <w:r>
        <w:t>тических факторов являются одним из малоизученных разделов экологии бактерий.</w:t>
      </w:r>
    </w:p>
    <w:p w:rsidR="00F4654E" w:rsidRDefault="00F4654E">
      <w:pPr>
        <w:pStyle w:val="a6"/>
      </w:pPr>
      <w:r>
        <w:t>Целью данного исследования было изучение действия препарата д</w:t>
      </w:r>
      <w:r>
        <w:t>и</w:t>
      </w:r>
      <w:r>
        <w:t>метилсульфоксида (ДМСО), применяемого в медицинской практике под названием «Димексид».</w:t>
      </w:r>
    </w:p>
    <w:p w:rsidR="00F4654E" w:rsidRDefault="00F4654E">
      <w:pPr>
        <w:pStyle w:val="a6"/>
      </w:pPr>
      <w:r>
        <w:t>В качестве тест-объекта в опытах использовали сапрофитный штамм микобактерий В-5. Для изучения морфологии клеток в колониях примен</w:t>
      </w:r>
      <w:r>
        <w:t>я</w:t>
      </w:r>
      <w:r>
        <w:t>ли мембранные фильтры «Владипор», помещенные на слой питательной среды в чашки Петри. После инкубации культуры при 37</w:t>
      </w:r>
      <w:r>
        <w:rPr>
          <w:vertAlign w:val="superscript"/>
        </w:rPr>
        <w:t>0</w:t>
      </w:r>
      <w:r>
        <w:t>С в течение 2-3 сут фильтры с выросшей культурой помещали в чистые чашки Петри. На поверхность колоний наносили 1-5-%-й раствор ДМСО на 1-2 ч. По ист</w:t>
      </w:r>
      <w:r>
        <w:t>е</w:t>
      </w:r>
      <w:r>
        <w:t>чению указанного времени колонии фиксировали парами глутарового ал</w:t>
      </w:r>
      <w:r>
        <w:t>ь</w:t>
      </w:r>
      <w:r>
        <w:t>дегида, обезвоживали в парах пропиленоксида и изучали в световом и ск</w:t>
      </w:r>
      <w:r>
        <w:t>а</w:t>
      </w:r>
      <w:r>
        <w:t xml:space="preserve">нирующем электронном микроскопах. </w:t>
      </w:r>
    </w:p>
    <w:p w:rsidR="00F4654E" w:rsidRDefault="00F4654E">
      <w:pPr>
        <w:pStyle w:val="a6"/>
      </w:pPr>
      <w:r>
        <w:t>Исследования показали, что клетки микобактерий контрольных пр</w:t>
      </w:r>
      <w:r>
        <w:t>е</w:t>
      </w:r>
      <w:r>
        <w:t>паратов имеют хорошо развитый межклеточный матрикс, колонии бакт</w:t>
      </w:r>
      <w:r>
        <w:t>е</w:t>
      </w:r>
      <w:r>
        <w:t>рий закрыты с поверхности плотным покровом.</w:t>
      </w:r>
    </w:p>
    <w:p w:rsidR="00F4654E" w:rsidRDefault="00F4654E">
      <w:pPr>
        <w:pStyle w:val="a6"/>
      </w:pPr>
      <w:r>
        <w:t xml:space="preserve">После обработки колоний ДМСО выявлено нарушение межклеточных связей в колониях, частичное или полное разрушение внешних покровов, а также дефектность клеточных стенок с явлениями  гетероморфизма и L-трансформации. </w:t>
      </w:r>
    </w:p>
    <w:p w:rsidR="00F4654E" w:rsidRDefault="00F4654E">
      <w:pPr>
        <w:pStyle w:val="a6"/>
      </w:pPr>
      <w:r>
        <w:t>Полученные данные свидетельствуют о том, что диметилсульфоксид активно растворяет продуцируемые клетками липиды, вызывая разруш</w:t>
      </w:r>
      <w:r>
        <w:t>е</w:t>
      </w:r>
      <w:r>
        <w:t>ние межклеточного матрикса, покровов и клеточной стенки, что знач</w:t>
      </w:r>
      <w:r>
        <w:t>и</w:t>
      </w:r>
      <w:r>
        <w:t>тельно снижает колониеобразующую активность популяции микобакт</w:t>
      </w:r>
      <w:r>
        <w:t>е</w:t>
      </w:r>
      <w:r>
        <w:t>рий, предотвращая развитие инфекционного очага. Проведенные исслед</w:t>
      </w:r>
      <w:r>
        <w:t>о</w:t>
      </w:r>
      <w:r>
        <w:lastRenderedPageBreak/>
        <w:t>вания показывают возможность использования ДМСО как компонента при разработке дезинфекционных препаратов при туберкулезной инфекции.</w:t>
      </w:r>
    </w:p>
    <w:p w:rsidR="00F4654E" w:rsidRDefault="00F4654E">
      <w:pPr>
        <w:pStyle w:val="a4"/>
      </w:pPr>
      <w:r>
        <w:t>УДК 619:579.842.14:543.545</w:t>
      </w:r>
    </w:p>
    <w:p w:rsidR="00F4654E" w:rsidRDefault="00F4654E">
      <w:pPr>
        <w:pStyle w:val="1"/>
      </w:pPr>
      <w:bookmarkStart w:id="663" w:name="_Toc10731089"/>
      <w:bookmarkStart w:id="664" w:name="_Toc10731750"/>
      <w:bookmarkStart w:id="665" w:name="_Toc10891583"/>
      <w:bookmarkStart w:id="666" w:name="_Toc10892258"/>
      <w:bookmarkStart w:id="667" w:name="_Toc11390121"/>
      <w:bookmarkStart w:id="668" w:name="_Toc11839800"/>
      <w:bookmarkStart w:id="669" w:name="_Toc11937336"/>
      <w:r>
        <w:t>изучение полипептидных профилей различных штаммов сальмонелл</w:t>
      </w:r>
      <w:bookmarkEnd w:id="663"/>
      <w:bookmarkEnd w:id="664"/>
      <w:bookmarkEnd w:id="665"/>
      <w:bookmarkEnd w:id="666"/>
      <w:bookmarkEnd w:id="667"/>
      <w:bookmarkEnd w:id="668"/>
      <w:bookmarkEnd w:id="669"/>
    </w:p>
    <w:p w:rsidR="00F4654E" w:rsidRDefault="00F4654E">
      <w:pPr>
        <w:pStyle w:val="2"/>
      </w:pPr>
      <w:bookmarkStart w:id="670" w:name="_Toc10731090"/>
      <w:bookmarkStart w:id="671" w:name="_Toc10731751"/>
      <w:bookmarkStart w:id="672" w:name="_Toc10891584"/>
      <w:bookmarkStart w:id="673" w:name="_Toc10892259"/>
      <w:bookmarkStart w:id="674" w:name="_Toc11390122"/>
      <w:bookmarkStart w:id="675" w:name="_Toc11937337"/>
      <w:r>
        <w:t>Ахмадеев Р.М., Зайнуллин Л.И., Алимов А.М.</w:t>
      </w:r>
      <w:bookmarkEnd w:id="670"/>
      <w:bookmarkEnd w:id="671"/>
      <w:bookmarkEnd w:id="672"/>
      <w:bookmarkEnd w:id="673"/>
      <w:bookmarkEnd w:id="674"/>
      <w:bookmarkEnd w:id="675"/>
    </w:p>
    <w:p w:rsidR="00F4654E" w:rsidRDefault="00F4654E">
      <w:pPr>
        <w:pStyle w:val="a5"/>
      </w:pPr>
      <w:r>
        <w:t>Всероссийский научно-исследовательский ветеринарный институт</w:t>
      </w:r>
    </w:p>
    <w:p w:rsidR="00F4654E" w:rsidRDefault="00F4654E">
      <w:pPr>
        <w:pStyle w:val="a6"/>
      </w:pPr>
      <w:r>
        <w:tab/>
        <w:t>В эпизоотических очагах выделяются разные виды и серотипы сал</w:t>
      </w:r>
      <w:r>
        <w:t>ь</w:t>
      </w:r>
      <w:r>
        <w:t>монелл, дифференциация которых является трудоемкой. В этом аспекте значительный интерес представляет изучение полипептидного состава возбудителей сальмонеллеза, так как антигенные свойства во многом об</w:t>
      </w:r>
      <w:r>
        <w:t>у</w:t>
      </w:r>
      <w:r>
        <w:t xml:space="preserve">словлены белками микробов. </w:t>
      </w:r>
    </w:p>
    <w:p w:rsidR="00F4654E" w:rsidRDefault="00F4654E">
      <w:pPr>
        <w:pStyle w:val="a6"/>
      </w:pPr>
      <w:r>
        <w:t>Полипептидный состав изучали при разгонке лизированных микро</w:t>
      </w:r>
      <w:r>
        <w:t>б</w:t>
      </w:r>
      <w:r>
        <w:t>ных клеток с использованием ДСН в градиенте концентрации ПААГ (10 – 20%) по Laemmli U.K. (1970). Гели окрашивали Кумасси R-250 и импре</w:t>
      </w:r>
      <w:r>
        <w:t>г</w:t>
      </w:r>
      <w:r>
        <w:t xml:space="preserve">нацией серебром по Marshall T. (1984). </w:t>
      </w:r>
    </w:p>
    <w:p w:rsidR="00F4654E" w:rsidRDefault="00F4654E">
      <w:pPr>
        <w:pStyle w:val="a6"/>
      </w:pPr>
      <w:r>
        <w:t xml:space="preserve">Денситометрирование электрофореграмм проводили на сканере Sharp 330Yx, с дальнейшим определением молекулярных масс и процентного содержания белковых фракций по программе «ImageMaster 1D prime». </w:t>
      </w:r>
    </w:p>
    <w:p w:rsidR="00F4654E" w:rsidRDefault="00F4654E">
      <w:pPr>
        <w:pStyle w:val="a6"/>
      </w:pPr>
      <w:r>
        <w:t xml:space="preserve"> В результате проведенных исследований получены сравнительные характеристики электрофоретических профилей патогенных (S. cholerae suis 370, S. typhi</w:t>
      </w:r>
      <w:r w:rsidR="007A098E" w:rsidRPr="007A098E">
        <w:t xml:space="preserve"> </w:t>
      </w:r>
      <w:r>
        <w:t>murium 371, S. enteritidis 418, S. dublin) и вакцинных (S. cholerae suis TC-177, S. typhi</w:t>
      </w:r>
      <w:r w:rsidR="007A098E" w:rsidRPr="007A098E">
        <w:t xml:space="preserve"> </w:t>
      </w:r>
      <w:r>
        <w:t>murium</w:t>
      </w:r>
      <w:r w:rsidR="007A098E" w:rsidRPr="007A098E">
        <w:t xml:space="preserve"> </w:t>
      </w:r>
      <w:r>
        <w:t>3) штаммов. У саль</w:t>
      </w:r>
      <w:r>
        <w:softHyphen/>
        <w:t>монелл обнаруж</w:t>
      </w:r>
      <w:r>
        <w:t>и</w:t>
      </w:r>
      <w:r>
        <w:t>вались от 31 до 41 фракций полипептидов с молекулярной массой от 2 до 227 кДа. Полипептиды изучаемых штаммов сальмонелл характеризовались различной относительной подвижностью (R</w:t>
      </w:r>
      <w:r>
        <w:rPr>
          <w:vertAlign w:val="subscript"/>
        </w:rPr>
        <w:t>f</w:t>
      </w:r>
      <w:r>
        <w:t>), которые можно подразд</w:t>
      </w:r>
      <w:r>
        <w:t>е</w:t>
      </w:r>
      <w:r>
        <w:t>лить на три группы: малоподвижные (R</w:t>
      </w:r>
      <w:r>
        <w:rPr>
          <w:vertAlign w:val="subscript"/>
        </w:rPr>
        <w:t>f</w:t>
      </w:r>
      <w:r>
        <w:t xml:space="preserve"> от 0 до 0,2), среднеподвижные (R</w:t>
      </w:r>
      <w:r>
        <w:rPr>
          <w:vertAlign w:val="subscript"/>
        </w:rPr>
        <w:t>f</w:t>
      </w:r>
      <w:r>
        <w:t xml:space="preserve"> от 0,2 до 0,8) и легкоподвижные (R</w:t>
      </w:r>
      <w:r>
        <w:rPr>
          <w:vertAlign w:val="subscript"/>
        </w:rPr>
        <w:t>f</w:t>
      </w:r>
      <w:r>
        <w:t xml:space="preserve"> от 0,8 до 1,0). Наибольшее количество фра</w:t>
      </w:r>
      <w:r>
        <w:t>к</w:t>
      </w:r>
      <w:r>
        <w:t xml:space="preserve">ций (от 19 до 23) приходилось на группу со средней подвижностью. </w:t>
      </w:r>
    </w:p>
    <w:p w:rsidR="00F4654E" w:rsidRDefault="00F4654E">
      <w:pPr>
        <w:pStyle w:val="a6"/>
      </w:pPr>
      <w:r>
        <w:t>Сравнительный анализ качествен</w:t>
      </w:r>
      <w:r>
        <w:softHyphen/>
        <w:t>ного и количественного состава п</w:t>
      </w:r>
      <w:r>
        <w:t>о</w:t>
      </w:r>
      <w:r>
        <w:t>липептидов позволил установить определен</w:t>
      </w:r>
      <w:r>
        <w:softHyphen/>
        <w:t>ные сходства и различия в з</w:t>
      </w:r>
      <w:r>
        <w:t>а</w:t>
      </w:r>
      <w:r>
        <w:t xml:space="preserve">висимости от штаммовой принадлежности микроорганизмов. Так, у </w:t>
      </w:r>
      <w:r>
        <w:rPr>
          <w:i/>
        </w:rPr>
        <w:t xml:space="preserve">S. </w:t>
      </w:r>
      <w:r>
        <w:t>cholerae suis шт.370 выявлялось до 34 фракций, у штаммов S. typhi</w:t>
      </w:r>
      <w:r w:rsidR="007A098E" w:rsidRPr="007A098E">
        <w:t xml:space="preserve"> </w:t>
      </w:r>
      <w:r>
        <w:t>murium шт.371 и у S. dublin – 34 и 36 фракций со</w:t>
      </w:r>
      <w:r>
        <w:softHyphen/>
        <w:t>ответственно. Электрофоретич</w:t>
      </w:r>
      <w:r>
        <w:t>е</w:t>
      </w:r>
      <w:r>
        <w:t>ские профили шт.370 (вирулентный) и шт.ТС-177 (вакцинный) характер</w:t>
      </w:r>
      <w:r>
        <w:t>и</w:t>
      </w:r>
      <w:r>
        <w:t>зовались на</w:t>
      </w:r>
      <w:r>
        <w:softHyphen/>
        <w:t>личием 12 общих мажорных фракций с молекулярными масс</w:t>
      </w:r>
      <w:r>
        <w:t>а</w:t>
      </w:r>
      <w:r>
        <w:t>ми от 6 до 72 кДа.  В то же время обнаружены и некоторые отличия между ними в качественном и количественном содержании от</w:t>
      </w:r>
      <w:r>
        <w:softHyphen/>
        <w:t>дельных полипе</w:t>
      </w:r>
      <w:r>
        <w:t>п</w:t>
      </w:r>
      <w:r>
        <w:t>тидов.  У вирулентного штамма S. cholerae suis 370 концентрация полипе</w:t>
      </w:r>
      <w:r>
        <w:t>п</w:t>
      </w:r>
      <w:r>
        <w:t>тидов с молекулярными массами 50 и 149 кДа составляла 5,3% и 5,8% с</w:t>
      </w:r>
      <w:r>
        <w:t>о</w:t>
      </w:r>
      <w:r>
        <w:lastRenderedPageBreak/>
        <w:t>ответственно, тогда как у вак</w:t>
      </w:r>
      <w:r>
        <w:softHyphen/>
        <w:t>цинного ТС-177 эти полипептиды обнаруж</w:t>
      </w:r>
      <w:r>
        <w:t>е</w:t>
      </w:r>
      <w:r>
        <w:t xml:space="preserve">ны в незначительном количестве (1,3% и 0,2%). </w:t>
      </w:r>
    </w:p>
    <w:p w:rsidR="00F4654E" w:rsidRDefault="00F4654E">
      <w:pPr>
        <w:pStyle w:val="a4"/>
      </w:pPr>
      <w:r>
        <w:t xml:space="preserve"> УДК 619.616.98.579.842.11.</w:t>
      </w:r>
    </w:p>
    <w:p w:rsidR="00F4654E" w:rsidRDefault="00F4654E">
      <w:pPr>
        <w:pStyle w:val="1"/>
      </w:pPr>
      <w:bookmarkStart w:id="676" w:name="_Toc10731091"/>
      <w:bookmarkStart w:id="677" w:name="_Toc10731752"/>
      <w:bookmarkStart w:id="678" w:name="_Toc10891585"/>
      <w:bookmarkStart w:id="679" w:name="_Toc10892260"/>
      <w:bookmarkStart w:id="680" w:name="_Toc11390123"/>
      <w:bookmarkStart w:id="681" w:name="_Toc11839802"/>
      <w:bookmarkStart w:id="682" w:name="_Toc11937338"/>
      <w:r>
        <w:t xml:space="preserve">НЕКОТОРЫЕ ОСОБЕННОСТИ КОЛОСТРАЛЬНОГО ИММУНИТЕТА </w:t>
      </w:r>
      <w:r>
        <w:br/>
        <w:t>У ЯГНЯТ</w:t>
      </w:r>
      <w:bookmarkEnd w:id="676"/>
      <w:bookmarkEnd w:id="677"/>
      <w:bookmarkEnd w:id="678"/>
      <w:bookmarkEnd w:id="679"/>
      <w:bookmarkEnd w:id="680"/>
      <w:bookmarkEnd w:id="681"/>
      <w:bookmarkEnd w:id="682"/>
    </w:p>
    <w:p w:rsidR="00F4654E" w:rsidRDefault="00F4654E">
      <w:pPr>
        <w:pStyle w:val="2"/>
      </w:pPr>
      <w:bookmarkStart w:id="683" w:name="_Toc10731092"/>
      <w:bookmarkStart w:id="684" w:name="_Toc10731753"/>
      <w:bookmarkStart w:id="685" w:name="_Toc10891586"/>
      <w:bookmarkStart w:id="686" w:name="_Toc10892261"/>
      <w:bookmarkStart w:id="687" w:name="_Toc11390124"/>
      <w:bookmarkStart w:id="688" w:name="_Toc11937339"/>
      <w:r>
        <w:t>Абдалимов С.Х</w:t>
      </w:r>
      <w:bookmarkEnd w:id="683"/>
      <w:bookmarkEnd w:id="684"/>
      <w:bookmarkEnd w:id="685"/>
      <w:bookmarkEnd w:id="686"/>
      <w:bookmarkEnd w:id="687"/>
      <w:bookmarkEnd w:id="688"/>
    </w:p>
    <w:p w:rsidR="00F4654E" w:rsidRDefault="00F4654E">
      <w:pPr>
        <w:pStyle w:val="a5"/>
      </w:pPr>
      <w:r>
        <w:t>Узбекский научно-исследовательский институт ветеринарии.</w:t>
      </w:r>
    </w:p>
    <w:p w:rsidR="00F4654E" w:rsidRDefault="00F4654E">
      <w:pPr>
        <w:pStyle w:val="a6"/>
      </w:pPr>
      <w:r>
        <w:tab/>
        <w:t>Изучение становления и развития иммунной системы, выяснение механизмов иммунологической защиты на различных этапах онтогенеза –актуальная задача современной ветеринарной науки.</w:t>
      </w:r>
    </w:p>
    <w:p w:rsidR="00F4654E" w:rsidRDefault="00F4654E">
      <w:pPr>
        <w:pStyle w:val="a6"/>
      </w:pPr>
      <w:r>
        <w:t>Из литературных данных известно, что у новорожденных ягнят в пе</w:t>
      </w:r>
      <w:r>
        <w:t>р</w:t>
      </w:r>
      <w:r>
        <w:t>вые дни жизни система иммунозащиты не в состоянии в полной мере ре</w:t>
      </w:r>
      <w:r>
        <w:t>а</w:t>
      </w:r>
      <w:r>
        <w:t>гировать на действие различных инфекционных агентов и является наиб</w:t>
      </w:r>
      <w:r>
        <w:t>о</w:t>
      </w:r>
      <w:r>
        <w:t>лее критическим моментом иммунной защиты. Обусловлено это тем, что генетический механизм запуска иммунной системы в этот период только начинает активизироваться. В это время у ягнят в крови отсутствуют сп</w:t>
      </w:r>
      <w:r>
        <w:t>е</w:t>
      </w:r>
      <w:r>
        <w:t>цифические антитела (А.  А. Аливердиев</w:t>
      </w:r>
      <w:r w:rsidR="00607793">
        <w:t>, 1973; Р. Р. Игнатьев,1975;</w:t>
      </w:r>
      <w:r>
        <w:t xml:space="preserve"> С. М. Дурдыев</w:t>
      </w:r>
      <w:r w:rsidR="00607793">
        <w:t>,</w:t>
      </w:r>
      <w:r>
        <w:t xml:space="preserve"> 1984</w:t>
      </w:r>
      <w:r w:rsidR="00607793">
        <w:t>;</w:t>
      </w:r>
      <w:r>
        <w:t xml:space="preserve"> Ю. Н. Фёдоров</w:t>
      </w:r>
      <w:r w:rsidR="00607793">
        <w:t>,</w:t>
      </w:r>
      <w:r>
        <w:t xml:space="preserve"> 1987). Однако существует ряд инфекцио</w:t>
      </w:r>
      <w:r>
        <w:t>н</w:t>
      </w:r>
      <w:r>
        <w:t>ных заболеваний представляющих угрозу жизни и здоровья ягнят именно в этот период жизни. В этом отношении важную роль играет получение а</w:t>
      </w:r>
      <w:r>
        <w:t>н</w:t>
      </w:r>
      <w:r>
        <w:t>тител с молозивом матери, абсорбция которых в кишечнике новорожде</w:t>
      </w:r>
      <w:r>
        <w:t>н</w:t>
      </w:r>
      <w:r>
        <w:t xml:space="preserve">ного происходит впервые 24-36 жизни. </w:t>
      </w:r>
    </w:p>
    <w:p w:rsidR="00F4654E" w:rsidRDefault="00F4654E">
      <w:pPr>
        <w:pStyle w:val="a6"/>
      </w:pPr>
      <w:r>
        <w:t>Иммунологическую ценность молозиво можно повысить направле</w:t>
      </w:r>
      <w:r>
        <w:t>н</w:t>
      </w:r>
      <w:r>
        <w:t>ной вакцинацией овцематок соответствующими антигенами. Этим дост</w:t>
      </w:r>
      <w:r>
        <w:t>и</w:t>
      </w:r>
      <w:r>
        <w:t>гается дополнительное накопление в молозиве специфических антител против возбудителей инфекционных болезней.</w:t>
      </w:r>
    </w:p>
    <w:p w:rsidR="00F4654E" w:rsidRDefault="00F4654E">
      <w:pPr>
        <w:pStyle w:val="a6"/>
      </w:pPr>
      <w:r>
        <w:t>По данному вопросу нами поставлен был предварительный экспер</w:t>
      </w:r>
      <w:r>
        <w:t>и</w:t>
      </w:r>
      <w:r>
        <w:t>мент по изучению образования противопастереллезного колострального иммунитета. Для этих целей мы отобрали два группы суягных овцематок каракульской породы. В первой группе 8 овец были вакцинированы дв</w:t>
      </w:r>
      <w:r>
        <w:t>у</w:t>
      </w:r>
      <w:r>
        <w:t>кратно экспериментальной противопастереллезной ГОА формолвакциной за 20-30 дней до окота. Вакцину вводили подкожно в дозе первый раз 2 мл, второй 3 мл, с интервалом 15 дней. Вторая группа (2 овцематки) невакц</w:t>
      </w:r>
      <w:r>
        <w:t>и</w:t>
      </w:r>
      <w:r>
        <w:t>нированная служила контролем.</w:t>
      </w:r>
    </w:p>
    <w:p w:rsidR="00F4654E" w:rsidRDefault="00F4654E">
      <w:pPr>
        <w:pStyle w:val="a6"/>
      </w:pPr>
      <w:r>
        <w:t>У иммунизированных овцематок через  5 дней после вакцинации титр специфических антител достигал уровня 1:400, после 30 дней 1:3200 (РА). После окота титр антител в молозивной сыворотке и сыворотке крови о</w:t>
      </w:r>
      <w:r>
        <w:t>в</w:t>
      </w:r>
      <w:r>
        <w:t>цематок был примерно на одинаковом уровне (1:3200). Титр специфич</w:t>
      </w:r>
      <w:r>
        <w:t>е</w:t>
      </w:r>
      <w:r>
        <w:t>ских антител в сыворотке крови до принятия молозиво у новорожденных ягнят от иммунизированных овцематок отсутствовал. После выпаивания иммунного молозиво титр специфических антител сыворотки крови у я</w:t>
      </w:r>
      <w:r>
        <w:t>г</w:t>
      </w:r>
      <w:r>
        <w:lastRenderedPageBreak/>
        <w:t>нят на 3 день жизни составил 1:3200, 7 день 1:1600, на 10 день 1:400. У контрольных овцематок и новорожденных ягнят титр специфических а</w:t>
      </w:r>
      <w:r>
        <w:t>н</w:t>
      </w:r>
      <w:r>
        <w:t xml:space="preserve">тител был на уровне 1:25. При рождении количество лейкоцитов у ягнят составило 6,1 тыс. </w:t>
      </w:r>
      <w:r>
        <w:sym w:font="Symbol" w:char="F0B1"/>
      </w:r>
      <w:r>
        <w:t xml:space="preserve"> 9,13, лимфоцитов 39,63 </w:t>
      </w:r>
      <w:r>
        <w:sym w:font="Symbol" w:char="F0B1"/>
      </w:r>
      <w:r>
        <w:t xml:space="preserve"> 0,3%, палочкоядерные не</w:t>
      </w:r>
      <w:r>
        <w:t>й</w:t>
      </w:r>
      <w:r>
        <w:t xml:space="preserve">трофилы 9,25 </w:t>
      </w:r>
      <w:r>
        <w:sym w:font="Symbol" w:char="F0B1"/>
      </w:r>
      <w:r>
        <w:t xml:space="preserve"> 0,25%, сегментоядерные 48,63 </w:t>
      </w:r>
      <w:r>
        <w:sym w:font="Symbol" w:char="F0B1"/>
      </w:r>
      <w:r>
        <w:t xml:space="preserve"> 0,3%. К третьему дню жизни у ягнят принявших иммунное молозиво (опытные) количество ле</w:t>
      </w:r>
      <w:r>
        <w:t>й</w:t>
      </w:r>
      <w:r>
        <w:t xml:space="preserve">коцитов было 5,6 тыс. </w:t>
      </w:r>
      <w:r>
        <w:sym w:font="Symbol" w:char="F0B1"/>
      </w:r>
      <w:r>
        <w:t xml:space="preserve"> 3,83, лимфоцитов 45,25 </w:t>
      </w:r>
      <w:r>
        <w:sym w:font="Symbol" w:char="F0B1"/>
      </w:r>
      <w:r>
        <w:t xml:space="preserve"> 0,25%, палочкоядерных  нейтрофилов 3,25 </w:t>
      </w:r>
      <w:r>
        <w:sym w:font="Symbol" w:char="F0B1"/>
      </w:r>
      <w:r>
        <w:t xml:space="preserve"> 0,25%, сегментоядерных 39,13 </w:t>
      </w:r>
      <w:r>
        <w:sym w:font="Symbol" w:char="F0B1"/>
      </w:r>
      <w:r>
        <w:t xml:space="preserve"> 0,13%. У ягнят пр</w:t>
      </w:r>
      <w:r>
        <w:t>и</w:t>
      </w:r>
      <w:r>
        <w:t>нявших неиммунизированное молозиво (контрольных) количество лейк</w:t>
      </w:r>
      <w:r>
        <w:t>о</w:t>
      </w:r>
      <w:r>
        <w:t xml:space="preserve">цитов было 5,6 тыс. </w:t>
      </w:r>
      <w:r>
        <w:sym w:font="Symbol" w:char="F0B1"/>
      </w:r>
      <w:r>
        <w:t xml:space="preserve"> 5,43, лимфоцитов 40,5 </w:t>
      </w:r>
      <w:r>
        <w:sym w:font="Symbol" w:char="F0B1"/>
      </w:r>
      <w:r>
        <w:t xml:space="preserve"> 0,5%, палочкоядерных  не</w:t>
      </w:r>
      <w:r>
        <w:t>й</w:t>
      </w:r>
      <w:r>
        <w:t xml:space="preserve">трофилов 2,5 </w:t>
      </w:r>
      <w:r>
        <w:sym w:font="Symbol" w:char="F0B1"/>
      </w:r>
      <w:r>
        <w:t xml:space="preserve"> 0,5%, сегментоядерных 38,5 </w:t>
      </w:r>
      <w:r>
        <w:sym w:font="Symbol" w:char="F0B1"/>
      </w:r>
      <w:r>
        <w:t xml:space="preserve">0,5%. </w:t>
      </w:r>
    </w:p>
    <w:p w:rsidR="00F4654E" w:rsidRDefault="00F4654E">
      <w:pPr>
        <w:pStyle w:val="a6"/>
      </w:pPr>
      <w:r>
        <w:t>Для острого опыта сформировали две группы из 10 дневных ягнят по 4 головы. Первую группу заражали суспензией пастерелл (ЛД-100) интр</w:t>
      </w:r>
      <w:r>
        <w:t>а</w:t>
      </w:r>
      <w:r>
        <w:t>перитонеально. За ягнятами наблюдали в течение 10 дней. На 5-7 день н</w:t>
      </w:r>
      <w:r>
        <w:t>а</w:t>
      </w:r>
      <w:r>
        <w:t>блюдений ягнята контрольной группы (2 головы) погибли с выделением из патматериала  исходной культуры. В опытной группе все животные ост</w:t>
      </w:r>
      <w:r>
        <w:t>а</w:t>
      </w:r>
      <w:r>
        <w:t>лись живыми. У второй  группы ягнят (4 головы) с целью изучение угас</w:t>
      </w:r>
      <w:r>
        <w:t>а</w:t>
      </w:r>
      <w:r>
        <w:t>ния колострального иммунитета брали кровь на 15 и 20 дни жизни. В с</w:t>
      </w:r>
      <w:r>
        <w:t>ы</w:t>
      </w:r>
      <w:r>
        <w:t>воротке крови 15 дневных ягнят титр специфических антител снизился до 1:100, у 20- дневных ягнят до 1:50.</w:t>
      </w:r>
    </w:p>
    <w:p w:rsidR="00F4654E" w:rsidRDefault="00F4654E">
      <w:pPr>
        <w:pStyle w:val="a6"/>
      </w:pPr>
      <w:r>
        <w:t>Таким образом, противопастереллезный колостральный  иммунитет защищает новорождённых ягнят впервые 10 дней от заражения летальной дозой пастерелл. В дальнейшем противопастереллезный колостральный иммунитет постепенно угасает и на 20 –25 дни жизни практически не р</w:t>
      </w:r>
      <w:r>
        <w:t>е</w:t>
      </w:r>
      <w:r>
        <w:t xml:space="preserve">гистрируется.                                                  </w:t>
      </w:r>
    </w:p>
    <w:p w:rsidR="00F4654E" w:rsidRDefault="00F4654E">
      <w:pPr>
        <w:pStyle w:val="a4"/>
      </w:pPr>
      <w:r>
        <w:t>УДК 619.616:33/34.003-08:634.4</w:t>
      </w:r>
    </w:p>
    <w:p w:rsidR="00F4654E" w:rsidRDefault="00F4654E">
      <w:pPr>
        <w:pStyle w:val="1"/>
      </w:pPr>
      <w:bookmarkStart w:id="689" w:name="_Toc10891589"/>
      <w:bookmarkStart w:id="690" w:name="_Toc10892264"/>
      <w:bookmarkStart w:id="691" w:name="_Toc11390127"/>
      <w:bookmarkStart w:id="692" w:name="_Toc11839804"/>
      <w:bookmarkStart w:id="693" w:name="_Toc11937340"/>
      <w:r>
        <w:t>Токсикометрическая оценка и эффективность нового препарата для профилактики желудочно-кишечных болезней новорожденных животных и птиц с признаками диареи</w:t>
      </w:r>
      <w:bookmarkEnd w:id="689"/>
      <w:bookmarkEnd w:id="690"/>
      <w:bookmarkEnd w:id="691"/>
      <w:bookmarkEnd w:id="692"/>
      <w:bookmarkEnd w:id="693"/>
    </w:p>
    <w:p w:rsidR="00F4654E" w:rsidRDefault="00F4654E">
      <w:pPr>
        <w:pStyle w:val="2"/>
      </w:pPr>
      <w:bookmarkStart w:id="694" w:name="_Toc10891590"/>
      <w:bookmarkStart w:id="695" w:name="_Toc10892265"/>
      <w:bookmarkStart w:id="696" w:name="_Toc11390128"/>
      <w:bookmarkStart w:id="697" w:name="_Toc11937341"/>
      <w:r>
        <w:t>Аргунов М.Н., Симонова Е.М., Щедров И.Н., Дедяев В.И.</w:t>
      </w:r>
      <w:bookmarkEnd w:id="694"/>
      <w:bookmarkEnd w:id="695"/>
      <w:bookmarkEnd w:id="696"/>
      <w:bookmarkEnd w:id="697"/>
    </w:p>
    <w:p w:rsidR="00F4654E" w:rsidRDefault="00F4654E">
      <w:pPr>
        <w:pStyle w:val="a5"/>
      </w:pPr>
      <w:r>
        <w:t>Всероссийский НИВИ патологии, фармакологии и терапии</w:t>
      </w:r>
    </w:p>
    <w:p w:rsidR="00F4654E" w:rsidRDefault="00F4654E">
      <w:pPr>
        <w:pStyle w:val="a6"/>
      </w:pPr>
      <w:r>
        <w:t>Препарат представляет собой порошок серовато-желтого цвета, в воде частично растворяется, образуя взвесь. В своем составе содержит вещес</w:t>
      </w:r>
      <w:r>
        <w:t>т</w:t>
      </w:r>
      <w:r>
        <w:t>во, обладающее сорбционными и ионообменными свойствами, источник ферментов, аминокислот и микроэлементов.</w:t>
      </w:r>
    </w:p>
    <w:p w:rsidR="00F4654E" w:rsidRDefault="00F4654E">
      <w:pPr>
        <w:pStyle w:val="a6"/>
      </w:pPr>
      <w:r>
        <w:t>Параметры токсичности определяли в остром опыте на белых мышах и белых крысах. В опыт были взяты по 25 голов белых мышей с массой т</w:t>
      </w:r>
      <w:r>
        <w:t>е</w:t>
      </w:r>
      <w:r>
        <w:t xml:space="preserve">ла 18-25 г и белых крыс с массой тела 150-200 г. Животных формировали в группы по принципу парных аналогов. За животными вели наблюдение, учитывали клинические симптомы интоксикации. В течение 14 дней после </w:t>
      </w:r>
      <w:r>
        <w:lastRenderedPageBreak/>
        <w:t>затравки учитывали количество павших и выживших животных. Опыт проводили в двух повторностях.</w:t>
      </w:r>
    </w:p>
    <w:p w:rsidR="00F4654E" w:rsidRDefault="00F4654E">
      <w:pPr>
        <w:pStyle w:val="a6"/>
      </w:pPr>
      <w:r>
        <w:t>Первичные токсикометрические исследования препарата выполнили на белых мышах. Сформировали 5 групп животных по 4 особи в каждой. Выдержали в карантине 15 дней под наблюдением. Расчетным путем о</w:t>
      </w:r>
      <w:r>
        <w:t>п</w:t>
      </w:r>
      <w:r>
        <w:t>ределили предполагаемые токсические дозы. Препарат в виде водной взв</w:t>
      </w:r>
      <w:r>
        <w:t>е</w:t>
      </w:r>
      <w:r>
        <w:t>си с помощью металлического зонда и шприца типа «Рекорд» ввели вну</w:t>
      </w:r>
      <w:r>
        <w:t>т</w:t>
      </w:r>
      <w:r>
        <w:t>рижелудочно в следующих дозах: 1000, 2000, 3500, 5000, 7500 мг/кг, в объеме 0,6 мл дистиллированной воды на голодный желудок после в</w:t>
      </w:r>
      <w:r>
        <w:t>ы</w:t>
      </w:r>
      <w:r>
        <w:t>держки животных без корма 8 часов. Белым мышам контрольной группы в том же объеме ввели дистиллированную воду.</w:t>
      </w:r>
    </w:p>
    <w:p w:rsidR="00F4654E" w:rsidRDefault="00F4654E">
      <w:pPr>
        <w:pStyle w:val="a6"/>
      </w:pPr>
      <w:r>
        <w:t>В результате исследований не было выявлено клинических симптомов отравления и гибели белых мышей во всех пяти группах. У трех особей пятой группы (доза препарата 7500 мг/кг) отмечалось повышение возб</w:t>
      </w:r>
      <w:r>
        <w:t>у</w:t>
      </w:r>
      <w:r>
        <w:t>димости, чрезмерная подвижность.</w:t>
      </w:r>
    </w:p>
    <w:p w:rsidR="00F4654E" w:rsidRDefault="00F4654E">
      <w:pPr>
        <w:pStyle w:val="a6"/>
      </w:pPr>
      <w:r>
        <w:t>Во второй повторности опыта дозы препарата были увеличены: 8000, 8500, 9500, 10000 мг/кг. В результате исследований выявлены симптомы отравления белых мышей препаратом. У 2-х особей 4-й группы, у трех–3-й группы отмечено кратковременное возбуждение, которое сменилось через 10-15 минут выраженным угнетением, потением, частыми позывами к акту мочеиспускания. На вторые сутки во всех группах наблюдалось полное выздоровление. Случаев летальных исходов не отмечено.</w:t>
      </w:r>
    </w:p>
    <w:p w:rsidR="00F4654E" w:rsidRDefault="00F4654E">
      <w:pPr>
        <w:pStyle w:val="a6"/>
      </w:pPr>
      <w:r>
        <w:t>Провели опыты на белых крысах-самцах. Животных сформировали в четыре группы по 5 особей в каждой. Затравку произвели в следующих д</w:t>
      </w:r>
      <w:r>
        <w:t>о</w:t>
      </w:r>
      <w:r>
        <w:t xml:space="preserve">зах: 1000, 2600, 3000, 8000 мг/кг. </w:t>
      </w:r>
    </w:p>
    <w:p w:rsidR="00F4654E" w:rsidRDefault="00F4654E">
      <w:pPr>
        <w:pStyle w:val="a6"/>
      </w:pPr>
      <w:r>
        <w:t>В результате были выявлены некоторые признаки интоксикации б</w:t>
      </w:r>
      <w:r>
        <w:t>е</w:t>
      </w:r>
      <w:r>
        <w:t>лых крыс. Летальных исходов не было отмечено. А затем дозы препарата увеличили до 14000, 15000 и 16000 мг/кг. Признаки интоксикации хара</w:t>
      </w:r>
      <w:r>
        <w:t>к</w:t>
      </w:r>
      <w:r>
        <w:t>теризовались кратковременным возбуждением, которое сменялось выр</w:t>
      </w:r>
      <w:r>
        <w:t>а</w:t>
      </w:r>
      <w:r>
        <w:t>женным угнетением, одышкой, учащением сердечной деятельности. Сл</w:t>
      </w:r>
      <w:r>
        <w:t>у</w:t>
      </w:r>
      <w:r>
        <w:t>чаев гибели не отмечено. Выздоровление наступило в течение 2-3 дней.</w:t>
      </w:r>
    </w:p>
    <w:p w:rsidR="00F4654E" w:rsidRDefault="00F4654E">
      <w:pPr>
        <w:pStyle w:val="a6"/>
      </w:pPr>
      <w:r>
        <w:t>На основании результатов исследований и учитывая, что вещества со среднесмертельной дозой (ЛД</w:t>
      </w:r>
      <w:r>
        <w:rPr>
          <w:vertAlign w:val="subscript"/>
        </w:rPr>
        <w:t>50</w:t>
      </w:r>
      <w:r>
        <w:t>) 1000 мг/кг массы тела и более классиф</w:t>
      </w:r>
      <w:r>
        <w:t>и</w:t>
      </w:r>
      <w:r>
        <w:t>цируются как малотоксичные (Медведь Л.И., 1969), препарат отнесен к 4 классу малотоксичных соединений.</w:t>
      </w:r>
    </w:p>
    <w:p w:rsidR="00F4654E" w:rsidRDefault="00F4654E">
      <w:pPr>
        <w:pStyle w:val="a6"/>
      </w:pPr>
      <w:r>
        <w:t>Эффективность препарата испытывали на новорожденных животных: в с-зе «Кировский» Новоусманского района на телятах, в с-зе «Троицкий» Липецкого района на поросятах и п/ф «Березовское» Задонского района Липецкой области на цыплятах-бройлерах. С профилактической целью препарат применяли внутрь в дозе 0,4г/кг массы тела. в первый день жи</w:t>
      </w:r>
      <w:r>
        <w:t>з</w:t>
      </w:r>
      <w:r>
        <w:t>ни: во время кормления телятам с молозивом, поросятам с кипяченой в</w:t>
      </w:r>
      <w:r>
        <w:t>о</w:t>
      </w:r>
      <w:r>
        <w:t>дой, цыплятам с кормом, смоченным водой, три раза.</w:t>
      </w:r>
    </w:p>
    <w:p w:rsidR="00F4654E" w:rsidRDefault="00F4654E">
      <w:pPr>
        <w:pStyle w:val="a6"/>
      </w:pPr>
      <w:r>
        <w:lastRenderedPageBreak/>
        <w:t>В результате установлено, что в течение 14 дней наблюдения забол</w:t>
      </w:r>
      <w:r>
        <w:t>е</w:t>
      </w:r>
      <w:r>
        <w:t>ваемость составила: из 186 опытных телят заболело 2 головы или 1,1%; в контроле из 125 голов заболело 122 головы, или 98%; из 285 поросят в опыте заболело 12 голов, или 4,2%, в контроле из 303 голов заболело197 голов, или 65%; из 600 голов опытных птиц заболело 15 голов, или 2,5%, в контроле из 550 голов заболело 210 голов, или 38,2%.</w:t>
      </w:r>
    </w:p>
    <w:p w:rsidR="00F4654E" w:rsidRDefault="00F4654E">
      <w:pPr>
        <w:pStyle w:val="a6"/>
      </w:pPr>
      <w:r>
        <w:t>Необходимо отметить, что препарат обладает значительной проф</w:t>
      </w:r>
      <w:r>
        <w:t>и</w:t>
      </w:r>
      <w:r>
        <w:t>лактической эффективностью желудочно-кишечных болезней с признак</w:t>
      </w:r>
      <w:r>
        <w:t>а</w:t>
      </w:r>
      <w:r>
        <w:t>ми диареи по отношению ко всем опытным животным. Но наиболее ярко выражен этот эффект у телят, затем у цыплят, на третьем месте поросята. Данные обстоятельства мы склонны объяснить за счет видовых особенн</w:t>
      </w:r>
      <w:r>
        <w:t>о</w:t>
      </w:r>
      <w:r>
        <w:t>стей животных.</w:t>
      </w:r>
    </w:p>
    <w:p w:rsidR="00F4654E" w:rsidRDefault="00F4654E">
      <w:pPr>
        <w:pStyle w:val="a4"/>
      </w:pPr>
      <w:r>
        <w:t>УДК 619:616:615:577:4:636</w:t>
      </w:r>
    </w:p>
    <w:p w:rsidR="00F4654E" w:rsidRDefault="00F4654E">
      <w:pPr>
        <w:pStyle w:val="1"/>
      </w:pPr>
      <w:bookmarkStart w:id="698" w:name="_Toc10891587"/>
      <w:bookmarkStart w:id="699" w:name="_Toc10892262"/>
      <w:bookmarkStart w:id="700" w:name="_Toc11390125"/>
      <w:bookmarkStart w:id="701" w:name="_Toc11839806"/>
      <w:bookmarkStart w:id="702" w:name="_Toc11937342"/>
      <w:bookmarkStart w:id="703" w:name="_Toc10731093"/>
      <w:bookmarkStart w:id="704" w:name="_Toc10731754"/>
      <w:r>
        <w:t>Биохимические изменения в организме животных при экспериментальной интоксикации кадмием</w:t>
      </w:r>
      <w:bookmarkEnd w:id="698"/>
      <w:bookmarkEnd w:id="699"/>
      <w:bookmarkEnd w:id="700"/>
      <w:bookmarkEnd w:id="701"/>
      <w:bookmarkEnd w:id="702"/>
    </w:p>
    <w:p w:rsidR="00F4654E" w:rsidRDefault="00F4654E">
      <w:pPr>
        <w:pStyle w:val="2"/>
      </w:pPr>
      <w:bookmarkStart w:id="705" w:name="_Toc10731094"/>
      <w:bookmarkStart w:id="706" w:name="_Toc10731755"/>
      <w:bookmarkStart w:id="707" w:name="_Toc10891588"/>
      <w:bookmarkStart w:id="708" w:name="_Toc10892263"/>
      <w:bookmarkStart w:id="709" w:name="_Toc11390126"/>
      <w:bookmarkStart w:id="710" w:name="_Toc11937343"/>
      <w:bookmarkEnd w:id="703"/>
      <w:bookmarkEnd w:id="704"/>
      <w:r>
        <w:t>Аргунов М.Н., Свиридов Е.М.</w:t>
      </w:r>
      <w:bookmarkEnd w:id="705"/>
      <w:bookmarkEnd w:id="706"/>
      <w:bookmarkEnd w:id="707"/>
      <w:bookmarkEnd w:id="708"/>
      <w:bookmarkEnd w:id="709"/>
      <w:bookmarkEnd w:id="710"/>
    </w:p>
    <w:p w:rsidR="00F4654E" w:rsidRDefault="00F4654E">
      <w:pPr>
        <w:pStyle w:val="a5"/>
      </w:pPr>
      <w:r>
        <w:t>Всероссийский НИВИ патологии, фармакологии и терапии</w:t>
      </w:r>
    </w:p>
    <w:p w:rsidR="00F4654E" w:rsidRDefault="00F4654E">
      <w:pPr>
        <w:pStyle w:val="a6"/>
      </w:pPr>
      <w:r>
        <w:t>По Алексееву Ю.В. (1987) тяжелые металлы – это группа химических элементов, имеющих плотность более 5 г/см</w:t>
      </w:r>
      <w:r>
        <w:rPr>
          <w:vertAlign w:val="superscript"/>
        </w:rPr>
        <w:t>3</w:t>
      </w:r>
      <w:r>
        <w:t xml:space="preserve">, однако,   для биологической классификации выбирают обычно атомную массу,  и к тяжелым металлам относят все металлы с относительной атомной массой более 40 (Cr – 7,2; Mn – 7,44; Fe – 7,87; Co – 8,97; Ni – 8,9; Cu – 8,96; Zn – 7,1; Mo – 10,2; Ag – 10,5; Cd – 8,65; Hg – 13,55; Pb – 11,34 и т.д.).  Нельзя считать все тяжелые металлы токсичными, так как в их группе находятся Cu, Zn, Mo, Co, Mn, Fe, которые в небольших концентрациях необходимы и получили названия микроэлементов. </w:t>
      </w:r>
    </w:p>
    <w:p w:rsidR="00F4654E" w:rsidRDefault="00F4654E">
      <w:pPr>
        <w:pStyle w:val="a6"/>
      </w:pPr>
      <w:r>
        <w:t>Таким образом следует понимать под тяжелыми металлами элементы, концентрация которых токсична, а если нет, то считать их микроэлемент</w:t>
      </w:r>
      <w:r>
        <w:t>а</w:t>
      </w:r>
      <w:r>
        <w:t>ми. Несколько иначе выглядит определение тяжелых металлов и микр</w:t>
      </w:r>
      <w:r>
        <w:t>о</w:t>
      </w:r>
      <w:r>
        <w:t>элементов у Ильина В.Б. (1991), который относит к ТМ химические эл</w:t>
      </w:r>
      <w:r>
        <w:t>е</w:t>
      </w:r>
      <w:r>
        <w:t>менты с атомной массой свыше 50, со свойствами металлов и металлоидов. Очень токсичными из них он считает Co, Ni, Cu, Zn, Sn, As, Se, Te, Rb, Ag, Cd, Au, Hg, Pb, Sb, Bi, Pt. Определение микроэлементов классифицируется при их дефиците для живых организмов, а при избытке, уже как тяжелые металлы. Из группы тяжелых металлов выделяются приоритетные загря</w:t>
      </w:r>
      <w:r>
        <w:t>з</w:t>
      </w:r>
      <w:r>
        <w:t>нители, такие как Hg, Pb, Cd, As, Zn, доказательством этого приводится то, что в настоящее время идет их быстрое техногенное накопление.</w:t>
      </w:r>
    </w:p>
    <w:p w:rsidR="00F4654E" w:rsidRDefault="00F4654E">
      <w:pPr>
        <w:pStyle w:val="a6"/>
      </w:pPr>
      <w:r>
        <w:t>Одним из наиболее опасных видов загрязнителей окружающей среды являются тяжелые металлы. Находясь преимущественно в рассеянном  с</w:t>
      </w:r>
      <w:r>
        <w:t>о</w:t>
      </w:r>
      <w:r>
        <w:t xml:space="preserve">стоянии, металлы могут образовывать локальные аккумуляции, зачастую антропогенного происхождения, где их концентрация во многие сотни раз </w:t>
      </w:r>
      <w:r>
        <w:lastRenderedPageBreak/>
        <w:t>превышает средне планетарные уровни. Многие из элементов, причисля</w:t>
      </w:r>
      <w:r>
        <w:t>е</w:t>
      </w:r>
      <w:r>
        <w:t>мых к группе тяжелых металлов жизненно необходимы для различных ж</w:t>
      </w:r>
      <w:r>
        <w:t>и</w:t>
      </w:r>
      <w:r>
        <w:t>вых организмов. Токсичными они становятся лишь в высоких дозах. Но имеется группа металлов, жизненная необходимость которых не устано</w:t>
      </w:r>
      <w:r>
        <w:t>в</w:t>
      </w:r>
      <w:r>
        <w:t>лена. В их число входит кадмий.</w:t>
      </w:r>
    </w:p>
    <w:p w:rsidR="00F4654E" w:rsidRDefault="00F4654E">
      <w:pPr>
        <w:pStyle w:val="a6"/>
      </w:pPr>
      <w:r>
        <w:t>Для проведения подострой интоксикации животных кадмием нами были сформированы методом парных аналогов 6 групп белых крыс с ма</w:t>
      </w:r>
      <w:r>
        <w:t>с</w:t>
      </w:r>
      <w:r>
        <w:t>сой тела 160-200 г, которые на протяжении 30 дней получали с кормом: первая группа – дозу кадмия на 30%, вторая – в 2 раза, третья – в 3 раза превосходящую ПДК. Четвертая группа служила контролем. Пятая – пол</w:t>
      </w:r>
      <w:r>
        <w:t>у</w:t>
      </w:r>
      <w:r>
        <w:t>чала двух кратно превосходящее ПДК количество кадмия, в качестве и</w:t>
      </w:r>
      <w:r>
        <w:t>с</w:t>
      </w:r>
      <w:r>
        <w:t>пытуемого антидота с кормом потребляла МКЦ (микрокристаллическую целлюлозу) из расчета 0,5 мг/кг корма, шестая группа, получая такую же дозу кадмия, что и предыдущая, имела испытуемым антидотом смесь МКЦ и фосфогипса в соотношении 70:30 из расчета 1600 мг/кг корма фосфоги</w:t>
      </w:r>
      <w:r>
        <w:t>п</w:t>
      </w:r>
      <w:r>
        <w:t>са и 0,5 мг/кг корма МКЦ. По окончании эксперимента животные были убиты (декапитированы). Полученные от них органы методом атомно-абсорбционной спектрофотометрии исследованы на содержание микр</w:t>
      </w:r>
      <w:r>
        <w:t>о</w:t>
      </w:r>
      <w:r>
        <w:t xml:space="preserve">элементов (меди, цинка, марганца, железа, кадмия). </w:t>
      </w:r>
    </w:p>
    <w:p w:rsidR="00F4654E" w:rsidRDefault="00F4654E">
      <w:pPr>
        <w:pStyle w:val="a6"/>
      </w:pPr>
      <w:r>
        <w:t>Преимущественная кумуляция металла наблюдается в печени, почках и кости. Кроме того, в печени одновременно увеличивается содержание меди на 74,9% при поступлении с кормом кадмия в количестве двух ПДК и более чем в 2,5 раза при трех ПДК по сравнению с таковым у животных контрольной группы, также увеличивается содержание цинка на 20% и 55% соответственно и железа – в 2 раза при двух ПДК. Подобное состо</w:t>
      </w:r>
      <w:r>
        <w:t>я</w:t>
      </w:r>
      <w:r>
        <w:t>ние прослеживается и в отношении почек: меди – на 10% и 77%, цинка – на 20% и в 2 раза и железа – на 27% соответственно. В костях происходит увеличение количес</w:t>
      </w:r>
      <w:r>
        <w:t>т</w:t>
      </w:r>
      <w:r>
        <w:t xml:space="preserve">ва железа в 2,4 раза. </w:t>
      </w:r>
    </w:p>
    <w:p w:rsidR="00F4654E" w:rsidRDefault="00F4654E">
      <w:pPr>
        <w:pStyle w:val="a6"/>
      </w:pPr>
      <w:r>
        <w:t>Несмотря на то, что нами не было обнаружено кумуляции самого кадмия в головном мозге, в опытных группах животных в случае тре</w:t>
      </w:r>
      <w:r>
        <w:t>х</w:t>
      </w:r>
      <w:r>
        <w:t>кратного превышения ПДК кадмия в рационе отмечается увеличение с</w:t>
      </w:r>
      <w:r>
        <w:t>о</w:t>
      </w:r>
      <w:r>
        <w:t>держания меди на 73,6%, цинка – 62,2%, марганца – более чем в 3,5 раза; при двукратном, возрастает количество железа – на 63% и марганца в 3 раза. В селезенке нами констатировано увеличение меди более чем в 3 раза при трехкратном превышении кадмия, цинка – в 2 раза; при двукратном – цинка – на 40,5%, железа – почти в 2 раза. Мышцы животных опытных групп содержат на 62% больше цинка при трех ПДК и на 73% железа при двух ПДК по сравнению с ко</w:t>
      </w:r>
      <w:r>
        <w:t>н</w:t>
      </w:r>
      <w:r>
        <w:t>трольными.</w:t>
      </w:r>
    </w:p>
    <w:p w:rsidR="00F4654E" w:rsidRDefault="00F4654E">
      <w:pPr>
        <w:pStyle w:val="a6"/>
      </w:pPr>
      <w:r>
        <w:t>Добавление к рациону, содержащему  превышающие предельно д</w:t>
      </w:r>
      <w:r>
        <w:t>о</w:t>
      </w:r>
      <w:r>
        <w:t>пустимые концентрации тяжелого металла фосфогипса с микрокристалл</w:t>
      </w:r>
      <w:r>
        <w:t>и</w:t>
      </w:r>
      <w:r>
        <w:t>ческой целлюлозой профилактирует кумуляцию кадмия в органах живо</w:t>
      </w:r>
      <w:r>
        <w:t>т</w:t>
      </w:r>
      <w:r>
        <w:t>ных, а также способствует снижению содержания эссенциальных элеме</w:t>
      </w:r>
      <w:r>
        <w:t>н</w:t>
      </w:r>
      <w:r>
        <w:t>тов до уровней отмеченных у животных контрольных групп.</w:t>
      </w:r>
    </w:p>
    <w:p w:rsidR="00F4654E" w:rsidRDefault="00F4654E">
      <w:pPr>
        <w:pStyle w:val="a6"/>
      </w:pPr>
      <w:r>
        <w:lastRenderedPageBreak/>
        <w:t>Несмотря на актуальность проблемы загрязнения окружающей среды опасным токсикантом кадмием, механизмы его патогенного действия на организмы на уровне биохимических процессов до сих пор не выяснены. С целью изучения влияния данного тяжелого металла на ферментативные системы, нами были определены, в частности, изменения активности ак</w:t>
      </w:r>
      <w:r>
        <w:t>о</w:t>
      </w:r>
      <w:r>
        <w:t xml:space="preserve">нитатгидратазы, малатдегидрогеназы и сукцинатдегидрогеназы в печени животных (белые крысы). </w:t>
      </w:r>
    </w:p>
    <w:p w:rsidR="00F4654E" w:rsidRDefault="00F4654E">
      <w:pPr>
        <w:pStyle w:val="a6"/>
      </w:pPr>
      <w:r>
        <w:t>В группе животных получавших в течение хронического опыта (9 м</w:t>
      </w:r>
      <w:r>
        <w:t>е</w:t>
      </w:r>
      <w:r>
        <w:t>сяцев) с кормом количество кадмия двукратно превышающее ПДК обн</w:t>
      </w:r>
      <w:r>
        <w:t>а</w:t>
      </w:r>
      <w:r>
        <w:t>ружено увеличение активности аконитатгидратазы на 67%, малатдегидр</w:t>
      </w:r>
      <w:r>
        <w:t>о</w:t>
      </w:r>
      <w:r>
        <w:t>геназы – на 15%, сукцинатдегидрогеназы – на 3%.</w:t>
      </w:r>
    </w:p>
    <w:p w:rsidR="00F4654E" w:rsidRDefault="00F4654E">
      <w:pPr>
        <w:pStyle w:val="a6"/>
      </w:pPr>
      <w:r>
        <w:t>Известно, что металлы являются либо активаторами ферментов, либо входят в их состав (будучи неотделимыми при диализе). Для выяснения механизма действия кадмия на аконитатгидратазу, как фермента показа</w:t>
      </w:r>
      <w:r>
        <w:t>в</w:t>
      </w:r>
      <w:r>
        <w:t>шего наибольшее изменение активности при интоксикации изучаемым м</w:t>
      </w:r>
      <w:r>
        <w:t>е</w:t>
      </w:r>
      <w:r>
        <w:t>таллом, мы методом гель-фильтрации провели выделение энзима с целью последующего определения во фракциях методом атомно-абсорбционной спектрофотометрии кадмия и железа. Выяснилось, что количество железа во фракциях имеющих наивысшую активность исследуемого фермента уменьшается в 4 раза, количество же кадмия увеличивается более чем в 8 раз. Исходя из этого, можно предположить, что увеличение активности аконитатгидратазы связано с тем, что железо в ее составе частично зам</w:t>
      </w:r>
      <w:r>
        <w:t>е</w:t>
      </w:r>
      <w:r>
        <w:t xml:space="preserve">щается кадмием.     </w:t>
      </w:r>
    </w:p>
    <w:p w:rsidR="00F4654E" w:rsidRDefault="00F4654E">
      <w:pPr>
        <w:pStyle w:val="a4"/>
      </w:pPr>
      <w:r>
        <w:t>УДК 619:615.33:616.9-092.9</w:t>
      </w:r>
    </w:p>
    <w:p w:rsidR="00F4654E" w:rsidRDefault="00F4654E">
      <w:pPr>
        <w:pStyle w:val="1"/>
      </w:pPr>
      <w:bookmarkStart w:id="711" w:name="_Toc10731095"/>
      <w:bookmarkStart w:id="712" w:name="_Toc10731756"/>
      <w:bookmarkStart w:id="713" w:name="_Toc10891591"/>
      <w:bookmarkStart w:id="714" w:name="_Toc10892266"/>
      <w:bookmarkStart w:id="715" w:name="_Toc11390129"/>
      <w:bookmarkStart w:id="716" w:name="_Toc11839808"/>
      <w:bookmarkStart w:id="717" w:name="_Toc11937344"/>
      <w:r>
        <w:t xml:space="preserve">ТЕРАПЕВТИЧЕСКАЯ АКТИВНОСТЬ ХИНОЛЕВОКСИДА </w:t>
      </w:r>
      <w:r>
        <w:br/>
        <w:t>ПРИ ЭКСПЕРИМЕНТАЛЬНЫХ ИНФЕКЦИЯХ БЕЛЫХ МЫШЕЙ</w:t>
      </w:r>
      <w:bookmarkEnd w:id="711"/>
      <w:bookmarkEnd w:id="712"/>
      <w:bookmarkEnd w:id="713"/>
      <w:bookmarkEnd w:id="714"/>
      <w:bookmarkEnd w:id="715"/>
      <w:bookmarkEnd w:id="716"/>
      <w:bookmarkEnd w:id="717"/>
    </w:p>
    <w:p w:rsidR="00F4654E" w:rsidRDefault="00F4654E">
      <w:pPr>
        <w:pStyle w:val="2"/>
      </w:pPr>
      <w:bookmarkStart w:id="718" w:name="_Toc10731096"/>
      <w:bookmarkStart w:id="719" w:name="_Toc10731757"/>
      <w:bookmarkStart w:id="720" w:name="_Toc10891592"/>
      <w:bookmarkStart w:id="721" w:name="_Toc10892267"/>
      <w:bookmarkStart w:id="722" w:name="_Toc11390130"/>
      <w:bookmarkStart w:id="723" w:name="_Toc11937345"/>
      <w:r>
        <w:t>Ащеулов В.В.</w:t>
      </w:r>
      <w:bookmarkEnd w:id="718"/>
      <w:bookmarkEnd w:id="719"/>
      <w:bookmarkEnd w:id="720"/>
      <w:bookmarkEnd w:id="721"/>
      <w:bookmarkEnd w:id="722"/>
      <w:bookmarkEnd w:id="723"/>
    </w:p>
    <w:p w:rsidR="00F4654E" w:rsidRDefault="00F4654E">
      <w:pPr>
        <w:pStyle w:val="a5"/>
      </w:pPr>
      <w:r>
        <w:t>Всероссийский НИВИ патологии, фармакологии и терапии</w:t>
      </w:r>
    </w:p>
    <w:p w:rsidR="00F4654E" w:rsidRDefault="00F4654E">
      <w:pPr>
        <w:pStyle w:val="a6"/>
      </w:pPr>
      <w:r>
        <w:t>В опытах на белых мышах был изучен индекс защиты хинолевоксида при экспериментальном эшерихиозе и сальмонеллёзе. В эксперименте б</w:t>
      </w:r>
      <w:r>
        <w:t>ы</w:t>
      </w:r>
      <w:r>
        <w:t>ли использованы белые мыши линии BALB С 57/6. Предварительно опр</w:t>
      </w:r>
      <w:r>
        <w:t>е</w:t>
      </w:r>
      <w:r>
        <w:t>делили минимальную 100 % летальную дозу возбудителя (DLM). Для з</w:t>
      </w:r>
      <w:r>
        <w:t>а</w:t>
      </w:r>
      <w:r>
        <w:t>ражения использовали полевые (эпизоотические) штаммы E. coli O138 и Sal. cholerae suis, выделенные от павших поросят, принадлежавших хозя</w:t>
      </w:r>
      <w:r>
        <w:t>й</w:t>
      </w:r>
      <w:r>
        <w:t>ствам Воронежской области, в которых проводился клинический опыт. В результате проведённых исследований установили, что минимальная л</w:t>
      </w:r>
      <w:r>
        <w:t>е</w:t>
      </w:r>
      <w:r>
        <w:t>тальная доза для эшерихий составила 250 млн., а для сальмонелл – 500 тыс. микробных клеток.</w:t>
      </w:r>
    </w:p>
    <w:p w:rsidR="00F4654E" w:rsidRDefault="00F4654E">
      <w:pPr>
        <w:pStyle w:val="a6"/>
      </w:pPr>
      <w:r>
        <w:t>Взвесь указанных бактерий вводили интроперитонеально на изотон</w:t>
      </w:r>
      <w:r>
        <w:t>и</w:t>
      </w:r>
      <w:r>
        <w:t xml:space="preserve">ческом растворе натрия хлорида. Животным опытных групп перорально вводили 0,1% суспензию препарата в количестве 0,2 мл на голову или в </w:t>
      </w:r>
      <w:r>
        <w:lastRenderedPageBreak/>
        <w:t>пересчёте на активное действующее вещество 10 мг на кг массы тела, о</w:t>
      </w:r>
      <w:r>
        <w:t>с</w:t>
      </w:r>
      <w:r>
        <w:t>тальные группы хинолевоксид не получали (контроль). За подопытными животными вели наблюдения до их гибели, а при её отсутствии – в течение 10 дней, обеспечивая полноценное кормление и постоянный доступ к воде. Во время эксперимента учитывали заболеваемость, падёж и особенности течения эшерихиозной и сальмонеллёзной инфекций. У павших животных фиксировали патологоанатомическую картину, а также осуществляли ба</w:t>
      </w:r>
      <w:r>
        <w:t>к</w:t>
      </w:r>
      <w:r>
        <w:t>териологические исследования крови, взятой из сердца, печени, почек, лёгких и селезёнки для определения специфичности гибели. Индекс сп</w:t>
      </w:r>
      <w:r>
        <w:t>е</w:t>
      </w:r>
      <w:r>
        <w:t>цифической защиты (эффективности) хинолевоксида определяли по фо</w:t>
      </w:r>
      <w:r>
        <w:t>р</w:t>
      </w:r>
      <w:r>
        <w:t>муле В.Д. Белякова (1961).</w:t>
      </w:r>
    </w:p>
    <w:p w:rsidR="00F4654E" w:rsidRDefault="00F4654E">
      <w:pPr>
        <w:pStyle w:val="a6"/>
      </w:pPr>
      <w:r>
        <w:t>В контрольных группах мышей отмечали некоторые отличия, хара</w:t>
      </w:r>
      <w:r>
        <w:t>к</w:t>
      </w:r>
      <w:r>
        <w:t>терные для изучаемых инфекций. При эшерихиозе отмечали внезапную гибель животных в течение первых 2-3 дней, без видимых клинических признаков заболевания. Для сальмонеллезной инфекции, несмотря на в</w:t>
      </w:r>
      <w:r>
        <w:t>ы</w:t>
      </w:r>
      <w:r>
        <w:t xml:space="preserve">сокую вирулентность полевого штамма возбудителя, характерным было более затяжное течение, постепенно развивающееся глубокое угнетение со значительным ослаблением дыхательной функции, иногда с проявлением диареи. Чаще животные погибали на 3-5 день. В контрольных группах, не подвергавшихся обработке хинолевоксидом, зафиксировали гибель 100 % мышей. Из крови сердца, лёгких, печени, почек и селезёнки реизолировали исходные культуры. </w:t>
      </w:r>
    </w:p>
    <w:p w:rsidR="00F4654E" w:rsidRDefault="00F4654E">
      <w:pPr>
        <w:pStyle w:val="a6"/>
      </w:pPr>
      <w:r>
        <w:t>Наибольшую активность хинолевоксид проявил при эшерихиозной инфекции. Однократное введение препарата через 3 часа после заражения сдерживало развитие инфекции (при полном отсутствии клинических пр</w:t>
      </w:r>
      <w:r>
        <w:t>и</w:t>
      </w:r>
      <w:r>
        <w:t>знаков) и обеспечивало 100%-й индекс защиты. При использовании хин</w:t>
      </w:r>
      <w:r>
        <w:t>о</w:t>
      </w:r>
      <w:r>
        <w:t>левоксида через 6 часов после заражения мышей индекс защиты составил 90%. Наиболее сильное снижение индекса защиты было при использов</w:t>
      </w:r>
      <w:r>
        <w:t>а</w:t>
      </w:r>
      <w:r>
        <w:t>нии препарата через 12 часов и равнялось 70%.</w:t>
      </w:r>
    </w:p>
    <w:p w:rsidR="00F4654E" w:rsidRDefault="00F4654E">
      <w:pPr>
        <w:pStyle w:val="a6"/>
      </w:pPr>
      <w:r>
        <w:t>При сальмонеллёзной инфекции наибольший эффект достигли при введении хинолевоксида через 3 часа после инокуляции возбудителя (и</w:t>
      </w:r>
      <w:r>
        <w:t>н</w:t>
      </w:r>
      <w:r>
        <w:t>декс защиты равнялся 90%). При использовании препарата спустя 6 часов после заражения показатель снижался до 70%. Ещё ниже индекс защиты был при введении хинолевоксида через 12 часов после заражения и соста</w:t>
      </w:r>
      <w:r>
        <w:t>в</w:t>
      </w:r>
      <w:r>
        <w:t xml:space="preserve">лял 60%. </w:t>
      </w:r>
    </w:p>
    <w:p w:rsidR="00F4654E" w:rsidRDefault="00F4654E">
      <w:pPr>
        <w:pStyle w:val="a6"/>
      </w:pPr>
      <w:r>
        <w:t>Следует отметить, что гибель мышей в опытных группах по сравн</w:t>
      </w:r>
      <w:r>
        <w:t>е</w:t>
      </w:r>
      <w:r>
        <w:t>нию с контролем отмечали в более отдалённые сроки. При бактериолог</w:t>
      </w:r>
      <w:r>
        <w:t>и</w:t>
      </w:r>
      <w:r>
        <w:t>ческом исследовании патматериала от павших животных опытных групп из крови сердца, печени, почек и селезёнки были также выделены исхо</w:t>
      </w:r>
      <w:r>
        <w:t>д</w:t>
      </w:r>
      <w:r>
        <w:t>ные культуры. Проведенные исследования показали, что наиболее выр</w:t>
      </w:r>
      <w:r>
        <w:t>а</w:t>
      </w:r>
      <w:r>
        <w:t>женное действие хинолевоксид оказывает при эшерихиозной инфекции (индекс защиты достигает 90-100%), при сальмонеллёзной инфекции его эффективность была несколько ниже (60-90%).</w:t>
      </w:r>
    </w:p>
    <w:p w:rsidR="00F4654E" w:rsidRDefault="00F4654E">
      <w:pPr>
        <w:pStyle w:val="a6"/>
      </w:pPr>
      <w:r>
        <w:lastRenderedPageBreak/>
        <w:t>Таким образом, полученные данные свидетельствуют о сравнительно высокой эффективности хинолевоксида как антибактериального препарата при назначении его при экспериментальном колибактериозе и сальмоне</w:t>
      </w:r>
      <w:r>
        <w:t>л</w:t>
      </w:r>
      <w:r>
        <w:t>лёзе у мышей.</w:t>
      </w:r>
    </w:p>
    <w:p w:rsidR="00F4654E" w:rsidRDefault="00F4654E">
      <w:pPr>
        <w:pStyle w:val="a4"/>
      </w:pPr>
      <w:r>
        <w:t>УДК 619:615.33</w:t>
      </w:r>
    </w:p>
    <w:p w:rsidR="00F4654E" w:rsidRDefault="00F4654E">
      <w:pPr>
        <w:pStyle w:val="1"/>
      </w:pPr>
      <w:bookmarkStart w:id="724" w:name="_Toc10731097"/>
      <w:bookmarkStart w:id="725" w:name="_Toc10731758"/>
      <w:bookmarkStart w:id="726" w:name="_Toc10891593"/>
      <w:bookmarkStart w:id="727" w:name="_Toc10892268"/>
      <w:bookmarkStart w:id="728" w:name="_Toc11390131"/>
      <w:bookmarkStart w:id="729" w:name="_Toc11839810"/>
      <w:bookmarkStart w:id="730" w:name="_Toc11937346"/>
      <w:r>
        <w:t>АНТИМИКРОБНАЯ АКТИВНОСТЬ ХИНОЛЕВОКСИДА</w:t>
      </w:r>
      <w:bookmarkEnd w:id="724"/>
      <w:bookmarkEnd w:id="725"/>
      <w:bookmarkEnd w:id="726"/>
      <w:bookmarkEnd w:id="727"/>
      <w:bookmarkEnd w:id="728"/>
      <w:bookmarkEnd w:id="729"/>
      <w:bookmarkEnd w:id="730"/>
    </w:p>
    <w:p w:rsidR="00F4654E" w:rsidRDefault="00F4654E">
      <w:pPr>
        <w:pStyle w:val="2"/>
      </w:pPr>
      <w:bookmarkStart w:id="731" w:name="_Toc10731098"/>
      <w:bookmarkStart w:id="732" w:name="_Toc10731759"/>
      <w:bookmarkStart w:id="733" w:name="_Toc10891594"/>
      <w:bookmarkStart w:id="734" w:name="_Toc10892269"/>
      <w:bookmarkStart w:id="735" w:name="_Toc11390132"/>
      <w:bookmarkStart w:id="736" w:name="_Toc11937347"/>
      <w:r>
        <w:t>Ащеулов В.В.</w:t>
      </w:r>
      <w:bookmarkEnd w:id="731"/>
      <w:bookmarkEnd w:id="732"/>
      <w:bookmarkEnd w:id="733"/>
      <w:bookmarkEnd w:id="734"/>
      <w:bookmarkEnd w:id="735"/>
      <w:bookmarkEnd w:id="736"/>
    </w:p>
    <w:p w:rsidR="00F4654E" w:rsidRDefault="00F4654E">
      <w:pPr>
        <w:pStyle w:val="a5"/>
      </w:pPr>
      <w:r>
        <w:t>Всероссийский НИВИ патологии, фармакологии и терапии</w:t>
      </w:r>
    </w:p>
    <w:p w:rsidR="00F4654E" w:rsidRDefault="00F4654E">
      <w:pPr>
        <w:pStyle w:val="a6"/>
      </w:pPr>
      <w:r>
        <w:t>Резистентность к антибиотикам (в том числе и множественная) шир</w:t>
      </w:r>
      <w:r>
        <w:t>о</w:t>
      </w:r>
      <w:r>
        <w:t>ко распространена среди культур кишечной палочки и сальмонелл. Однако она может иметь значительные колебания в разных регионах в зависим</w:t>
      </w:r>
      <w:r>
        <w:t>о</w:t>
      </w:r>
      <w:r>
        <w:t>сти от интенсивности применения антимикробных препаратов и их ассо</w:t>
      </w:r>
      <w:r>
        <w:t>р</w:t>
      </w:r>
      <w:r>
        <w:t>тимента. При этом индивидуальными, даже самыми современными выс</w:t>
      </w:r>
      <w:r>
        <w:t>о</w:t>
      </w:r>
      <w:r>
        <w:t>коэффективными препаратами широкого спектра бывает трудно губител</w:t>
      </w:r>
      <w:r>
        <w:t>ь</w:t>
      </w:r>
      <w:r>
        <w:t>но воздействовать на разночувствительную микрофлору. Если ещё учесть генетические возможности микроорганизмов по достаточно быстрой с</w:t>
      </w:r>
      <w:r>
        <w:t>е</w:t>
      </w:r>
      <w:r>
        <w:t>лекции устойчивых к химиотерапевтическим препаратам рас возбудит</w:t>
      </w:r>
      <w:r>
        <w:t>е</w:t>
      </w:r>
      <w:r>
        <w:t>лей, станет понятной актуальность проблемы создания не только высоко, но и устойчиво эффективных композиционных средств лечения бактер</w:t>
      </w:r>
      <w:r>
        <w:t>и</w:t>
      </w:r>
      <w:r>
        <w:t>альных инфекций, особенно молодняка сельскохозяйственных животных. К таким средствам относится разработанный в отделе микробиологии, в</w:t>
      </w:r>
      <w:r>
        <w:t>и</w:t>
      </w:r>
      <w:r>
        <w:t>русологии и иммунологии ВНИВИПФиТ новый комплексный препарат пролонгированного действия – хинолевоксид.</w:t>
      </w:r>
    </w:p>
    <w:p w:rsidR="00F4654E" w:rsidRDefault="00F4654E">
      <w:pPr>
        <w:pStyle w:val="a6"/>
      </w:pPr>
      <w:r>
        <w:t>Антимикробную активность хинолевоксида изучали в опытах in vitro в отношении 24 референтных (музейных) и полевых (патогенных) культур микроорганизмов, типичных по морфологическим, тинкториальным, кул</w:t>
      </w:r>
      <w:r>
        <w:t>ь</w:t>
      </w:r>
      <w:r>
        <w:t>туральным, биохимическим и серологическим свойствам. Изучение ант</w:t>
      </w:r>
      <w:r>
        <w:t>и</w:t>
      </w:r>
      <w:r>
        <w:t>микробной активности препарата проводили методом двукратных сери</w:t>
      </w:r>
      <w:r>
        <w:t>й</w:t>
      </w:r>
      <w:r>
        <w:t>ных разведений его в жидкой питательной среде.</w:t>
      </w:r>
    </w:p>
    <w:p w:rsidR="00F4654E" w:rsidRDefault="00F4654E">
      <w:pPr>
        <w:pStyle w:val="a6"/>
      </w:pPr>
      <w:r>
        <w:t>Нами установлено, что хинолевоксид обладает широким спектром а</w:t>
      </w:r>
      <w:r>
        <w:t>н</w:t>
      </w:r>
      <w:r>
        <w:t>тимикробного действия в отношении всех испытанных культур микроо</w:t>
      </w:r>
      <w:r>
        <w:t>р</w:t>
      </w:r>
      <w:r>
        <w:t>ганизмов. Из музейных штаммов самая высокая чувствительность к преп</w:t>
      </w:r>
      <w:r>
        <w:t>а</w:t>
      </w:r>
      <w:r>
        <w:t>рату оказалась у двух серовариантов сальмонелл (Sal. dublin и Sal. typhi</w:t>
      </w:r>
      <w:r w:rsidR="00607793">
        <w:t xml:space="preserve"> </w:t>
      </w:r>
      <w:r>
        <w:t>murium). При добавлении в питательную среду хинолевоксида в количес</w:t>
      </w:r>
      <w:r>
        <w:t>т</w:t>
      </w:r>
      <w:r>
        <w:t>ве 1,9 мкг/мл рост указанных микроорганизмов прекращался, а концентр</w:t>
      </w:r>
      <w:r>
        <w:t>а</w:t>
      </w:r>
      <w:r>
        <w:t>ции 3,9 и 7,8 мкг/мл вызывали их гибель. Практически такая же чувств</w:t>
      </w:r>
      <w:r>
        <w:t>и</w:t>
      </w:r>
      <w:r>
        <w:t>тельность к исследуемому препарату была и у полевых штаммов E. coli O41 и E. coli O20, для которых минимальная бактериостатическая конце</w:t>
      </w:r>
      <w:r>
        <w:t>н</w:t>
      </w:r>
      <w:r>
        <w:t>трация составила 1,9 мкг/мл, а минимальная бактерицидная – от 1,9 до 3,9-7,8 мкг/мл, к тому же у E. coli O20 МБсК и МБцК оказались аналоги</w:t>
      </w:r>
      <w:r>
        <w:t>ч</w:t>
      </w:r>
      <w:r>
        <w:t xml:space="preserve">ными и составили 1,9 мкг/мл. Наиболее устойчивым к этому препарату оказался </w:t>
      </w:r>
      <w:r>
        <w:lastRenderedPageBreak/>
        <w:t>штамм синегнойной палочки, для которого минимальная подавляющая рост концентрация составила – 125 мкг/мл, а минимальная бакт</w:t>
      </w:r>
      <w:r>
        <w:t>е</w:t>
      </w:r>
      <w:r>
        <w:t>рицидная концентрация – 250-500 мкг/мл. Менее устойчивыми к действию препарата были эшерихии – E. coli О78, E. coli O138, E.coli О35, E. coli O8, E. coli O111 и две полевые культуры Sal. cholerae suis, для которых МБсК колеб</w:t>
      </w:r>
      <w:r>
        <w:t>а</w:t>
      </w:r>
      <w:r>
        <w:t>лась в пределах от 3,9 до 7,8 мкг/мл и МБцК от 7,8 до 31,25 мкг/мл, а также музейные культуры Sal. breslau и Staph. aureus. Среднюю чувств</w:t>
      </w:r>
      <w:r>
        <w:t>и</w:t>
      </w:r>
      <w:r>
        <w:t>тельность к препарату выявили у многих полевых и музейных штаммов кишечной палочки (E. coli 866, А20 и О126, О55, О141), а также у Sal. cholerae suis, Sal. typhi</w:t>
      </w:r>
      <w:r w:rsidR="00607793">
        <w:t xml:space="preserve"> </w:t>
      </w:r>
      <w:r>
        <w:t>murium и Sal. dublin, которые не росли на МПБ при концентрации в нём хинолевоксида от 15,6 и до 62,5 мкг/мл, а добавление его к пит</w:t>
      </w:r>
      <w:r>
        <w:t>а</w:t>
      </w:r>
      <w:r>
        <w:t>тельной среде в количестве соответственно 62,5 и 125 мкг/мл вызывало г</w:t>
      </w:r>
      <w:r>
        <w:t>и</w:t>
      </w:r>
      <w:r>
        <w:t>бель микроорганизмов. Такой же чувствительностью к хинолевоксиду о</w:t>
      </w:r>
      <w:r>
        <w:t>б</w:t>
      </w:r>
      <w:r>
        <w:t>ладали Prot. mirabilis и Citrobacter freundii, для которых минимальная ба</w:t>
      </w:r>
      <w:r>
        <w:t>к</w:t>
      </w:r>
      <w:r>
        <w:t>териостатическая концентрация составила 15,6 мкг/мл, а минимальная ба</w:t>
      </w:r>
      <w:r>
        <w:t>к</w:t>
      </w:r>
      <w:r>
        <w:t>терицидная концентрация была в пределах 31,25-15,6 мкг/мл. Причём, для протея обе концентрации (МБсК и МБцК) были од</w:t>
      </w:r>
      <w:r>
        <w:t>и</w:t>
      </w:r>
      <w:r>
        <w:t>наковыми и составили – 15,6 мкг/мл.</w:t>
      </w:r>
    </w:p>
    <w:p w:rsidR="00F4654E" w:rsidRDefault="00F4654E">
      <w:pPr>
        <w:pStyle w:val="a6"/>
      </w:pPr>
      <w:r>
        <w:t>Исходя из полученных данных, можно констатировать, что хинол</w:t>
      </w:r>
      <w:r>
        <w:t>е</w:t>
      </w:r>
      <w:r>
        <w:t>воксид в опытах in vitro зарекомендовал себя как препарат широкого спе</w:t>
      </w:r>
      <w:r>
        <w:t>к</w:t>
      </w:r>
      <w:r>
        <w:t>тра антимикробного действия, обладающий высокой активностью в отн</w:t>
      </w:r>
      <w:r>
        <w:t>о</w:t>
      </w:r>
      <w:r>
        <w:t>шении большинства тестируемых музейных (референтных) и полевых (эпизоотических) культур микроорганизмов.</w:t>
      </w:r>
    </w:p>
    <w:p w:rsidR="00F4654E" w:rsidRDefault="00F4654E">
      <w:pPr>
        <w:pStyle w:val="a4"/>
      </w:pPr>
      <w:r>
        <w:t>УДК 619:615.33:576.851.48/49</w:t>
      </w:r>
    </w:p>
    <w:p w:rsidR="00F4654E" w:rsidRDefault="00F4654E">
      <w:pPr>
        <w:pStyle w:val="1"/>
      </w:pPr>
      <w:bookmarkStart w:id="737" w:name="_Toc10731099"/>
      <w:bookmarkStart w:id="738" w:name="_Toc10731760"/>
      <w:bookmarkStart w:id="739" w:name="_Toc10891595"/>
      <w:bookmarkStart w:id="740" w:name="_Toc10892270"/>
      <w:bookmarkStart w:id="741" w:name="_Toc11390133"/>
      <w:bookmarkStart w:id="742" w:name="_Toc11839812"/>
      <w:bookmarkStart w:id="743" w:name="_Toc11937348"/>
      <w:r>
        <w:t>ИЗУЧЕНИЕ АДАПТАЦИИ И РЕАДАПТАЦИИ ЭШЕРИХИЙ И САЛЬМОНЕЛЛ К ХИНОЛЕВОКСИДУ</w:t>
      </w:r>
      <w:bookmarkEnd w:id="737"/>
      <w:bookmarkEnd w:id="738"/>
      <w:bookmarkEnd w:id="739"/>
      <w:bookmarkEnd w:id="740"/>
      <w:bookmarkEnd w:id="741"/>
      <w:bookmarkEnd w:id="742"/>
      <w:bookmarkEnd w:id="743"/>
    </w:p>
    <w:p w:rsidR="00F4654E" w:rsidRDefault="00F4654E">
      <w:pPr>
        <w:pStyle w:val="2"/>
      </w:pPr>
      <w:bookmarkStart w:id="744" w:name="_Toc10731100"/>
      <w:bookmarkStart w:id="745" w:name="_Toc10731761"/>
      <w:bookmarkStart w:id="746" w:name="_Toc10891596"/>
      <w:bookmarkStart w:id="747" w:name="_Toc10892271"/>
      <w:bookmarkStart w:id="748" w:name="_Toc11390134"/>
      <w:bookmarkStart w:id="749" w:name="_Toc11937349"/>
      <w:r>
        <w:t>Ащеулов В.В.</w:t>
      </w:r>
      <w:bookmarkEnd w:id="744"/>
      <w:bookmarkEnd w:id="745"/>
      <w:bookmarkEnd w:id="746"/>
      <w:bookmarkEnd w:id="747"/>
      <w:bookmarkEnd w:id="748"/>
      <w:bookmarkEnd w:id="749"/>
    </w:p>
    <w:p w:rsidR="00F4654E" w:rsidRDefault="00F4654E">
      <w:pPr>
        <w:pStyle w:val="a5"/>
      </w:pPr>
      <w:r>
        <w:t>Всероссийский НИВИ патологии, фармакологии и терапии</w:t>
      </w:r>
    </w:p>
    <w:p w:rsidR="00F4654E" w:rsidRDefault="00F4654E">
      <w:pPr>
        <w:pStyle w:val="a6"/>
      </w:pPr>
      <w:r>
        <w:t>Для терапии поросят, больных колибактериозом и сальмонеллёзом в отделе микробиологии, вирусологии и иммунологии ВНИВИПФиТ был создан новый комплексный препарат пролонгированного действия – хин</w:t>
      </w:r>
      <w:r>
        <w:t>о</w:t>
      </w:r>
      <w:r>
        <w:t>левоксид, обладающий широким спектром антибактериального действия.</w:t>
      </w:r>
    </w:p>
    <w:p w:rsidR="00F4654E" w:rsidRDefault="00F4654E">
      <w:pPr>
        <w:pStyle w:val="a6"/>
      </w:pPr>
      <w:r>
        <w:t>В опыте определяли возможность повышения устойчивости E coli О138 и Sal. cholerae suis к хинолевоксиду. Предварительно проводили ко</w:t>
      </w:r>
      <w:r>
        <w:t>н</w:t>
      </w:r>
      <w:r>
        <w:t>трольное определение антимикробной активности препарата в отношении указанных культур бактерий методом последовательных двукратных ра</w:t>
      </w:r>
      <w:r>
        <w:t>з</w:t>
      </w:r>
      <w:r>
        <w:t>ведений его в жидкой питательной среде, устанавливали минимальную концентрацию хинолевоксида, подавляющую рост микроорганизмов в МПБ. Кроме этого, определяли исходные культурально-морфологические и биохимические сво</w:t>
      </w:r>
      <w:r>
        <w:t>й</w:t>
      </w:r>
      <w:r>
        <w:t>ства эшерихий и сальмонелл.</w:t>
      </w:r>
    </w:p>
    <w:p w:rsidR="00F4654E" w:rsidRDefault="00F4654E">
      <w:pPr>
        <w:pStyle w:val="a6"/>
      </w:pPr>
      <w:r>
        <w:lastRenderedPageBreak/>
        <w:t>Минимальная бактериостатическая концентрация для E coli 0138 с</w:t>
      </w:r>
      <w:r>
        <w:t>о</w:t>
      </w:r>
      <w:r>
        <w:t>ставила 3,9 мкг/мл и для Sal. cholerae suis 7,8 мкг/мл. Ферментативная а</w:t>
      </w:r>
      <w:r>
        <w:t>к</w:t>
      </w:r>
      <w:r>
        <w:t>тивность эшерихий и сальмонелл соответствовала биохимическим свойс</w:t>
      </w:r>
      <w:r>
        <w:t>т</w:t>
      </w:r>
      <w:r>
        <w:t>вам, характерным для этих видов микроорганизмов. Развитие устойчив</w:t>
      </w:r>
      <w:r>
        <w:t>о</w:t>
      </w:r>
      <w:r>
        <w:t>сти бактерий к препарату происходило плавно и увеличилось у E. coli в т</w:t>
      </w:r>
      <w:r>
        <w:t>е</w:t>
      </w:r>
      <w:r>
        <w:t>чение 25 пассажей от 3,9 мкг/мл до 250 мкг/мл (коэффициент резистентн</w:t>
      </w:r>
      <w:r>
        <w:t>о</w:t>
      </w:r>
      <w:r>
        <w:t>сти = 64), и у Sal. cholerae suis от 7,8 мкг/мл до 500 мкг/мл в течение 30 пассажей (коэффициент резистентности = 64). После 25-го пассажа у эш</w:t>
      </w:r>
      <w:r>
        <w:t>е</w:t>
      </w:r>
      <w:r>
        <w:t>рихий и 30-го – у сальмонелл увеличение устойчивости их к хинолевокс</w:t>
      </w:r>
      <w:r>
        <w:t>и</w:t>
      </w:r>
      <w:r>
        <w:t>ду останавливалось. После 10-го пассажа у эшерихий и сальмонелл отм</w:t>
      </w:r>
      <w:r>
        <w:t>е</w:t>
      </w:r>
      <w:r>
        <w:t>чали относительно одн</w:t>
      </w:r>
      <w:r>
        <w:t>о</w:t>
      </w:r>
      <w:r>
        <w:t>типные изменения исходных культурально-морфологических и биохимич</w:t>
      </w:r>
      <w:r>
        <w:t>е</w:t>
      </w:r>
      <w:r>
        <w:t>ских признаков.</w:t>
      </w:r>
    </w:p>
    <w:p w:rsidR="00F4654E" w:rsidRDefault="00F4654E">
      <w:pPr>
        <w:pStyle w:val="a6"/>
      </w:pPr>
      <w:r>
        <w:t>Для решения вопроса о стабильности приобретённых свойств у эш</w:t>
      </w:r>
      <w:r>
        <w:t>е</w:t>
      </w:r>
      <w:r>
        <w:t>рихий и сальмонелл были проведены последовательные пассажи получе</w:t>
      </w:r>
      <w:r>
        <w:t>н</w:t>
      </w:r>
      <w:r>
        <w:t>ных адаптированных штаммов на МПБ, не содержащем хинолевоксид. При этом динамика реадаптации у E. coli О138 не соответствовала таковой у Sal. cholerae suis. МБсК хинолевоксида в отношении кишечной палочки длительно не изменялась и оставалась на уровне 250 мкг/мл в течение 10 пассажей. В течение последующих 25 пассажей происходило плавное сн</w:t>
      </w:r>
      <w:r>
        <w:t>и</w:t>
      </w:r>
      <w:r>
        <w:t>жение МБ</w:t>
      </w:r>
      <w:r>
        <w:rPr>
          <w:vertAlign w:val="subscript"/>
        </w:rPr>
        <w:t>с</w:t>
      </w:r>
      <w:r>
        <w:t>К препарата до первоначального уровня (3,9 мкг/мл). У сальм</w:t>
      </w:r>
      <w:r>
        <w:t>о</w:t>
      </w:r>
      <w:r>
        <w:t>неллы уменьшение резистентности к хинолевоксиду отмечали уже после 8 пассажа, и к шестнадцатому пассажу МБ</w:t>
      </w:r>
      <w:r>
        <w:rPr>
          <w:vertAlign w:val="subscript"/>
        </w:rPr>
        <w:t>с</w:t>
      </w:r>
      <w:r>
        <w:t>К препарата составила 62,5 мкг/мл. Восстановление прежней чувствительности сальмонелл к хинол</w:t>
      </w:r>
      <w:r>
        <w:t>е</w:t>
      </w:r>
      <w:r>
        <w:t>воксиду регистрировали через 32 пассажа (МБ</w:t>
      </w:r>
      <w:r>
        <w:rPr>
          <w:vertAlign w:val="subscript"/>
        </w:rPr>
        <w:t>с</w:t>
      </w:r>
      <w:r>
        <w:t>К – 7,8 мкг/мл). Культ</w:t>
      </w:r>
      <w:r>
        <w:t>у</w:t>
      </w:r>
      <w:r>
        <w:t>ральные и биохимические свойства адаптированных бактерий возвращ</w:t>
      </w:r>
      <w:r>
        <w:t>а</w:t>
      </w:r>
      <w:r>
        <w:t>лись к исходным через 35 пассажей у E coli О138 и через 32 пассажа у Sal. cholerae suis.</w:t>
      </w:r>
    </w:p>
    <w:p w:rsidR="00F4654E" w:rsidRDefault="00F4654E">
      <w:pPr>
        <w:pStyle w:val="a6"/>
      </w:pPr>
      <w:r>
        <w:t>Таким образом, можно сделать вывод, что при использовании хинол</w:t>
      </w:r>
      <w:r>
        <w:t>е</w:t>
      </w:r>
      <w:r>
        <w:t>воксида для терапии животных, больных колибактериозом и сальмонелл</w:t>
      </w:r>
      <w:r>
        <w:t>ё</w:t>
      </w:r>
      <w:r>
        <w:t>зом, возможно возникновение резистентных к химиопрепарату возбудит</w:t>
      </w:r>
      <w:r>
        <w:t>е</w:t>
      </w:r>
      <w:r>
        <w:t>лей инфекций. Однако, как показали наши исследования, эти изменения нестабильные, так как адаптированные к хинолевоксиду штаммы спосо</w:t>
      </w:r>
      <w:r>
        <w:t>б</w:t>
      </w:r>
      <w:r>
        <w:t>ны реве</w:t>
      </w:r>
      <w:r>
        <w:t>р</w:t>
      </w:r>
      <w:r>
        <w:t>сировать в исходные.</w:t>
      </w:r>
    </w:p>
    <w:p w:rsidR="00F4654E" w:rsidRDefault="00F4654E">
      <w:pPr>
        <w:pStyle w:val="a4"/>
      </w:pPr>
      <w:r>
        <w:t>УДК 619:616.085.</w:t>
      </w:r>
    </w:p>
    <w:p w:rsidR="00F4654E" w:rsidRDefault="00F4654E">
      <w:pPr>
        <w:pStyle w:val="1"/>
      </w:pPr>
      <w:bookmarkStart w:id="750" w:name="_Toc10731101"/>
      <w:bookmarkStart w:id="751" w:name="_Toc10731762"/>
      <w:bookmarkStart w:id="752" w:name="_Toc10891597"/>
      <w:bookmarkStart w:id="753" w:name="_Toc10892272"/>
      <w:bookmarkStart w:id="754" w:name="_Toc11390135"/>
      <w:bookmarkStart w:id="755" w:name="_Toc11839814"/>
      <w:bookmarkStart w:id="756" w:name="_Toc11937350"/>
      <w:r>
        <w:t>СРАВНИТЕЛЬНАЯ ЭФФЕКТИВНОСТЬ МЕТОДОВ ЛЕЧЕНИЯ ТЕЛЯТ, БОЛЬНЫХ ТИМПАНИЕЙ</w:t>
      </w:r>
      <w:bookmarkEnd w:id="750"/>
      <w:bookmarkEnd w:id="751"/>
      <w:bookmarkEnd w:id="752"/>
      <w:bookmarkEnd w:id="753"/>
      <w:bookmarkEnd w:id="754"/>
      <w:bookmarkEnd w:id="755"/>
      <w:bookmarkEnd w:id="756"/>
    </w:p>
    <w:p w:rsidR="00F4654E" w:rsidRDefault="00F4654E">
      <w:pPr>
        <w:pStyle w:val="2"/>
        <w:rPr>
          <w:i w:val="0"/>
        </w:rPr>
      </w:pPr>
      <w:bookmarkStart w:id="757" w:name="_Toc10731102"/>
      <w:bookmarkStart w:id="758" w:name="_Toc10731763"/>
      <w:bookmarkStart w:id="759" w:name="_Toc10891598"/>
      <w:bookmarkStart w:id="760" w:name="_Toc10892273"/>
      <w:bookmarkStart w:id="761" w:name="_Toc11390136"/>
      <w:bookmarkStart w:id="762" w:name="_Toc11937351"/>
      <w:r>
        <w:t>Бабкина Т.Н.,  Щебетовский Д.А.</w:t>
      </w:r>
      <w:bookmarkEnd w:id="757"/>
      <w:bookmarkEnd w:id="758"/>
      <w:bookmarkEnd w:id="759"/>
      <w:bookmarkEnd w:id="760"/>
      <w:bookmarkEnd w:id="761"/>
      <w:bookmarkEnd w:id="762"/>
    </w:p>
    <w:p w:rsidR="00F4654E" w:rsidRDefault="00F4654E">
      <w:pPr>
        <w:pStyle w:val="a5"/>
      </w:pPr>
      <w:r>
        <w:t>Донской государственный аграрный университет</w:t>
      </w:r>
    </w:p>
    <w:p w:rsidR="00F4654E" w:rsidRDefault="00F4654E">
      <w:pPr>
        <w:pStyle w:val="a6"/>
      </w:pPr>
      <w:r>
        <w:t xml:space="preserve">Внутренние незаразные болезни молодняка занимают наибольший удельный вес среди заболеваний крупного и мелкого рогатого скота. Так по данным В.Г. Таллера, В.В. Букова (2001) в России процент молодняка </w:t>
      </w:r>
      <w:r>
        <w:lastRenderedPageBreak/>
        <w:t>крупного рогатого скота, переболевшего незаразными заболеваниями, с</w:t>
      </w:r>
      <w:r>
        <w:t>о</w:t>
      </w:r>
      <w:r>
        <w:t>ставил 78,6, из них болезнями органов пищеварения 41,8.</w:t>
      </w:r>
    </w:p>
    <w:p w:rsidR="00F4654E" w:rsidRDefault="00F4654E">
      <w:pPr>
        <w:pStyle w:val="a6"/>
      </w:pPr>
      <w:r>
        <w:t>В настоящее время разработаны и внедрены в практику научно-обо-снованные методы профилактики и лечения больных животных с дист</w:t>
      </w:r>
      <w:r>
        <w:t>о</w:t>
      </w:r>
      <w:r>
        <w:t>ниями преджелудков. Но не все хозяйства могут приобрести лекарстве</w:t>
      </w:r>
      <w:r>
        <w:t>н</w:t>
      </w:r>
      <w:r>
        <w:t>ные препараты, дающие высокий экономический эффект. В связи с этим мы поставили задачу применить доступные лекарственные средства для хозяйств и определить экономическую эффективность разных методов л</w:t>
      </w:r>
      <w:r>
        <w:t>е</w:t>
      </w:r>
      <w:r>
        <w:t xml:space="preserve">чения телят, больных тимпанией.                                                                </w:t>
      </w:r>
    </w:p>
    <w:p w:rsidR="00F4654E" w:rsidRDefault="00F4654E">
      <w:pPr>
        <w:pStyle w:val="a6"/>
      </w:pPr>
      <w:r>
        <w:t>Работа выполнялась в учхозе «Донское» Октябрьского района Росто</w:t>
      </w:r>
      <w:r>
        <w:t>в</w:t>
      </w:r>
      <w:r>
        <w:t>ской области. Опыты проводили на 21 теленке, больных тимпанией, в во</w:t>
      </w:r>
      <w:r>
        <w:t>з</w:t>
      </w:r>
      <w:r>
        <w:t>расте 4-5 месяцев.</w:t>
      </w:r>
    </w:p>
    <w:p w:rsidR="00F4654E" w:rsidRDefault="00F4654E">
      <w:pPr>
        <w:pStyle w:val="a6"/>
      </w:pPr>
      <w:r>
        <w:t>Возникновение тимпании у телят в учхозе «Донское» обусловлено взаимосвязью ряда причин, тесно связанных с кормлением животных и технологией их содержания, а именно дачей горохового сена со стручками гороха в большом количестве и гиподинамия, выражающаяся в отсутствии моциона. Анализируя данные питательности рациона телят, мы отметили, что по общей питательности рацион не соответствует потребности живо</w:t>
      </w:r>
      <w:r>
        <w:t>т</w:t>
      </w:r>
      <w:r>
        <w:t>ных. Недостаток переваримого протеина составил 53.1 г, сахара 252 г, кальция 9 г, фосфора 9.7 г, каротина 12.8 мг. При скармливании рациона с низким уровнем протеина и легкопереваримых углеводов, а также недо</w:t>
      </w:r>
      <w:r>
        <w:t>с</w:t>
      </w:r>
      <w:r>
        <w:t>таток минеральных веществ нарушает активность микрофлоры рубца, снижает численность полезной микрофлоры. Возникают атонии и гипот</w:t>
      </w:r>
      <w:r>
        <w:t>о</w:t>
      </w:r>
      <w:r>
        <w:t>нии преджелудков, вследствие нарушается продвижение содержимого в последующие отделы пищеварительного тракта, наступает застой корм</w:t>
      </w:r>
      <w:r>
        <w:t>о</w:t>
      </w:r>
      <w:r>
        <w:t>вых масс, сопровождающийся тимпанией рубца. Диагноз  на тимпанию ставили на основании анамнестических данных (нарушение технологий кормления и содержания телят), клинических признаков (беспокойство, снижение и отсутствие аппетита, гипотония и атония преджелудков, взд</w:t>
      </w:r>
      <w:r>
        <w:t>у</w:t>
      </w:r>
      <w:r>
        <w:t>тие рубца – тимпанический звук, частое принятие позы для дефекации, выделение фекалий жидкой консистенции).</w:t>
      </w:r>
    </w:p>
    <w:p w:rsidR="00F4654E" w:rsidRDefault="00F4654E">
      <w:pPr>
        <w:pStyle w:val="a6"/>
      </w:pPr>
      <w:r>
        <w:t>Эффективность методов лечения определяли на трех группах телят, больных тимпанией, по 7 голов в каждой. Телятам 1 группы применяли внутрь 25 г окиси магния и 5 мл настойки белой чемерицы, разведенных в 250 мл теплой прокипяченной воды, 1 раз в день в течение 3-х дней.   Т</w:t>
      </w:r>
      <w:r>
        <w:t>е</w:t>
      </w:r>
      <w:r>
        <w:t>лятам 2 группы применяли внутрь 30 г активированного угля и 5 мл н</w:t>
      </w:r>
      <w:r>
        <w:t>а</w:t>
      </w:r>
      <w:r>
        <w:t>стойки белой чемерицы, 1 раз в день в течение 5 дней. Телятам 3 группы применяли внутрь 5 мл настойки белой чемерицы, 5 г ихтиола, 50 мл эт</w:t>
      </w:r>
      <w:r>
        <w:t>и</w:t>
      </w:r>
      <w:r>
        <w:t>лового спирта, разведенных в 1 л воды, 1 раз в день в течение 3-х дней.</w:t>
      </w:r>
    </w:p>
    <w:p w:rsidR="00F4654E" w:rsidRDefault="00F4654E">
      <w:pPr>
        <w:pStyle w:val="a6"/>
      </w:pPr>
      <w:r>
        <w:t>В процессе лечения отметили, что общее состояние телят 1 и 3 групп улучшилось уже к концу первого дня, на второй день появился аппетит, кал сформирован и на 3 день наступило полное выздоровление. Во 2 гру</w:t>
      </w:r>
      <w:r>
        <w:t>п</w:t>
      </w:r>
      <w:r>
        <w:t xml:space="preserve">пе выздоровление наступило на 5 день. При комплексном обследовании </w:t>
      </w:r>
      <w:r>
        <w:lastRenderedPageBreak/>
        <w:t>отмечали, что как до, так и после лечения, во всех 3-х группах температура тела соответствовала пределам физиологических колебаний и составила 38.2-39.1˚С. Наблюдалось учащение пульса до лечения в первой группе до 92, во второй до 85, в третьей до 85 ударов в минуту, после лечения пульс составил соответственно: 80,7±7,83 ударов в минуту (Р&lt;0,001;0,001). К</w:t>
      </w:r>
      <w:r>
        <w:t>о</w:t>
      </w:r>
      <w:r>
        <w:t>личество дыхательных движений в минуту после лечения снизилось в пе</w:t>
      </w:r>
      <w:r>
        <w:t>р</w:t>
      </w:r>
      <w:r>
        <w:t>вой группе  до 22, против исходного 27 (Р&lt;0,001); во второй до 22 против 28 (Р&lt;0,001); в третьей группе до 23 против 27 (Р&lt;0,001). Число сокращ</w:t>
      </w:r>
      <w:r>
        <w:t>е</w:t>
      </w:r>
      <w:r>
        <w:t>ний рубца в 2 минуты увеличилось до нормы в первой до 3 (Р&lt;0,001); во второй до 3 (Р&lt;0,001); в третьей до 4 (Р&lt;0,001) против исходных цифр с</w:t>
      </w:r>
      <w:r>
        <w:t>о</w:t>
      </w:r>
      <w:r>
        <w:t xml:space="preserve">ответственно: 0,5;0,4;0,4. </w:t>
      </w:r>
    </w:p>
    <w:p w:rsidR="00F4654E" w:rsidRDefault="00F4654E">
      <w:pPr>
        <w:pStyle w:val="a6"/>
      </w:pPr>
      <w:r>
        <w:t>При гематологическом исследовании отметили, что показатели эри</w:t>
      </w:r>
      <w:r>
        <w:t>т</w:t>
      </w:r>
      <w:r>
        <w:t>роцитов, лейкоцитов и гемоглобина как до, так и после лечения наход</w:t>
      </w:r>
      <w:r>
        <w:t>и</w:t>
      </w:r>
      <w:r>
        <w:t xml:space="preserve">лись в пределах физиологических показателей. </w:t>
      </w:r>
    </w:p>
    <w:p w:rsidR="00F4654E" w:rsidRDefault="00F4654E">
      <w:pPr>
        <w:pStyle w:val="a6"/>
      </w:pPr>
      <w:r>
        <w:t>При исследовании рубцового содержимого отметили, что у больных животных рН была в пределах от 5,5 до 6, у здоровых 6,3-7. Количество инфузорий после лечения увеличилось в первой группе до 789 тыс/мл (Р&lt;0,001); во второй группе до 744 тыс/мл (Р&lt;0,001); в третьей группе до 419 тыс/мл (Р&lt;0,001) против исходных цифр соответственно 162; 156; 158 тыс/мл. Ферментативная активность после лечения ускорена в первой группе до 3,4 мин (Р&lt;0,001); во второй группе до 3 мин (Р&lt;0,001); в трет</w:t>
      </w:r>
      <w:r>
        <w:t>ь</w:t>
      </w:r>
      <w:r>
        <w:t>ей группе до 3,9 мин (Р&lt;0,001) против исходных цифр соответственно 31; 29; 33. Наличие в рубце большого количества инфузорий (более 700 тыс/мл) и многообразных форм (в первой и второй группах) свидетельс</w:t>
      </w:r>
      <w:r>
        <w:t>т</w:t>
      </w:r>
      <w:r>
        <w:t>вует о нормальном течении ферментативных процессов в рубце. При н</w:t>
      </w:r>
      <w:r>
        <w:t>а</w:t>
      </w:r>
      <w:r>
        <w:t>рушении рубцового пищеварения у больных телят видовой состав пр</w:t>
      </w:r>
      <w:r>
        <w:t>о</w:t>
      </w:r>
      <w:r>
        <w:t>стейших представлен мелкими инфузориями (род Entodinium) и количес</w:t>
      </w:r>
      <w:r>
        <w:t>т</w:t>
      </w:r>
      <w:r>
        <w:t>во инфузорий не превышает 200 тыс/мл. При подсчете количества инфуз</w:t>
      </w:r>
      <w:r>
        <w:t>о</w:t>
      </w:r>
      <w:r>
        <w:t>рий в рубцовом содержимом, в поле зрения во всех группах у телят, бол</w:t>
      </w:r>
      <w:r>
        <w:t>ь</w:t>
      </w:r>
      <w:r>
        <w:t>ных тимпанией, инфузории представлены мелкими (род Entodinium), реже средними (род Diplodinium). После лечения в первой и второй группах и</w:t>
      </w:r>
      <w:r>
        <w:t>н</w:t>
      </w:r>
      <w:r>
        <w:t>фузории представлены мелкими, средними и крупными размерами (род Entodinium и Ophryoscolex). В третьей группе видовой состав инфузорий представлен мелкими и средними размерами, редко крупными, это, вид</w:t>
      </w:r>
      <w:r>
        <w:t>и</w:t>
      </w:r>
      <w:r>
        <w:t>мо, связано с прим</w:t>
      </w:r>
      <w:r>
        <w:t>е</w:t>
      </w:r>
      <w:r>
        <w:t>нением ихтиола.</w:t>
      </w:r>
    </w:p>
    <w:p w:rsidR="00F4654E" w:rsidRDefault="00F4654E">
      <w:pPr>
        <w:pStyle w:val="a6"/>
      </w:pPr>
      <w:r>
        <w:t>В сравнительном аспекте видно, что при применении методов лечения в первой и второй группах количество инфузорий в 1,5 раза больше, чем в третьей группе, т.е. лекарственные препараты, используемые при лечении в первой и второй группе (окись магния, настойка белой чемерицы, акт</w:t>
      </w:r>
      <w:r>
        <w:t>и</w:t>
      </w:r>
      <w:r>
        <w:t>вированный уголь) оказывают благоприятное воздействие на размножение инфузорий в рубце.</w:t>
      </w:r>
    </w:p>
    <w:p w:rsidR="00F4654E" w:rsidRDefault="00F4654E">
      <w:pPr>
        <w:pStyle w:val="a6"/>
      </w:pPr>
      <w:r>
        <w:t>Сравнивая три метода лечения телят, больных тимпанией, мы отмет</w:t>
      </w:r>
      <w:r>
        <w:t>и</w:t>
      </w:r>
      <w:r>
        <w:t>ли что во всех группах выздоровели все животные, терапевтический э</w:t>
      </w:r>
      <w:r>
        <w:t>ф</w:t>
      </w:r>
      <w:r>
        <w:lastRenderedPageBreak/>
        <w:t>фект составил 100%. Курс лечения  впервой и третьей группах составил 3 дня, во второй 5 дней. Экономический эффект на 1 рубль затрат составил в первой группе 42,4 руб., во второй группе получен отрицательный резул</w:t>
      </w:r>
      <w:r>
        <w:t>ь</w:t>
      </w:r>
      <w:r>
        <w:t xml:space="preserve">тат, а в третьей группе 12,43 руб.  </w:t>
      </w:r>
    </w:p>
    <w:p w:rsidR="00F4654E" w:rsidRDefault="00F4654E">
      <w:pPr>
        <w:pStyle w:val="a4"/>
      </w:pPr>
      <w:r>
        <w:t>УДК 619:616.98:578.835.1:636.4:615.371</w:t>
      </w:r>
    </w:p>
    <w:p w:rsidR="00F4654E" w:rsidRDefault="00F4654E">
      <w:pPr>
        <w:pStyle w:val="1"/>
      </w:pPr>
      <w:bookmarkStart w:id="763" w:name="_Toc10731103"/>
      <w:bookmarkStart w:id="764" w:name="_Toc10731764"/>
      <w:bookmarkStart w:id="765" w:name="_Toc10891599"/>
      <w:bookmarkStart w:id="766" w:name="_Toc10892274"/>
      <w:bookmarkStart w:id="767" w:name="_Toc11390137"/>
      <w:bookmarkStart w:id="768" w:name="_Toc11839816"/>
      <w:bookmarkStart w:id="769" w:name="_Toc11937352"/>
      <w:r>
        <w:t>Полиштаммовая эмульсионная инактивированная вакцина  ВНИИЗЖ для иммунопрофилактики трансмиссивного гастроэнтерита  поросят</w:t>
      </w:r>
      <w:bookmarkEnd w:id="763"/>
      <w:bookmarkEnd w:id="764"/>
      <w:bookmarkEnd w:id="765"/>
      <w:bookmarkEnd w:id="766"/>
      <w:bookmarkEnd w:id="767"/>
      <w:bookmarkEnd w:id="768"/>
      <w:bookmarkEnd w:id="769"/>
    </w:p>
    <w:p w:rsidR="00F4654E" w:rsidRDefault="00F4654E">
      <w:pPr>
        <w:pStyle w:val="2"/>
      </w:pPr>
      <w:bookmarkStart w:id="770" w:name="_Toc10731104"/>
      <w:bookmarkStart w:id="771" w:name="_Toc10731765"/>
      <w:bookmarkStart w:id="772" w:name="_Toc10891600"/>
      <w:bookmarkStart w:id="773" w:name="_Toc10892275"/>
      <w:bookmarkStart w:id="774" w:name="_Toc11390138"/>
      <w:bookmarkStart w:id="775" w:name="_Toc11937353"/>
      <w:r>
        <w:t xml:space="preserve">Байбиков Т.З., Пузанкова О.С., Кукушкин С.А., </w:t>
      </w:r>
      <w:r>
        <w:br/>
        <w:t>Рахманов А. М., Толокнов А.С.</w:t>
      </w:r>
      <w:bookmarkEnd w:id="770"/>
      <w:bookmarkEnd w:id="771"/>
      <w:bookmarkEnd w:id="772"/>
      <w:bookmarkEnd w:id="773"/>
      <w:bookmarkEnd w:id="774"/>
      <w:bookmarkEnd w:id="775"/>
    </w:p>
    <w:p w:rsidR="00F4654E" w:rsidRDefault="00F4654E">
      <w:pPr>
        <w:pStyle w:val="a5"/>
      </w:pPr>
      <w:r>
        <w:t>Всероссийский научно-исследовательский  институт защиты животных</w:t>
      </w:r>
    </w:p>
    <w:p w:rsidR="00F4654E" w:rsidRDefault="00F4654E">
      <w:pPr>
        <w:pStyle w:val="a6"/>
      </w:pPr>
      <w:r>
        <w:t>Среди инфекционных болезней поросят особое значение имеет тран</w:t>
      </w:r>
      <w:r>
        <w:t>с</w:t>
      </w:r>
      <w:r>
        <w:t>миссивный гастроэнтерит (ТГЭС), летальность при котором может дост</w:t>
      </w:r>
      <w:r>
        <w:t>и</w:t>
      </w:r>
      <w:r>
        <w:t>гать 80-100% (Г.Г. Рухадзе и др.,1993; В.Ф. Васильев,1997; А.С. Ястр</w:t>
      </w:r>
      <w:r>
        <w:t>е</w:t>
      </w:r>
      <w:r>
        <w:t>бов,1999). В настоящее время главным направлением борьбы с ТГЭС явл</w:t>
      </w:r>
      <w:r>
        <w:t>я</w:t>
      </w:r>
      <w:r>
        <w:t>ется активная иммунизация против этой вирусной болезни свиноматок, с молозивом и молоком от которых специфические антитела поступают в организм новорожденных поросят и обеспечивают их защиту (Ю.П. Шк</w:t>
      </w:r>
      <w:r>
        <w:t>а</w:t>
      </w:r>
      <w:r>
        <w:t>бура,1999; Б.Г. Орлянкин, Т. И. Алипер,2001; Т.И. Алипер и др.,2002). В нашей стране и за рубежом созданы разнообразные вакцины, однако э</w:t>
      </w:r>
      <w:r>
        <w:t>ф</w:t>
      </w:r>
      <w:r>
        <w:t>фективность их, особенно инактивированных, во многих случаях недост</w:t>
      </w:r>
      <w:r>
        <w:t>а</w:t>
      </w:r>
      <w:r>
        <w:t>точна, поэтому широкое применение до сих пор имеют так называемые “тканевые” вакцины, изготовляемые  непосредственно в свинохозя</w:t>
      </w:r>
      <w:r>
        <w:t>й</w:t>
      </w:r>
      <w:r>
        <w:t>ствах.</w:t>
      </w:r>
    </w:p>
    <w:p w:rsidR="00F4654E" w:rsidRDefault="00F4654E">
      <w:pPr>
        <w:pStyle w:val="a6"/>
      </w:pPr>
      <w:r>
        <w:t>В настоящем сообщении приведены основные результаты по разр</w:t>
      </w:r>
      <w:r>
        <w:t>а</w:t>
      </w:r>
      <w:r>
        <w:t>ботке и применению полиштаммовой эмульсионной инактивированной вакцины против ТГЭС. При проведении эпизоотологического и серолог</w:t>
      </w:r>
      <w:r>
        <w:t>и</w:t>
      </w:r>
      <w:r>
        <w:t>ческого мониторинга в свиноводческих хозяйствах был выделен ряд из</w:t>
      </w:r>
      <w:r>
        <w:t>о</w:t>
      </w:r>
      <w:r>
        <w:t>лятов вируса ТГЭС. Из них после детального изучения в сравнении со штаммами “ВГНКИ”, “Miller” и “Purdue” три выделенные изолята: “Иль</w:t>
      </w:r>
      <w:r>
        <w:t>и</w:t>
      </w:r>
      <w:r>
        <w:t>ногорский”, “Краснодонский” и “Ленинградский” были адаптиров</w:t>
      </w:r>
      <w:r>
        <w:t>а</w:t>
      </w:r>
      <w:r>
        <w:t>ны к перевиваемой линии клеток почки эмбриона свиньи (СПЭВ), опред</w:t>
      </w:r>
      <w:r>
        <w:t>е</w:t>
      </w:r>
      <w:r>
        <w:t>лена степень их вирулентности для  “домолозивных” поросят и антигенная а</w:t>
      </w:r>
      <w:r>
        <w:t>к</w:t>
      </w:r>
      <w:r>
        <w:t>тивность. Результаты изучения иммунобиологических свойств выделе</w:t>
      </w:r>
      <w:r>
        <w:t>н</w:t>
      </w:r>
      <w:r>
        <w:t>ных изолятов, а также сравнительный анализ нуклеотидной последовательн</w:t>
      </w:r>
      <w:r>
        <w:t>о</w:t>
      </w:r>
      <w:r>
        <w:t>сти их генов (проведен В.Г. Андреевым и А.Г. Щербаковым) пок</w:t>
      </w:r>
      <w:r>
        <w:t>а</w:t>
      </w:r>
      <w:r>
        <w:t>зали, что они существенно различаются между собой.</w:t>
      </w:r>
    </w:p>
    <w:p w:rsidR="00F4654E" w:rsidRDefault="00F4654E">
      <w:pPr>
        <w:pStyle w:val="a6"/>
      </w:pPr>
      <w:r>
        <w:t>В дальнейшем эти штаммы путем 24-30-часовой репродукции в  ро</w:t>
      </w:r>
      <w:r>
        <w:t>л</w:t>
      </w:r>
      <w:r>
        <w:t>лерных сосудах с культурой клеток СПЭВ были использованы для изг</w:t>
      </w:r>
      <w:r>
        <w:t>о</w:t>
      </w:r>
      <w:r>
        <w:t>товления полиштаммовой вакцины. При отработке режимов инактивации  было установлено, что аминоэтилэтиленимин  надежно инактивирует в</w:t>
      </w:r>
      <w:r>
        <w:t>и</w:t>
      </w:r>
      <w:r>
        <w:t>рус ТГЭС.</w:t>
      </w:r>
    </w:p>
    <w:p w:rsidR="00F4654E" w:rsidRDefault="00F4654E">
      <w:pPr>
        <w:pStyle w:val="a6"/>
      </w:pPr>
      <w:r>
        <w:lastRenderedPageBreak/>
        <w:t>Известно, что эффективность инактивированных вакцин для свиней и их реактогенность во многом зависит от применяемых для изготовления адъювантов. В наших опытах в разных соотношениях с инактивированным вирусом были использованы адъювант ВНИИЗЖ на основе минерального  масла Marcol 52 (ESSO, Франция), адъюванты Montanide ISA-70, ISA-206, ISM-1113, ISM-2214 (Seppic, Франция), ГОА-3,5% (Россия), эмульсаген (США). Сравнительное изучение на кроликах, белых мышах и свиньях о</w:t>
      </w:r>
      <w:r>
        <w:t>б</w:t>
      </w:r>
      <w:r>
        <w:t>разцов вакцин, приготовленных с указанными адъювантами, показало ар</w:t>
      </w:r>
      <w:r>
        <w:t>е</w:t>
      </w:r>
      <w:r>
        <w:t>актогенность эмульсагена и адъюванта Montanide ISA-2214,  слабую реа</w:t>
      </w:r>
      <w:r>
        <w:t>к</w:t>
      </w:r>
      <w:r>
        <w:t>тогенность адъюванта Montanide ISA-70 и умеренную реактогенность адъювантов ВНИИЗЖ, Montanide  ISA-206, ISM-1113 и ГОА.</w:t>
      </w:r>
    </w:p>
    <w:p w:rsidR="00F4654E" w:rsidRDefault="00F4654E">
      <w:pPr>
        <w:pStyle w:val="a6"/>
      </w:pPr>
      <w:r>
        <w:t>При изучении иммунногенных свойств вакцин с различными адъ</w:t>
      </w:r>
      <w:r>
        <w:t>ю</w:t>
      </w:r>
      <w:r>
        <w:t>вантами было отмечено, что в сыворотках крови кроликов, двукратно и</w:t>
      </w:r>
      <w:r>
        <w:t>м</w:t>
      </w:r>
      <w:r>
        <w:t>мунизированных с интервалом в 14 дней, обнаруживали высокие титры специфических антител (к 28 дню от 6.0 до 8.5 log</w:t>
      </w:r>
      <w:r>
        <w:rPr>
          <w:vertAlign w:val="subscript"/>
        </w:rPr>
        <w:t>2</w:t>
      </w:r>
      <w:r>
        <w:t>). Более высокие титры антител установлены в сыворотках крови кроликов, иммунизированных образцами вакцин с адъювантами ВНИИЗЖ, Montanide  ISA-70  и эмульс</w:t>
      </w:r>
      <w:r>
        <w:t>а</w:t>
      </w:r>
      <w:r>
        <w:t xml:space="preserve">геном. </w:t>
      </w:r>
    </w:p>
    <w:p w:rsidR="00F4654E" w:rsidRDefault="00F4654E">
      <w:pPr>
        <w:pStyle w:val="a6"/>
      </w:pPr>
      <w:r>
        <w:t>Антитела определяли с помощью специально разработанной реакции микронейтрализации, отвечающей рекомендациям Международного Эп</w:t>
      </w:r>
      <w:r>
        <w:t>и</w:t>
      </w:r>
      <w:r>
        <w:t>зоотического Бюро (МЭБ) для количественного определения антител пр</w:t>
      </w:r>
      <w:r>
        <w:t>о</w:t>
      </w:r>
      <w:r>
        <w:t>тив вируса ТГЭС в сыворотках крови и молозиве у свиней для определения иммунного фона и ретроспективной диагностики болезни.</w:t>
      </w:r>
    </w:p>
    <w:p w:rsidR="00F4654E" w:rsidRDefault="00F4654E">
      <w:pPr>
        <w:pStyle w:val="a6"/>
      </w:pPr>
      <w:r>
        <w:t>Полиштаммовую вакцину готовили путем смешивания в равных соо</w:t>
      </w:r>
      <w:r>
        <w:t>т</w:t>
      </w:r>
      <w:r>
        <w:t>ношениях инактивированного культурального вируса трех штаммов с ти</w:t>
      </w:r>
      <w:r>
        <w:t>т</w:t>
      </w:r>
      <w:r>
        <w:t xml:space="preserve">рами 7.5 - 8.0 lg ТЦД </w:t>
      </w:r>
      <w:r>
        <w:rPr>
          <w:vertAlign w:val="subscript"/>
        </w:rPr>
        <w:t>50/мл</w:t>
      </w:r>
      <w:r>
        <w:t>. Вирусное сырье и адъювант смешивали в соо</w:t>
      </w:r>
      <w:r>
        <w:t>т</w:t>
      </w:r>
      <w:r>
        <w:t>ношении 2:3 с последующим эмульгированием и образованием стойкой эмульсии типа “вода-масло”. Полученную вакцину испытывали на крол</w:t>
      </w:r>
      <w:r>
        <w:t>и</w:t>
      </w:r>
      <w:r>
        <w:t>ках и подсвинках, которым ее  вводили двукратно с интервалом 14 дней в дозе 2мл. Через 30 дней после иммунизации в сыворотке крови животных обнаруживали специфические антитела против всех трех штаммов вируса ТГЭС в достаточно высоких титрах (7.5-8.78 log</w:t>
      </w:r>
      <w:r>
        <w:rPr>
          <w:vertAlign w:val="subscript"/>
        </w:rPr>
        <w:t>2</w:t>
      </w:r>
      <w:r>
        <w:t xml:space="preserve">). </w:t>
      </w:r>
    </w:p>
    <w:p w:rsidR="00F4654E" w:rsidRDefault="00F4654E">
      <w:pPr>
        <w:pStyle w:val="a6"/>
      </w:pPr>
      <w:r>
        <w:t>При испытании эффективности полиштаммовой вакцины в условиях свинокомплексов ее вводили внутримышечно в дозе 2мл супоросным св</w:t>
      </w:r>
      <w:r>
        <w:t>и</w:t>
      </w:r>
      <w:r>
        <w:t>номаткам дважды в период 75-85 и 95-100 -дневной супоросности. Пробы крови от них отбирали до вакцинации и в день опороса, пробы молозива получали через 3-7 часов после опороса. При исследовании отобранных проб было установлено наличие в сыворотках крови высоких титров ант</w:t>
      </w:r>
      <w:r>
        <w:t>и</w:t>
      </w:r>
      <w:r>
        <w:t>тел против всех трех штаммов вируса ТГЭС (9.35-10.78 log</w:t>
      </w:r>
      <w:r>
        <w:rPr>
          <w:vertAlign w:val="subscript"/>
        </w:rPr>
        <w:t>2</w:t>
      </w:r>
      <w:r>
        <w:t>). Титры ант</w:t>
      </w:r>
      <w:r>
        <w:t>и</w:t>
      </w:r>
      <w:r>
        <w:t>тел в молозиве были на 1.5-3.0 log</w:t>
      </w:r>
      <w:r>
        <w:rPr>
          <w:vertAlign w:val="subscript"/>
        </w:rPr>
        <w:t xml:space="preserve">2 </w:t>
      </w:r>
      <w:r>
        <w:t xml:space="preserve"> выше и достигали 12.41 log</w:t>
      </w:r>
      <w:r>
        <w:rPr>
          <w:vertAlign w:val="subscript"/>
        </w:rPr>
        <w:t>2</w:t>
      </w:r>
      <w:r>
        <w:t>. В сыв</w:t>
      </w:r>
      <w:r>
        <w:t>о</w:t>
      </w:r>
      <w:r>
        <w:t>ротке крови однодневных поросят- сосунов титры антител против трех штаммов колебались в пределах от 7.58 до 9.75 log</w:t>
      </w:r>
      <w:r>
        <w:rPr>
          <w:vertAlign w:val="subscript"/>
        </w:rPr>
        <w:t>2</w:t>
      </w:r>
      <w:r>
        <w:t xml:space="preserve">. </w:t>
      </w:r>
    </w:p>
    <w:p w:rsidR="00F4654E" w:rsidRDefault="00F4654E">
      <w:pPr>
        <w:pStyle w:val="a6"/>
      </w:pPr>
      <w:r>
        <w:lastRenderedPageBreak/>
        <w:t>С целью установления длительности колострального иммунитета б</w:t>
      </w:r>
      <w:r>
        <w:t>ы</w:t>
      </w:r>
      <w:r>
        <w:t>ли проведены систематические исследования сывороток крови  поросят, полученных в 5 хозяйствах от свиноматок, иммунизированных полишта</w:t>
      </w:r>
      <w:r>
        <w:t>м</w:t>
      </w:r>
      <w:r>
        <w:t>мовой вакциной. Титры антител в сыворотке крови поросят в возрасте до 10 дней колебались от 7.83 до 11.8 log</w:t>
      </w:r>
      <w:r>
        <w:rPr>
          <w:vertAlign w:val="subscript"/>
        </w:rPr>
        <w:t>2</w:t>
      </w:r>
      <w:r>
        <w:t>. К 15-17 дням уровень антител с</w:t>
      </w:r>
      <w:r>
        <w:t>у</w:t>
      </w:r>
      <w:r>
        <w:t>щественно не изменяется, а затем значительно снижается, но остается еще на довольно высоком уровне (6.3-9.0 log</w:t>
      </w:r>
      <w:r>
        <w:rPr>
          <w:vertAlign w:val="subscript"/>
        </w:rPr>
        <w:t>2</w:t>
      </w:r>
      <w:r>
        <w:t>) до месячного возраста. Следов</w:t>
      </w:r>
      <w:r>
        <w:t>а</w:t>
      </w:r>
      <w:r>
        <w:t xml:space="preserve">тельно, циркуляция колостральных антител в высоких титрах  у поросят продолжается до месячного возраста. При экспериментальном заражении вирусом ТГЭС двухдневных поросят, родившихся от вакцинированных свиноматок,  70% их оставались живыми, в то время как полученные от непривитых свиноматок все погибли. </w:t>
      </w:r>
    </w:p>
    <w:p w:rsidR="00F4654E" w:rsidRDefault="00F4654E">
      <w:pPr>
        <w:pStyle w:val="a6"/>
      </w:pPr>
      <w:r>
        <w:t>При сравнительном изучении иммуногености поли- и моноштамм</w:t>
      </w:r>
      <w:r>
        <w:t>о</w:t>
      </w:r>
      <w:r>
        <w:t>вых вакцин титры антител в сыворотке крови свиноматок, привитых п</w:t>
      </w:r>
      <w:r>
        <w:t>о</w:t>
      </w:r>
      <w:r>
        <w:t>лиштаммовой вакциной, были на 1.0-1.5 log</w:t>
      </w:r>
      <w:r>
        <w:rPr>
          <w:vertAlign w:val="subscript"/>
        </w:rPr>
        <w:t>2</w:t>
      </w:r>
      <w:r>
        <w:t xml:space="preserve"> выше, чем у свиноматок, и</w:t>
      </w:r>
      <w:r>
        <w:t>м</w:t>
      </w:r>
      <w:r>
        <w:t xml:space="preserve">мунизированных моновалентными вакцинами Вакцина не снижала своей иммуногенности при хранении в течение 6 мес. при температуре </w:t>
      </w:r>
      <w:r>
        <w:sym w:font="Symbol" w:char="F02B"/>
      </w:r>
      <w:r>
        <w:t>6</w:t>
      </w:r>
      <w:r>
        <w:sym w:font="Symbol" w:char="F0B1"/>
      </w:r>
      <w:r>
        <w:t>1</w:t>
      </w:r>
      <w:r>
        <w:rPr>
          <w:vertAlign w:val="superscript"/>
        </w:rPr>
        <w:t>0</w:t>
      </w:r>
      <w:r>
        <w:t xml:space="preserve">С. </w:t>
      </w:r>
    </w:p>
    <w:p w:rsidR="00F4654E" w:rsidRDefault="00F4654E">
      <w:pPr>
        <w:pStyle w:val="a6"/>
      </w:pPr>
      <w:r>
        <w:t>Широкие производственные  испытания показали, что разработанная полиштаммовая эмульсионная инактивированная вакцина ВНИИЗЖ  из отечественных штаммов для профилактики трансмиссивного гастроэнт</w:t>
      </w:r>
      <w:r>
        <w:t>е</w:t>
      </w:r>
      <w:r>
        <w:t>рита поросят является  безвредным препаратом, обладает слабой реакт</w:t>
      </w:r>
      <w:r>
        <w:t>о</w:t>
      </w:r>
      <w:r>
        <w:t>генностью и достаточной иммуногенностью, обеспечивает в сыворотке крови и молозиве у привитых свиноматок высокий уровень антител, кот</w:t>
      </w:r>
      <w:r>
        <w:t>о</w:t>
      </w:r>
      <w:r>
        <w:t xml:space="preserve">рые передаются  подсосным  поросятам. </w:t>
      </w:r>
    </w:p>
    <w:p w:rsidR="00F4654E" w:rsidRDefault="00F4654E">
      <w:pPr>
        <w:pStyle w:val="a6"/>
      </w:pPr>
      <w:r>
        <w:t>Результаты эпизоотологических обследований, проведенных нами с</w:t>
      </w:r>
      <w:r>
        <w:t>о</w:t>
      </w:r>
      <w:r>
        <w:t>вместно с ветспециалистами хозяйств, где регулярно применяли пол</w:t>
      </w:r>
      <w:r>
        <w:t>и</w:t>
      </w:r>
      <w:r>
        <w:t>штаммовую вакцину против ТГЭС, свидетельствуют о ее эффективности. В этих хозяйствах гибель поросят до 10-дневного возраста не превышала обычных технологических норм брака, а в пробах патматериала, отобра</w:t>
      </w:r>
      <w:r>
        <w:t>н</w:t>
      </w:r>
      <w:r>
        <w:t>ного от павших поросят, не обнаруживали  вируса ТГЭС.</w:t>
      </w:r>
    </w:p>
    <w:p w:rsidR="00F4654E" w:rsidRDefault="00F4654E">
      <w:pPr>
        <w:pStyle w:val="a4"/>
      </w:pPr>
      <w:r>
        <w:t>УДК 619:591.4.:636.22.28</w:t>
      </w:r>
    </w:p>
    <w:p w:rsidR="00F4654E" w:rsidRDefault="00F4654E">
      <w:pPr>
        <w:pStyle w:val="1"/>
      </w:pPr>
      <w:bookmarkStart w:id="776" w:name="_Toc10115296"/>
      <w:bookmarkStart w:id="777" w:name="_Toc10731105"/>
      <w:bookmarkStart w:id="778" w:name="_Toc10731766"/>
      <w:bookmarkStart w:id="779" w:name="_Toc10891601"/>
      <w:bookmarkStart w:id="780" w:name="_Toc10892276"/>
      <w:bookmarkStart w:id="781" w:name="_Toc11390139"/>
      <w:bookmarkStart w:id="782" w:name="_Toc11839818"/>
      <w:bookmarkStart w:id="783" w:name="_Toc11937354"/>
      <w:r>
        <w:t>МОРФОГЕНЕЗ ПОЛОВЫХ ОРГАНОВ И ВОСПРОИЗВОДИТЕЛЬНАЯ СПОСОБНОСТЬ ТЕЛОК В ЗАВИСИМОСТИ ОТ СТЕПЕНИ ЛОКОМОЦИИ</w:t>
      </w:r>
      <w:bookmarkEnd w:id="776"/>
      <w:bookmarkEnd w:id="777"/>
      <w:bookmarkEnd w:id="778"/>
      <w:bookmarkEnd w:id="779"/>
      <w:bookmarkEnd w:id="780"/>
      <w:bookmarkEnd w:id="781"/>
      <w:bookmarkEnd w:id="782"/>
      <w:bookmarkEnd w:id="783"/>
    </w:p>
    <w:p w:rsidR="00F4654E" w:rsidRDefault="00F4654E">
      <w:pPr>
        <w:pStyle w:val="2"/>
      </w:pPr>
      <w:bookmarkStart w:id="784" w:name="_Toc10115297"/>
      <w:bookmarkStart w:id="785" w:name="_Toc10731106"/>
      <w:bookmarkStart w:id="786" w:name="_Toc10731767"/>
      <w:bookmarkStart w:id="787" w:name="_Toc10891602"/>
      <w:bookmarkStart w:id="788" w:name="_Toc10892277"/>
      <w:bookmarkStart w:id="789" w:name="_Toc11390140"/>
      <w:bookmarkStart w:id="790" w:name="_Toc11937355"/>
      <w:r>
        <w:t>Баймишев Х.Б.</w:t>
      </w:r>
      <w:bookmarkEnd w:id="784"/>
      <w:bookmarkEnd w:id="785"/>
      <w:bookmarkEnd w:id="786"/>
      <w:bookmarkEnd w:id="787"/>
      <w:bookmarkEnd w:id="788"/>
      <w:bookmarkEnd w:id="789"/>
      <w:bookmarkEnd w:id="790"/>
    </w:p>
    <w:p w:rsidR="00F4654E" w:rsidRDefault="00F4654E">
      <w:pPr>
        <w:pStyle w:val="a5"/>
      </w:pPr>
      <w:r>
        <w:t>Самарская государственная сельскохозяйственная академия</w:t>
      </w:r>
    </w:p>
    <w:p w:rsidR="00F4654E" w:rsidRDefault="00F4654E">
      <w:pPr>
        <w:pStyle w:val="a6"/>
      </w:pPr>
      <w:r>
        <w:t>Воспроизводство стада является одним из наиболее сложных труд</w:t>
      </w:r>
      <w:r>
        <w:t>о</w:t>
      </w:r>
      <w:r>
        <w:t>емких процессов в животноводстве. К нему предъявляется ряд требований, от которых зависит формирование высокой продуктивности животных, эффективность и рентабельность производства. Функциональная полн</w:t>
      </w:r>
      <w:r>
        <w:t>о</w:t>
      </w:r>
      <w:r>
        <w:t xml:space="preserve">ценность половых органов в основном зависит от того, в каких условиях проходил их морфогенез. В системе мероприятий по ликвидации яловости </w:t>
      </w:r>
      <w:r>
        <w:lastRenderedPageBreak/>
        <w:t>указано, что одним из факторов в борьбе за улучшение воспроизводства и сохранности молодняка является обеспечение животным ежедневным, а</w:t>
      </w:r>
      <w:r>
        <w:t>к</w:t>
      </w:r>
      <w:r>
        <w:t>тивным моционом. Однако все проведенные исследования относятся к п</w:t>
      </w:r>
      <w:r>
        <w:t>о</w:t>
      </w:r>
      <w:r>
        <w:t>ловозрастным ж</w:t>
      </w:r>
      <w:r>
        <w:t>и</w:t>
      </w:r>
      <w:r>
        <w:t>вотным.</w:t>
      </w:r>
    </w:p>
    <w:p w:rsidR="00F4654E" w:rsidRDefault="00F4654E">
      <w:pPr>
        <w:pStyle w:val="a6"/>
      </w:pPr>
      <w:r>
        <w:t>Исследование проводились на телках черно-пестрой породы, пол</w:t>
      </w:r>
      <w:r>
        <w:t>у</w:t>
      </w:r>
      <w:r>
        <w:t>ченных от быков-производителей одной линии. Для проведения экспер</w:t>
      </w:r>
      <w:r>
        <w:t>и</w:t>
      </w:r>
      <w:r>
        <w:t>мента было сформировано четыре группы животных аналогов по сорок г</w:t>
      </w:r>
      <w:r>
        <w:t>о</w:t>
      </w:r>
      <w:r>
        <w:t>лов в каждой.  В течение всего эксперимента животные контрольной и опытных трех групп находились в одинаковых условиях кормления, с</w:t>
      </w:r>
      <w:r>
        <w:t>о</w:t>
      </w:r>
      <w:r>
        <w:t>держания. Телки опытных групп со второго – третьего дня после рождения дополнительно получали дозированное принудительное движение (ДПД) согласно их возраста и физиологического состояния со скоростью 4-8 км/час. Материалом для исследования  служили половые органы телок (яичники, маточные трубы, матка, влагалище, преддверие влагалища) вз</w:t>
      </w:r>
      <w:r>
        <w:t>я</w:t>
      </w:r>
      <w:r>
        <w:t>тые при убое 117 голов животных в следующие возрастные периоды: н</w:t>
      </w:r>
      <w:r>
        <w:t>о</w:t>
      </w:r>
      <w:r>
        <w:t>воро</w:t>
      </w:r>
      <w:r>
        <w:t>ж</w:t>
      </w:r>
      <w:r>
        <w:t>денные, месячные, трехмесячные, шестимесячные, 12-месячные, 18-месячные, первотелки. Для проведения исследований был использован комплекс анатомических и гистологических методов. С целью оценки р</w:t>
      </w:r>
      <w:r>
        <w:t>е</w:t>
      </w:r>
      <w:r>
        <w:t>продуктивных качеств телок мы изучили возраст и живую массу при I-ом осеменении, оплодотворяемость в I половую охоту, течение родов и п</w:t>
      </w:r>
      <w:r>
        <w:t>о</w:t>
      </w:r>
      <w:r>
        <w:t>слеродового периода, продолжительность срока плодотворного осемен</w:t>
      </w:r>
      <w:r>
        <w:t>е</w:t>
      </w:r>
      <w:r>
        <w:t>ния.</w:t>
      </w:r>
    </w:p>
    <w:p w:rsidR="00F4654E" w:rsidRDefault="00F4654E">
      <w:pPr>
        <w:pStyle w:val="a6"/>
      </w:pPr>
      <w:r>
        <w:t xml:space="preserve">В результате проведенных исследований мы отмечаем определенные закономерности в адаптационных возможностях, возрастной динамике структурной организации и взаимосвязей морфогенеза половых органов. </w:t>
      </w:r>
    </w:p>
    <w:p w:rsidR="00F4654E" w:rsidRDefault="00F4654E">
      <w:pPr>
        <w:pStyle w:val="a6"/>
      </w:pPr>
      <w:r>
        <w:t>При анализе динамики морфологических изменений половых желез крупного рогатого скота черно-пестрой породы в раннем постнатальном онтогенезе до 2,5 летнего возраста, обращает на себя внимание изменения, которые происходят в яичнике в первые 30 дней жизни телок, получавших различную дозу ежедневного ДПД. В этот период организм новорожде</w:t>
      </w:r>
      <w:r>
        <w:t>н</w:t>
      </w:r>
      <w:r>
        <w:t>ного приспосабливается к совершенно новым условиям обитания. Реакция на отсутствие движения выражается расстройством гемоциркуляции, угн</w:t>
      </w:r>
      <w:r>
        <w:t>е</w:t>
      </w:r>
      <w:r>
        <w:t>тением фолликулогенеза, преобладание кистозной формы атрезии. Ук</w:t>
      </w:r>
      <w:r>
        <w:t>а</w:t>
      </w:r>
      <w:r>
        <w:t>занные факты являются доказательством того, насколько важен для орг</w:t>
      </w:r>
      <w:r>
        <w:t>а</w:t>
      </w:r>
      <w:r>
        <w:t>низма новорожденного теленка фактор движения. Вместе с тем мы отмеч</w:t>
      </w:r>
      <w:r>
        <w:t>а</w:t>
      </w:r>
      <w:r>
        <w:t>ем, что у животных, получавших умеренную дозу двигательной активн</w:t>
      </w:r>
      <w:r>
        <w:t>о</w:t>
      </w:r>
      <w:r>
        <w:t>сти, все структуры яичников, в первую очередь сосудистого русла, обесп</w:t>
      </w:r>
      <w:r>
        <w:t>е</w:t>
      </w:r>
      <w:r>
        <w:t>чивают нормальный фолликулогенез и становление гормонального статуса во все возрастные периоды.</w:t>
      </w:r>
    </w:p>
    <w:p w:rsidR="00F4654E" w:rsidRDefault="00F4654E">
      <w:pPr>
        <w:pStyle w:val="a6"/>
      </w:pPr>
      <w:r>
        <w:t xml:space="preserve">Совершенно другую динамику возрастных изменений структур мы наблюдаем в матке. Если интенсивный рост яичников происходит в период с рождения до месячного возраста, то матка интенсивно растет в период с 6 до 12 месячного возраста. Реакция на степень двигательной активности </w:t>
      </w:r>
      <w:r>
        <w:lastRenderedPageBreak/>
        <w:t>проявляется уже с 3-х месячного возраста (нарушение гемоциркуляции и снижение морфогенетических процессов). Толщина миометрия с 6-ти м</w:t>
      </w:r>
      <w:r>
        <w:t>е</w:t>
      </w:r>
      <w:r>
        <w:t>сячного возраста больше у животных опытных групп, если у животных п</w:t>
      </w:r>
      <w:r>
        <w:t>о</w:t>
      </w:r>
      <w:r>
        <w:t>лучавших ДПД рост и её происходит за счет разрастания стромы эндоме</w:t>
      </w:r>
      <w:r>
        <w:t>т</w:t>
      </w:r>
      <w:r>
        <w:t>рия, пролиферации железистых структур, повышения уровня внутриорга</w:t>
      </w:r>
      <w:r>
        <w:t>н</w:t>
      </w:r>
      <w:r>
        <w:t>ной сосудистой системы, гиперплазии и гипертрофии гладкой мышечной ткани, то у животных контрольной группы за счет увеличения толщины сосудистого слоя миометрия.</w:t>
      </w:r>
    </w:p>
    <w:p w:rsidR="00F4654E" w:rsidRDefault="00F4654E">
      <w:pPr>
        <w:pStyle w:val="a6"/>
      </w:pPr>
      <w:r>
        <w:t>Характер морфогенеза половых органов, в конечном счете, отразился на репродуктивных качествах: так у телок второй опытной группы, где животные получали оптимальную дозу движения от 900 м до 6000 м (в з</w:t>
      </w:r>
      <w:r>
        <w:t>а</w:t>
      </w:r>
      <w:r>
        <w:t>висимости от их возраста) сократился возраст первого осеменения, увел</w:t>
      </w:r>
      <w:r>
        <w:t>и</w:t>
      </w:r>
      <w:r>
        <w:t xml:space="preserve">чился процент оплодотворяемости в первую половую охоту. </w:t>
      </w:r>
    </w:p>
    <w:p w:rsidR="00F4654E" w:rsidRDefault="00F4654E">
      <w:pPr>
        <w:pStyle w:val="a6"/>
      </w:pPr>
      <w:r>
        <w:t>Результаты отрицательных изменений за весь период выращивания, которые произошли в половых органах телок контрольной и опытной-3 групп явились отражением делятации вен, застойных явлений, снижения фолликулогенеза, повышения кистозной формы атрезии фолликулов в яичниках, сокращение числа секреторных эпителиоцитов, застойных явл</w:t>
      </w:r>
      <w:r>
        <w:t>е</w:t>
      </w:r>
      <w:r>
        <w:t>ний в складках маточных труб и матки, которые и являются причиной н</w:t>
      </w:r>
      <w:r>
        <w:t>а</w:t>
      </w:r>
      <w:r>
        <w:t>блюдаемых нами изменений в репродуктивных качествах телок контрол</w:t>
      </w:r>
      <w:r>
        <w:t>ь</w:t>
      </w:r>
      <w:r>
        <w:t>ной и третьей опытной групп.</w:t>
      </w:r>
    </w:p>
    <w:p w:rsidR="00F4654E" w:rsidRDefault="00F4654E">
      <w:pPr>
        <w:pStyle w:val="a6"/>
      </w:pPr>
      <w:r>
        <w:t>Характер и степень развития структур яичника, матки, влагалища и преддверия влагалища у животных в зависимости от степени локомоции животных отразился на течении родов и послеродового периода у живо</w:t>
      </w:r>
      <w:r>
        <w:t>т</w:t>
      </w:r>
      <w:r>
        <w:t>ных контрольной и третьей опытной групп продолжительность родов дольше, отмечается задержание последа, субинволюция матки. Так, пр</w:t>
      </w:r>
      <w:r>
        <w:t>о</w:t>
      </w:r>
      <w:r>
        <w:t xml:space="preserve">должительность родов у животных второй опытной группы оказалась меньше на 2,1 часа по сравнению с контролем. </w:t>
      </w:r>
    </w:p>
    <w:p w:rsidR="00F4654E" w:rsidRDefault="00F4654E">
      <w:pPr>
        <w:pStyle w:val="a6"/>
      </w:pPr>
      <w:r>
        <w:t>Норма состояния половых органов телок, получавших оптимальную дозу двигательной активности подтверждается так же не только их бол</w:t>
      </w:r>
      <w:r>
        <w:t>ь</w:t>
      </w:r>
      <w:r>
        <w:t>шей абсолютной и относительной массой, но и большей величиной морфо-метрических показателей структур стенки матки и родовых путей большая толщина миометрия, отсутствие застойных явлений и гипертрофия м</w:t>
      </w:r>
      <w:r>
        <w:t>ы</w:t>
      </w:r>
      <w:r>
        <w:t>шечных клеток, увеличенная складчатость влагалища и ширины преддв</w:t>
      </w:r>
      <w:r>
        <w:t>е</w:t>
      </w:r>
      <w:r>
        <w:t>рия. Это нашло свое отражение и на продолжительности течения послер</w:t>
      </w:r>
      <w:r>
        <w:t>о</w:t>
      </w:r>
      <w:r>
        <w:t>дового периода, оказавшегося меньшим у животных второй группы, у к</w:t>
      </w:r>
      <w:r>
        <w:t>о</w:t>
      </w:r>
      <w:r>
        <w:t>торой отсутствовали и осложнения в процессе родов, нормальное протек</w:t>
      </w:r>
      <w:r>
        <w:t>а</w:t>
      </w:r>
      <w:r>
        <w:t>ние инволюции органов после родов, что привело к сокращению сервис-периода у животных второй опытной группы до 50,1 дня в тот время как в контрольной он составил 92,4 дня.</w:t>
      </w:r>
    </w:p>
    <w:p w:rsidR="00F4654E" w:rsidRDefault="00F4654E">
      <w:pPr>
        <w:pStyle w:val="a6"/>
      </w:pPr>
      <w:r>
        <w:t>Таким образом, приведенные данные показывают, что для черно-пестрой породы крупного рогатого скота оптимальной является доза дв</w:t>
      </w:r>
      <w:r>
        <w:t>и</w:t>
      </w:r>
      <w:r>
        <w:t>гательной активности, предложенная для животных второй опытной гру</w:t>
      </w:r>
      <w:r>
        <w:t>п</w:t>
      </w:r>
      <w:r>
        <w:lastRenderedPageBreak/>
        <w:t>пы, так как обеспечивает развитие половых органов телок, профилактируя нарушение функции воспроизводства.</w:t>
      </w:r>
    </w:p>
    <w:p w:rsidR="00F4654E" w:rsidRDefault="00F4654E">
      <w:pPr>
        <w:pStyle w:val="a4"/>
      </w:pPr>
      <w:r>
        <w:t>УДК 636:612.017.1(470.62)</w:t>
      </w:r>
    </w:p>
    <w:p w:rsidR="00F4654E" w:rsidRDefault="00F4654E">
      <w:pPr>
        <w:pStyle w:val="1"/>
      </w:pPr>
      <w:bookmarkStart w:id="791" w:name="_Toc10891603"/>
      <w:bookmarkStart w:id="792" w:name="_Toc10892278"/>
      <w:bookmarkStart w:id="793" w:name="_Toc11390141"/>
      <w:bookmarkStart w:id="794" w:name="_Toc11839820"/>
      <w:bookmarkStart w:id="795" w:name="_Toc11937356"/>
      <w:r>
        <w:t>ПРИМЕНЕНИЕ ГОРМОНОВ ТИМУСА ДЛЯ КОРРЕКЦИИ ИММУНОЛОГИЧЕСКОЙ РЕАКТИВНОСТИ ТЕЛЯТ</w:t>
      </w:r>
      <w:bookmarkEnd w:id="791"/>
      <w:bookmarkEnd w:id="792"/>
      <w:bookmarkEnd w:id="793"/>
      <w:bookmarkEnd w:id="794"/>
      <w:bookmarkEnd w:id="795"/>
    </w:p>
    <w:p w:rsidR="00F4654E" w:rsidRDefault="00F4654E">
      <w:pPr>
        <w:pStyle w:val="2"/>
      </w:pPr>
      <w:bookmarkStart w:id="796" w:name="_Toc10891604"/>
      <w:bookmarkStart w:id="797" w:name="_Toc10892279"/>
      <w:bookmarkStart w:id="798" w:name="_Toc11390142"/>
      <w:bookmarkStart w:id="799" w:name="_Toc11937357"/>
      <w:r>
        <w:t>Басова Н.Ю.</w:t>
      </w:r>
      <w:bookmarkEnd w:id="796"/>
      <w:bookmarkEnd w:id="797"/>
      <w:bookmarkEnd w:id="798"/>
      <w:bookmarkEnd w:id="799"/>
    </w:p>
    <w:p w:rsidR="00F4654E" w:rsidRDefault="00F4654E">
      <w:pPr>
        <w:pStyle w:val="a5"/>
      </w:pPr>
      <w:r>
        <w:t>Краснодарский научно-исследовательский ветеринарный институт</w:t>
      </w:r>
    </w:p>
    <w:p w:rsidR="00F4654E" w:rsidRDefault="00F4654E">
      <w:pPr>
        <w:pStyle w:val="a6"/>
      </w:pPr>
      <w:r>
        <w:t>На возникновение и тяжесть течения респираторных болезней бол</w:t>
      </w:r>
      <w:r>
        <w:t>ь</w:t>
      </w:r>
      <w:r>
        <w:t>шое влияние оказывают факторы, снижающие естественную резистен</w:t>
      </w:r>
      <w:r>
        <w:t>т</w:t>
      </w:r>
      <w:r>
        <w:t>ность организма животных. Технология ведения современного скотоводс</w:t>
      </w:r>
      <w:r>
        <w:t>т</w:t>
      </w:r>
      <w:r>
        <w:t>ва приводит к хроническим техногенным стрессам и ее изменение не вс</w:t>
      </w:r>
      <w:r>
        <w:t>е</w:t>
      </w:r>
      <w:r>
        <w:t>гда возможно. Поэтому актуальной является проблема повышения несп</w:t>
      </w:r>
      <w:r>
        <w:t>е</w:t>
      </w:r>
      <w:r>
        <w:t>цифической резистентности животных посредством использования имм</w:t>
      </w:r>
      <w:r>
        <w:t>у</w:t>
      </w:r>
      <w:r>
        <w:t>ностимулят</w:t>
      </w:r>
      <w:r>
        <w:t>о</w:t>
      </w:r>
      <w:r>
        <w:t>ров различного происхождения.</w:t>
      </w:r>
    </w:p>
    <w:p w:rsidR="00F4654E" w:rsidRDefault="00F4654E">
      <w:pPr>
        <w:pStyle w:val="a6"/>
      </w:pPr>
      <w:r>
        <w:t>Иммунокоррекция предполагает использование фармакологических средств для изменения функциональной активности иммунной системы. При патологии респираторного тракта в этом случае на первое место в</w:t>
      </w:r>
      <w:r>
        <w:t>ы</w:t>
      </w:r>
      <w:r>
        <w:t>ходят препараты, стимулирующие Т-клеточную активность за счет увел</w:t>
      </w:r>
      <w:r>
        <w:t>и</w:t>
      </w:r>
      <w:r>
        <w:t>чения цГМФ. К ним относятся препараты тимуса, такие как тимозин, т</w:t>
      </w:r>
      <w:r>
        <w:t>и</w:t>
      </w:r>
      <w:r>
        <w:t xml:space="preserve">мулин, тимопоэтин и другие. Гормоны тимуса стабилизируют систему Т-клеток у больных с дефицитом зрелых Т-лимфоцитов и не влияния на функциональную активность Т-лимфоцитов у здоровых животных. </w:t>
      </w:r>
    </w:p>
    <w:p w:rsidR="00F4654E" w:rsidRDefault="00F4654E">
      <w:pPr>
        <w:pStyle w:val="a6"/>
      </w:pPr>
      <w:r>
        <w:t>Профилактическое иммуностимулирующее действие препарата го</w:t>
      </w:r>
      <w:r>
        <w:t>р</w:t>
      </w:r>
      <w:r>
        <w:t>монов тимуса (ГТ) тималина изучали в сочетании с тетравитом в сравн</w:t>
      </w:r>
      <w:r>
        <w:t>и</w:t>
      </w:r>
      <w:r>
        <w:t>тельном аспекте. Сравнительную оценку различных средств, активиз</w:t>
      </w:r>
      <w:r>
        <w:t>и</w:t>
      </w:r>
      <w:r>
        <w:t>рующих клеточный иммунитет проводили на новорожденных телятах че</w:t>
      </w:r>
      <w:r>
        <w:t>р</w:t>
      </w:r>
      <w:r>
        <w:t>но-пестрой породы. По принципу аналогов было сформировано 3 группы животных живой массы 26-31 кг по 10 голов в группе. Учитывая данные проведенных ранее биохимических исследований сыворотки крови коров и телят, свидетельствующие о гиповитаминозах у животных, параллельно с ГТ телятами 1-й опытной и контрольной групп – инъецировали тетравит согласно рекомендации по его применению. I опытной группе вводили т</w:t>
      </w:r>
      <w:r>
        <w:t>и</w:t>
      </w:r>
      <w:r>
        <w:t>малин по схеме: 2,5; 3,0; 4,0; 5,0; 5,0 мг на голову 5 дней подряд и тетр</w:t>
      </w:r>
      <w:r>
        <w:t>а</w:t>
      </w:r>
      <w:r>
        <w:t>вит. 2 опытной группе вводили 5 дней подряд тималин. 3 (контрольной) группе ГТ не вводили, инъецировали тетравит. Кровь телят опытных и контрольной групп исследовали перед началом опыта, через 5, 14 и 30 дней после последнего введения препаратов. За всеми телятами вели н</w:t>
      </w:r>
      <w:r>
        <w:t>а</w:t>
      </w:r>
      <w:r>
        <w:t>блюдения в течение 3-х месяцев, фиксировали клинические признаки ре</w:t>
      </w:r>
      <w:r>
        <w:t>с</w:t>
      </w:r>
      <w:r>
        <w:t>пираторных болезней.</w:t>
      </w:r>
      <w:r>
        <w:tab/>
      </w:r>
    </w:p>
    <w:p w:rsidR="00F4654E" w:rsidRDefault="00F4654E">
      <w:pPr>
        <w:pStyle w:val="a6"/>
      </w:pPr>
      <w:r>
        <w:t>Установили, что фоновые показатели 2-5-и дневных телят всех 3-х групп по анализируемым показателям существенно не различались. Одн</w:t>
      </w:r>
      <w:r>
        <w:t>а</w:t>
      </w:r>
      <w:r>
        <w:lastRenderedPageBreak/>
        <w:t>ко количество эритроцитов было на 27,6-33,5%, гемоглобина – на 19,5-22,3%, а лейкоцитов на 6,4-10,8% ниже нормы для данной возрастной группы, в лейкограмме отмечался сдвиг ядра вправо, соотношение Л/Г = 0,4. Общий белок сыворотки крови был в пределах нормы, а количество гамма-глобулинов несколько ниже нормы – 10,7-13,2 г/л. Гуморальные п</w:t>
      </w:r>
      <w:r>
        <w:t>о</w:t>
      </w:r>
      <w:r>
        <w:t>казатели естественной резистентности соответствовали норме, а фагоц</w:t>
      </w:r>
      <w:r>
        <w:t>и</w:t>
      </w:r>
      <w:r>
        <w:t xml:space="preserve">тарная активность была снижена вдвое. Таким образом, показатели крови новорожденных телят свидетельствуют о иммунодефицитном состоянии. </w:t>
      </w:r>
    </w:p>
    <w:p w:rsidR="00F4654E" w:rsidRDefault="00F4654E">
      <w:pPr>
        <w:pStyle w:val="a6"/>
      </w:pPr>
      <w:r>
        <w:t>Уже через 5 дней после обработки телят иммуностимуляторами и в</w:t>
      </w:r>
      <w:r>
        <w:t>и</w:t>
      </w:r>
      <w:r>
        <w:t>таминами у них отмечена положительная динамика показателей количес</w:t>
      </w:r>
      <w:r>
        <w:t>т</w:t>
      </w:r>
      <w:r>
        <w:t>ва гемоглобина, фагоцитарной, лизоцимной и бактерицидной активности  по сравнению с животными контрольной группы. Количество гемоглобина у телят 1 и 2 опытных групп возросло на 9,9% и 2,3% соответственно и превысило показатели животных контрольной группы на 10,4 и 5,1%. К</w:t>
      </w:r>
      <w:r>
        <w:t>о</w:t>
      </w:r>
      <w:r>
        <w:t>личество общего белка у всех животных было примерно одинаково, но к</w:t>
      </w:r>
      <w:r>
        <w:t>о</w:t>
      </w:r>
      <w:r>
        <w:t xml:space="preserve">личество </w:t>
      </w:r>
      <w:r>
        <w:sym w:font="Symbol" w:char="F067"/>
      </w:r>
      <w:r>
        <w:t>-глобулинов у телят 1 и 2 опытных групп по сравнению с ко</w:t>
      </w:r>
      <w:r>
        <w:t>н</w:t>
      </w:r>
      <w:r>
        <w:t>трольной было выше на 27,2% и 17,8%. Показатели фагоцитарной, лиз</w:t>
      </w:r>
      <w:r>
        <w:t>о</w:t>
      </w:r>
      <w:r>
        <w:t>цимной и бактерицидной активности также были выше у телят 1 и 2 гру</w:t>
      </w:r>
      <w:r>
        <w:t>п</w:t>
      </w:r>
      <w:r>
        <w:t>пы на 24,9% и 17,4%; 11,8% и 3,9%; 10,2% и 5,0% соответственно.</w:t>
      </w:r>
    </w:p>
    <w:p w:rsidR="00F4654E" w:rsidRDefault="00F4654E">
      <w:pPr>
        <w:pStyle w:val="a6"/>
      </w:pPr>
      <w:r>
        <w:t>Через 14 дней после обработки телят положительная динамика пок</w:t>
      </w:r>
      <w:r>
        <w:t>а</w:t>
      </w:r>
      <w:r>
        <w:t>зателей крови телят опытных групп относительно контрольных животных продолжалась: изменение соотношения л/г ниже, чем у контрольных ж</w:t>
      </w:r>
      <w:r>
        <w:t>и</w:t>
      </w:r>
      <w:r>
        <w:t>вотных и составляет по группам 0,98, 1,1 и 1,47, количество гемоглобина выше на 22,5% и 9,0%, общего белка 3,9% и 0,7%. Показатели фагоцита</w:t>
      </w:r>
      <w:r>
        <w:t>р</w:t>
      </w:r>
      <w:r>
        <w:t>ной активности нейтрофильных гранулоцитов за 9 дней у телят 1 и 2 опытных групп возросли на 26,4% и 16,2%, что по сравнению с контрол</w:t>
      </w:r>
      <w:r>
        <w:t>ь</w:t>
      </w:r>
      <w:r>
        <w:t>ными животными выше на 33,6% и 15,5%, где этот показатель за тот же период возрос только на 0,7%. Аналогичная динамика выявлена и в отн</w:t>
      </w:r>
      <w:r>
        <w:t>о</w:t>
      </w:r>
      <w:r>
        <w:t>шении бактерицидной, лизоцимной активности сыворотки крови телят и количества иммуноглобулинов: в первой опытной группе количество и</w:t>
      </w:r>
      <w:r>
        <w:t>м</w:t>
      </w:r>
      <w:r>
        <w:t>муноглобулинов возросло на 27,2%  и было на 41,4% выше, чем у ко</w:t>
      </w:r>
      <w:r>
        <w:t>н</w:t>
      </w:r>
      <w:r>
        <w:t>трольных животных. Во 2-й опытной группе эти показатели соответстве</w:t>
      </w:r>
      <w:r>
        <w:t>н</w:t>
      </w:r>
      <w:r>
        <w:t>но составляли 39,0% и 37,9%. Уровень роста иммуноглобулинов у ко</w:t>
      </w:r>
      <w:r>
        <w:t>н</w:t>
      </w:r>
      <w:r>
        <w:t>трольных телят был 18,7%. Бактерицидная и лизоцимная активность сыв</w:t>
      </w:r>
      <w:r>
        <w:t>о</w:t>
      </w:r>
      <w:r>
        <w:t>ротки крови телят 1-й группы возросла на 36,1% и 30,4% и была выше с</w:t>
      </w:r>
      <w:r>
        <w:t>о</w:t>
      </w:r>
      <w:r>
        <w:t>ответствующих показателей контрольных животных на 48,9% и 44,7%. Рост бактерицидной и лизоцимной активности у телят 2-й опытной группы был несколько ниже – 29,3% и 23,3%, но на 34,8% и 27,2% выше, чем у животных 3-й контрольной группы, где увеличения этих значений за 9 дней составило 0,66% и 0,7%. Через 30 дней после применения стимулят</w:t>
      </w:r>
      <w:r>
        <w:t>о</w:t>
      </w:r>
      <w:r>
        <w:t xml:space="preserve">ров показатели, характеризующие естественную резистентность у телят 1-й опытной группы оставалась выше по сравнению с этими показателями у </w:t>
      </w:r>
      <w:r>
        <w:lastRenderedPageBreak/>
        <w:t>животных 2-х других групп. Клинически телята опытных групп на прот</w:t>
      </w:r>
      <w:r>
        <w:t>я</w:t>
      </w:r>
      <w:r>
        <w:t>жении всего срока наблюдения оставались здоровыми.</w:t>
      </w:r>
    </w:p>
    <w:p w:rsidR="00F4654E" w:rsidRDefault="00F4654E">
      <w:pPr>
        <w:pStyle w:val="a6"/>
      </w:pPr>
      <w:r>
        <w:t>Таким образом, при профилактики болезней телят для повышения иммунологической реактивности более эффективной является схема п</w:t>
      </w:r>
      <w:r>
        <w:t>а</w:t>
      </w:r>
      <w:r>
        <w:t>раллельного применения гормонов тимуса, активизирующих Т-клеточное звено иммунитета и фагоцитарную активность и витаминов, благотворно влияющих на обменные процессы и улучшающих гомеостаз организма.</w:t>
      </w:r>
    </w:p>
    <w:p w:rsidR="00F4654E" w:rsidRDefault="00F4654E">
      <w:pPr>
        <w:pStyle w:val="a4"/>
      </w:pPr>
      <w:r>
        <w:t>УДК 619:616.23(24-002-022.6):578.82/83</w:t>
      </w:r>
    </w:p>
    <w:p w:rsidR="00F4654E" w:rsidRDefault="00F4654E">
      <w:pPr>
        <w:pStyle w:val="1"/>
      </w:pPr>
      <w:bookmarkStart w:id="800" w:name="_Toc10891605"/>
      <w:bookmarkStart w:id="801" w:name="_Toc10892280"/>
      <w:bookmarkStart w:id="802" w:name="_Toc11390143"/>
      <w:bookmarkStart w:id="803" w:name="_Toc11839822"/>
      <w:bookmarkStart w:id="804" w:name="_Toc11937358"/>
      <w:r>
        <w:t>РАСПРОСТРАНЕНИЕ РЕСПИРАТОРНЫХ БОЛЕЗНЕЙ МОЛОДНЯКА КРУПНОГО РОГАТОГО СКОТА В КРАСНОДАРСКОМ КРАЕ</w:t>
      </w:r>
      <w:bookmarkEnd w:id="800"/>
      <w:bookmarkEnd w:id="801"/>
      <w:bookmarkEnd w:id="802"/>
      <w:bookmarkEnd w:id="803"/>
      <w:bookmarkEnd w:id="804"/>
    </w:p>
    <w:p w:rsidR="00F4654E" w:rsidRDefault="00F4654E">
      <w:pPr>
        <w:pStyle w:val="2"/>
      </w:pPr>
      <w:bookmarkStart w:id="805" w:name="_Toc10891606"/>
      <w:bookmarkStart w:id="806" w:name="_Toc10892281"/>
      <w:bookmarkStart w:id="807" w:name="_Toc11390144"/>
      <w:bookmarkStart w:id="808" w:name="_Toc11937359"/>
      <w:r>
        <w:t>Басова Н.Ю., Шипицын А.Г., Бель В.В.</w:t>
      </w:r>
      <w:bookmarkEnd w:id="805"/>
      <w:bookmarkEnd w:id="806"/>
      <w:bookmarkEnd w:id="807"/>
      <w:bookmarkEnd w:id="808"/>
    </w:p>
    <w:p w:rsidR="00F4654E" w:rsidRDefault="00F4654E">
      <w:pPr>
        <w:pStyle w:val="a5"/>
      </w:pPr>
      <w:r>
        <w:t>Краснодарский научно-исследовательский ветеринарный институт</w:t>
      </w:r>
    </w:p>
    <w:p w:rsidR="00F4654E" w:rsidRDefault="00F4654E">
      <w:pPr>
        <w:pStyle w:val="a6"/>
      </w:pPr>
      <w:r>
        <w:t>В последние 10-15 лет в условиях высокой концентрации животных на ограниченной территории, снижения естественной резистентности их организма вследствие ухудшения ветеринарно-санитарных условий с</w:t>
      </w:r>
      <w:r>
        <w:t>о</w:t>
      </w:r>
      <w:r>
        <w:t>держания и кормления скота, заболевания респираторного тракта стан</w:t>
      </w:r>
      <w:r>
        <w:t>о</w:t>
      </w:r>
      <w:r>
        <w:t>вятся серьезной проблемой в промышленном скотоводстве.</w:t>
      </w:r>
    </w:p>
    <w:p w:rsidR="00F4654E" w:rsidRDefault="00F4654E">
      <w:pPr>
        <w:pStyle w:val="a6"/>
      </w:pPr>
      <w:r>
        <w:t>В Краснодарском крае заболеваемость скота составляет 62-75% к об</w:t>
      </w:r>
      <w:r>
        <w:t>о</w:t>
      </w:r>
      <w:r>
        <w:t>роту стада из них на болезни молодняка приходится более 50%. Забол</w:t>
      </w:r>
      <w:r>
        <w:t>е</w:t>
      </w:r>
      <w:r>
        <w:t>ваемость молодняка крупного рогатого скота к приплоду в 1996-2001 гг. колебалась в пределах 87,5-100,0%, в том числе респираторными болезн</w:t>
      </w:r>
      <w:r>
        <w:t>я</w:t>
      </w:r>
      <w:r>
        <w:t>ми 16,3-22,2%. За последние два года этот показатель возрос по сравнению с 1996 г. на 12,2-12,7%, в том числе респираторными болезнями на 7,0-8,6% с 22,2% до 29,2-30,8%. Основная гибель крупного рогатого скота также приходится на молодняк 84,2-87,1% от общего количества павших животных или 3,7-6,9% к числу заболевших и 1,7-3,2% к обороту стада. В структуре заболеваемости телят основное место занимают незаразные б</w:t>
      </w:r>
      <w:r>
        <w:t>о</w:t>
      </w:r>
      <w:r>
        <w:t>лезни – 97-98%, а на инфе</w:t>
      </w:r>
      <w:r>
        <w:t>к</w:t>
      </w:r>
      <w:r>
        <w:t xml:space="preserve">ционные приходится только 2-3%. </w:t>
      </w:r>
    </w:p>
    <w:p w:rsidR="00F4654E" w:rsidRDefault="00F4654E">
      <w:pPr>
        <w:pStyle w:val="a6"/>
      </w:pPr>
      <w:r>
        <w:t>Инфекционными болезнями в Краснодарском крае ежегодно переб</w:t>
      </w:r>
      <w:r>
        <w:t>о</w:t>
      </w:r>
      <w:r>
        <w:t>левает 3150-3367 телят, или 1,19-1,25% к полученному приплоду, а летал</w:t>
      </w:r>
      <w:r>
        <w:t>ь</w:t>
      </w:r>
      <w:r>
        <w:t>ность колеблется в пределах 1,4-27,8% в зависимости от возбудителя и</w:t>
      </w:r>
      <w:r>
        <w:t>н</w:t>
      </w:r>
      <w:r>
        <w:t>фекции, в среднем – 21,3-21,5%. Падеж телят от инфекционных болезней относительно приплода составил 0,25-0,27%. Наиболее часто регистрир</w:t>
      </w:r>
      <w:r>
        <w:t>у</w:t>
      </w:r>
      <w:r>
        <w:t>ется колибактериоз 51,9-52,1% случаев; псевдомоноз – 14,1-21,8% и сал</w:t>
      </w:r>
      <w:r>
        <w:t>ь</w:t>
      </w:r>
      <w:r>
        <w:t>монеллез – 11,2-12,8%. Летальность от этих инфекций колебалась в пред</w:t>
      </w:r>
      <w:r>
        <w:t>е</w:t>
      </w:r>
      <w:r>
        <w:t>лах 23,9-24,9% при колибактериозе, 16,0-26,9% при псевдомонозе и 14,5-27,8% при сальмонеллезе. Стрептококкоз и пастереллез у молодняка кру</w:t>
      </w:r>
      <w:r>
        <w:t>п</w:t>
      </w:r>
      <w:r>
        <w:t>ного рогатого скота диагностировали реже: в 6,4-12,8% и 2,1-5,2% случаев соответственно, летальность при этих инфекциях была высокой и соста</w:t>
      </w:r>
      <w:r>
        <w:t>в</w:t>
      </w:r>
      <w:r>
        <w:t>ляла 17,8-20,5% при стрептококкозе и 15,1-23,6% при пастереллезе.</w:t>
      </w:r>
    </w:p>
    <w:p w:rsidR="00F4654E" w:rsidRDefault="00F4654E">
      <w:pPr>
        <w:pStyle w:val="a6"/>
      </w:pPr>
      <w:r>
        <w:lastRenderedPageBreak/>
        <w:t>Проанализировав в 2001 г. ситуацию по респираторным болезням крупного рогатого скота в 28 районах края, отнесенных к 6 различным климатическим зонам установили, что заболеваемость была от 25,5% в Предгорной до 35,1%, в Центральной зоне края, а в среднем по обслед</w:t>
      </w:r>
      <w:r>
        <w:t>о</w:t>
      </w:r>
      <w:r>
        <w:t>ванным нами районам составлял 30,5%. По отдельным районам этот пок</w:t>
      </w:r>
      <w:r>
        <w:t>а</w:t>
      </w:r>
      <w:r>
        <w:t>затель колебался в больших пределах: от 5,9 до 55,1%. Заболеваемость т</w:t>
      </w:r>
      <w:r>
        <w:t>е</w:t>
      </w:r>
      <w:r>
        <w:t>лят к приплоду в ра</w:t>
      </w:r>
      <w:r>
        <w:t>з</w:t>
      </w:r>
      <w:r>
        <w:t>личных климатических зонах была в пределах 13,3-22,3% и колебалась от 3,3% до 50,3% в отдельных районах зон и составила в среднем 18,8%. Летальность была 22,3% в среднем, с колебаниями в пр</w:t>
      </w:r>
      <w:r>
        <w:t>е</w:t>
      </w:r>
      <w:r>
        <w:t>делах 10,2-31,1% по зонам и 2,3-83,3% по районам края. По отношению к полученному приплоду этот показатель был соответственно 2,9%; 1,7-4,2% и 0,5-11,1%. В стационарно неблагополучных хозяйствах респираторными болезнями заболевает 70-100% телят и отход достигает 45-65% от числа заболевших.</w:t>
      </w:r>
    </w:p>
    <w:p w:rsidR="00F4654E" w:rsidRDefault="00F4654E">
      <w:pPr>
        <w:pStyle w:val="a4"/>
      </w:pPr>
      <w:r>
        <w:t>УДК  619:611:447</w:t>
      </w:r>
    </w:p>
    <w:p w:rsidR="00F4654E" w:rsidRDefault="00F4654E">
      <w:pPr>
        <w:pStyle w:val="1"/>
      </w:pPr>
      <w:bookmarkStart w:id="809" w:name="_Toc10115298"/>
      <w:bookmarkStart w:id="810" w:name="_Toc10731107"/>
      <w:bookmarkStart w:id="811" w:name="_Toc10731768"/>
      <w:bookmarkStart w:id="812" w:name="_Toc10891607"/>
      <w:bookmarkStart w:id="813" w:name="_Toc10892282"/>
      <w:bookmarkStart w:id="814" w:name="_Toc11390145"/>
      <w:bookmarkStart w:id="815" w:name="_Toc11839824"/>
      <w:bookmarkStart w:id="816" w:name="_Toc11937360"/>
      <w:r>
        <w:t>Особенности циркадианных ритмов внутриклеточного ионизированного кальция и РНК в гепатоцитах крыс с экспериментальным гиперпаратиреозом</w:t>
      </w:r>
      <w:bookmarkEnd w:id="809"/>
      <w:bookmarkEnd w:id="810"/>
      <w:bookmarkEnd w:id="811"/>
      <w:bookmarkEnd w:id="812"/>
      <w:bookmarkEnd w:id="813"/>
      <w:bookmarkEnd w:id="814"/>
      <w:bookmarkEnd w:id="815"/>
      <w:bookmarkEnd w:id="816"/>
    </w:p>
    <w:p w:rsidR="00F4654E" w:rsidRDefault="00F4654E">
      <w:pPr>
        <w:pStyle w:val="2"/>
      </w:pPr>
      <w:bookmarkStart w:id="817" w:name="_Toc10115299"/>
      <w:bookmarkStart w:id="818" w:name="_Toc10731108"/>
      <w:bookmarkStart w:id="819" w:name="_Toc10731769"/>
      <w:bookmarkStart w:id="820" w:name="_Toc10891608"/>
      <w:bookmarkStart w:id="821" w:name="_Toc10892283"/>
      <w:bookmarkStart w:id="822" w:name="_Toc11390146"/>
      <w:bookmarkStart w:id="823" w:name="_Toc11937361"/>
      <w:r>
        <w:t>Батурин В.А., Тимченко Л.Д.*, Арешидзе Д.А.**, Руденко В.В.**</w:t>
      </w:r>
      <w:bookmarkEnd w:id="817"/>
      <w:bookmarkEnd w:id="818"/>
      <w:bookmarkEnd w:id="819"/>
      <w:bookmarkEnd w:id="820"/>
      <w:bookmarkEnd w:id="821"/>
      <w:bookmarkEnd w:id="822"/>
      <w:bookmarkEnd w:id="823"/>
    </w:p>
    <w:p w:rsidR="00F4654E" w:rsidRDefault="00F4654E">
      <w:pPr>
        <w:pStyle w:val="a5"/>
      </w:pPr>
      <w:r>
        <w:t xml:space="preserve">Ставропольская государственная  медицинская академия </w:t>
      </w:r>
      <w:r>
        <w:br/>
        <w:t>*Ставропольский государственный аграрный университет</w:t>
      </w:r>
      <w:r>
        <w:br/>
        <w:t xml:space="preserve"> **Ставропольский государственный  университет</w:t>
      </w:r>
    </w:p>
    <w:p w:rsidR="00F4654E" w:rsidRDefault="00F4654E">
      <w:pPr>
        <w:pStyle w:val="a6"/>
      </w:pPr>
      <w:r>
        <w:t>Всякий процесс адаптации связан с изменениями гомеостаза. Це</w:t>
      </w:r>
      <w:r>
        <w:t>н</w:t>
      </w:r>
      <w:r>
        <w:t>тральное место в  межуточном обмене занимает печень, активнейшее уч</w:t>
      </w:r>
      <w:r>
        <w:t>а</w:t>
      </w:r>
      <w:r>
        <w:t>ствующая в  сохранении гомеостаза организма. Состояние работоспосо</w:t>
      </w:r>
      <w:r>
        <w:t>б</w:t>
      </w:r>
      <w:r>
        <w:t>ности печени  определяет интенсивность  компенсаторных и адаптацио</w:t>
      </w:r>
      <w:r>
        <w:t>н</w:t>
      </w:r>
      <w:r>
        <w:t>ных возможностей организма. Нормальное функционирование печени во многом зависит от уровня циркулирующего кальция в организме. Имеется рад данных, свидетельствующих о нарушении работы печени при гипо- и гиперпаратиреозе. Одним из показателей становления адаптивных спосо</w:t>
      </w:r>
      <w:r>
        <w:t>б</w:t>
      </w:r>
      <w:r>
        <w:t>ностей  организма является четкое формирование циркадианных ритмов ряда функций. Особенности же восстановления ритма показывают ада</w:t>
      </w:r>
      <w:r>
        <w:t>п</w:t>
      </w:r>
      <w:r>
        <w:t>тивные возможности организма. Ритмичность, как неотъемлемо присущее живой природе свойство и одна из фундаментальных особенностей фун</w:t>
      </w:r>
      <w:r>
        <w:t>к</w:t>
      </w:r>
      <w:r>
        <w:t>ционирования организма, непосредственно связана с механизмами обра</w:t>
      </w:r>
      <w:r>
        <w:t>т</w:t>
      </w:r>
      <w:r>
        <w:t>ной связи, саморегуляции и адаптации. Поэтому основное назначение ри</w:t>
      </w:r>
      <w:r>
        <w:t>т</w:t>
      </w:r>
      <w:r>
        <w:t>мичности заключается в поддержании гомеостаза при постоянных возде</w:t>
      </w:r>
      <w:r>
        <w:t>й</w:t>
      </w:r>
      <w:r>
        <w:t>ствиях факторов внешней среды. Заслуживает пристального внимания то, что развитие ритмической системы организма, а, следовательно, его сп</w:t>
      </w:r>
      <w:r>
        <w:t>о</w:t>
      </w:r>
      <w:r>
        <w:t>собность к адаптации, начинается в раннем онтогенезе и также подвержено влиянию среды. Рядом ранее проведенных исследований показана завис</w:t>
      </w:r>
      <w:r>
        <w:t>и</w:t>
      </w:r>
      <w:r>
        <w:lastRenderedPageBreak/>
        <w:t>мость становления функциональных систем организма в зависимости от обеспеченности организма матери паратгормоном в период беременности, а так же  крыс на разных этапах онтогенеза в зависимости от обеспеченн</w:t>
      </w:r>
      <w:r>
        <w:t>о</w:t>
      </w:r>
      <w:r>
        <w:t>сти организма кальцием.</w:t>
      </w:r>
    </w:p>
    <w:p w:rsidR="00F4654E" w:rsidRDefault="00F4654E">
      <w:pPr>
        <w:pStyle w:val="a6"/>
      </w:pPr>
      <w:r>
        <w:t>Исходя из вышеизложенного, нам представлялось важным  изучить  особенности циркадианных ритмов внутриклеточного ионизированного кальция и РНК в печени крыс шестимесячных крыс с экспериментальной гиперкальциемией при смещении светового режима. Этот возраст характ</w:t>
      </w:r>
      <w:r>
        <w:t>е</w:t>
      </w:r>
      <w:r>
        <w:t>ризуется завершением становления всех функциональных систем.</w:t>
      </w:r>
    </w:p>
    <w:p w:rsidR="00F4654E" w:rsidRDefault="00F4654E">
      <w:pPr>
        <w:pStyle w:val="a6"/>
      </w:pPr>
      <w:r>
        <w:t>Эксперимент был проведен на 100 белых беспородных крысах, разд</w:t>
      </w:r>
      <w:r>
        <w:t>е</w:t>
      </w:r>
      <w:r>
        <w:t>ленных на 2 группы. 1 группа - крысы, которым трансплантировали три пары дополнительных околощитовидных желез, что обеспечивало гипе</w:t>
      </w:r>
      <w:r>
        <w:t>р</w:t>
      </w:r>
      <w:r>
        <w:t>кальциемию; 2 группа – интактные животные, послужившие контролем.</w:t>
      </w:r>
    </w:p>
    <w:p w:rsidR="00F4654E" w:rsidRDefault="00F4654E">
      <w:pPr>
        <w:pStyle w:val="a6"/>
      </w:pPr>
      <w:r>
        <w:t>Вначале все крысы содержались при фиксированном световом реж</w:t>
      </w:r>
      <w:r>
        <w:t>и</w:t>
      </w:r>
      <w:r>
        <w:t>ме, затем проводили смещение освещенности на 10 часов. Органы для и</w:t>
      </w:r>
      <w:r>
        <w:t>с</w:t>
      </w:r>
      <w:r>
        <w:t>следования брали при фиксированном световом режиме, а также через 1,2 и 3 недели после смещения светового режима 6 раз в сутки раз в  4 часа. После фиксации 10% формалином проводилось гистохимическое исслед</w:t>
      </w:r>
      <w:r>
        <w:t>о</w:t>
      </w:r>
      <w:r>
        <w:t>вание. Внутриклеточный ионизированный кальций определялся по методу Лилли с щавелевой кислотой, РНК определялась по методу Браше. Затем проводилась визуальная оценка интенсивности гистохимической реакции по В.В. Соколовскому (1971). Оценка достоверности проводилась по мет</w:t>
      </w:r>
      <w:r>
        <w:t>о</w:t>
      </w:r>
      <w:r>
        <w:t>ду Монцевичюте-Эрингене для гистохимических реакций.</w:t>
      </w:r>
    </w:p>
    <w:p w:rsidR="00F4654E" w:rsidRDefault="00F4654E">
      <w:pPr>
        <w:pStyle w:val="a6"/>
      </w:pPr>
      <w:r>
        <w:t xml:space="preserve"> Результаты исследования свидетельствуют, что у интактных живо</w:t>
      </w:r>
      <w:r>
        <w:t>т</w:t>
      </w:r>
      <w:r>
        <w:t>ных при фиксированном световом режиме максимальная концентрация кальция наблюдалась в 18 часов. Все остальное время его колебания были недостоверны.  Максимальное содержание РНК было отмечено в  22 часа, после чего выделяются 2 минимума в 6 и 14 часов. Это совпадает с до</w:t>
      </w:r>
      <w:r>
        <w:t>с</w:t>
      </w:r>
      <w:r>
        <w:t>тупными нам литературными данными.</w:t>
      </w:r>
    </w:p>
    <w:p w:rsidR="00F4654E" w:rsidRDefault="00F4654E">
      <w:pPr>
        <w:pStyle w:val="a6"/>
      </w:pPr>
      <w:r>
        <w:t>После смещения светового режима происходит изменение циркадиа</w:t>
      </w:r>
      <w:r>
        <w:t>н</w:t>
      </w:r>
      <w:r>
        <w:t>ного ритма кальция. Появляется второй пик в 10 часов. Колебания в о</w:t>
      </w:r>
      <w:r>
        <w:t>с</w:t>
      </w:r>
      <w:r>
        <w:t>тальное время суток так же незначительны.  Претерпевает изменение и ритм РНК.  Максимум отмечается в 2 часа, после чего отмечен постепе</w:t>
      </w:r>
      <w:r>
        <w:t>н</w:t>
      </w:r>
      <w:r>
        <w:t>ный спад до 14часов. Затем нами был отмечен рост содержания кислоты до 22 часов, когда был отмечен второй пик, совпадающий по значению с пе</w:t>
      </w:r>
      <w:r>
        <w:t>р</w:t>
      </w:r>
      <w:r>
        <w:t>вым. На второй неделе нового светового режима максимальное значение кальция в гепатоцитах отмечено так же в 18 часов, но появляется четкий минимум в 22 часа.  Ритм РНК продолжает меняться. Минимальное с</w:t>
      </w:r>
      <w:r>
        <w:t>о</w:t>
      </w:r>
      <w:r>
        <w:t>держание отмечено в  период с 2 до 10 часов, затем происходит резкий подъем до максимума в 18 часов. К концу эксперимента  ритм кальция не меняется. Максимальное содержание РНК – в 18 и 22 часа, минимум – в 6 часов.  Таким образом ритм фактически возвращается к исходным пар</w:t>
      </w:r>
      <w:r>
        <w:t>а</w:t>
      </w:r>
      <w:r>
        <w:t>метрам. У крыс с экспериментальной гиперкальциемией при фиксирова</w:t>
      </w:r>
      <w:r>
        <w:t>н</w:t>
      </w:r>
      <w:r>
        <w:lastRenderedPageBreak/>
        <w:t>ном световом режиме циркадианный ритм кальция имеет  максимум с 2 до 6 часов, 2 минимума отмечается в 10 и 18 часов.  Максимум РНК регис</w:t>
      </w:r>
      <w:r>
        <w:t>т</w:t>
      </w:r>
      <w:r>
        <w:t>рируется в 10 и 22 часа, минимум – в 2 часа. На 1 неделе нового светового режима ритм кальция не изменяется.  Максимальные показатели РНК о</w:t>
      </w:r>
      <w:r>
        <w:t>т</w:t>
      </w:r>
      <w:r>
        <w:t>мечены в период с 6 до 14 часов. В 18 часов – минимум, после чего вновь происходит повышение. Ко второй неделе   максимум кальция регистрир</w:t>
      </w:r>
      <w:r>
        <w:t>у</w:t>
      </w:r>
      <w:r>
        <w:t>ется с 2 до 10 часов, затем происходит спад. В это время концентрация одинакова.  Ритм РНК имеет четкий максимум в 18 часов, минимум – в 6 часов. В конце эксперимента максимальное значение кальция в гепатоц</w:t>
      </w:r>
      <w:r>
        <w:t>и</w:t>
      </w:r>
      <w:r>
        <w:t>тах – в 14 часов, минимум – в 18 часов. Ритм РНК достоверно  по сравн</w:t>
      </w:r>
      <w:r>
        <w:t>е</w:t>
      </w:r>
      <w:r>
        <w:t>нию с предыдущей неделей не меняется.</w:t>
      </w:r>
    </w:p>
    <w:p w:rsidR="00F4654E" w:rsidRDefault="00F4654E">
      <w:pPr>
        <w:pStyle w:val="a6"/>
      </w:pPr>
      <w:r>
        <w:t>Полученные данные позволяют нам сделать вывод о том, что у ж</w:t>
      </w:r>
      <w:r>
        <w:t>и</w:t>
      </w:r>
      <w:r>
        <w:t>вотных с гиперпаратиреозом ритм кальция и РНК  уже при фиксированном режиме отличен от таковых у интактных крыс. При смещении светового режима не происходит восстановления этих ритмов, что опять же отлично от контроля. Это позволяет нам сделать вывод о том, что гиперкальциемия существенно нарушает функционирование печени при смещении светов</w:t>
      </w:r>
      <w:r>
        <w:t>о</w:t>
      </w:r>
      <w:r>
        <w:t>го режима.</w:t>
      </w:r>
    </w:p>
    <w:p w:rsidR="00F4654E" w:rsidRDefault="00F4654E">
      <w:pPr>
        <w:pStyle w:val="a4"/>
      </w:pPr>
      <w:r>
        <w:t>УДК 619:616.992.28</w:t>
      </w:r>
    </w:p>
    <w:p w:rsidR="00F4654E" w:rsidRDefault="00F4654E">
      <w:pPr>
        <w:pStyle w:val="1"/>
      </w:pPr>
      <w:bookmarkStart w:id="824" w:name="_Toc10115300"/>
      <w:bookmarkStart w:id="825" w:name="_Toc10731109"/>
      <w:bookmarkStart w:id="826" w:name="_Toc10731770"/>
      <w:bookmarkStart w:id="827" w:name="_Toc10891609"/>
      <w:bookmarkStart w:id="828" w:name="_Toc10892284"/>
      <w:bookmarkStart w:id="829" w:name="_Toc11390147"/>
      <w:bookmarkStart w:id="830" w:name="_Toc11839826"/>
      <w:bookmarkStart w:id="831" w:name="_Toc11937362"/>
      <w:r>
        <w:t>Патоморфологические признаки кандидоза индюшат</w:t>
      </w:r>
      <w:bookmarkEnd w:id="824"/>
      <w:bookmarkEnd w:id="825"/>
      <w:bookmarkEnd w:id="826"/>
      <w:bookmarkEnd w:id="827"/>
      <w:bookmarkEnd w:id="828"/>
      <w:bookmarkEnd w:id="829"/>
      <w:bookmarkEnd w:id="830"/>
      <w:bookmarkEnd w:id="831"/>
    </w:p>
    <w:p w:rsidR="00F4654E" w:rsidRDefault="00F4654E">
      <w:pPr>
        <w:pStyle w:val="2"/>
      </w:pPr>
      <w:bookmarkStart w:id="832" w:name="_Toc10115301"/>
      <w:bookmarkStart w:id="833" w:name="_Toc10731110"/>
      <w:bookmarkStart w:id="834" w:name="_Toc10731771"/>
      <w:bookmarkStart w:id="835" w:name="_Toc10891610"/>
      <w:bookmarkStart w:id="836" w:name="_Toc10892285"/>
      <w:bookmarkStart w:id="837" w:name="_Toc11390148"/>
      <w:bookmarkStart w:id="838" w:name="_Toc11937363"/>
      <w:r>
        <w:t>Белокобыльская Л.Г.</w:t>
      </w:r>
      <w:bookmarkEnd w:id="832"/>
      <w:bookmarkEnd w:id="833"/>
      <w:bookmarkEnd w:id="834"/>
      <w:bookmarkEnd w:id="835"/>
      <w:bookmarkEnd w:id="836"/>
      <w:bookmarkEnd w:id="837"/>
      <w:bookmarkEnd w:id="838"/>
    </w:p>
    <w:p w:rsidR="00F4654E" w:rsidRDefault="00F4654E">
      <w:pPr>
        <w:pStyle w:val="a5"/>
      </w:pPr>
      <w:r>
        <w:t>Донской государственный аграрный университет</w:t>
      </w:r>
    </w:p>
    <w:p w:rsidR="00F4654E" w:rsidRDefault="00F4654E">
      <w:pPr>
        <w:pStyle w:val="a6"/>
      </w:pPr>
      <w:r>
        <w:t>Чрезвычайно широкое распространение микозов и микотоксикозов у животных и человека в последние годы является расплатой человечества за «золотой век антибиотиков». Самым распространенным среди микозов я</w:t>
      </w:r>
      <w:r>
        <w:t>в</w:t>
      </w:r>
      <w:r>
        <w:t>ляется кандидоз. Заболевание свойственно молодняку и ослабленным ж</w:t>
      </w:r>
      <w:r>
        <w:t>и</w:t>
      </w:r>
      <w:r>
        <w:t>вотным. С каждым годом кандидоз приобретает все более широкое ра</w:t>
      </w:r>
      <w:r>
        <w:t>с</w:t>
      </w:r>
      <w:r>
        <w:t>пространение и наносит огромный экономический ущерб.</w:t>
      </w:r>
    </w:p>
    <w:p w:rsidR="00F4654E" w:rsidRDefault="00F4654E">
      <w:pPr>
        <w:pStyle w:val="a6"/>
      </w:pPr>
      <w:r>
        <w:t>Задачей настоящего исследования было изучение патоморфологич</w:t>
      </w:r>
      <w:r>
        <w:t>е</w:t>
      </w:r>
      <w:r>
        <w:t>ских изменений у индюшат павших от кандидоза. Изучали состояние п</w:t>
      </w:r>
      <w:r>
        <w:t>е</w:t>
      </w:r>
      <w:r>
        <w:t>чени, поджелудочной железы, слизистых оболочек желудочно-кишечного тракта и желчного пузыря. Патматериал для гистологического исследов</w:t>
      </w:r>
      <w:r>
        <w:t>а</w:t>
      </w:r>
      <w:r>
        <w:t>ния  из перечисленных органов фиксировали в 10%-ном растворе не</w:t>
      </w:r>
      <w:r>
        <w:t>й</w:t>
      </w:r>
      <w:r>
        <w:t>трального формалина, заливали в парафин. Гистосрезы окрашивали гем</w:t>
      </w:r>
      <w:r>
        <w:t>а</w:t>
      </w:r>
      <w:r>
        <w:t>токсилин – эозином и для выявления грибов по Грам-Вейгерту в модиф</w:t>
      </w:r>
      <w:r>
        <w:t>и</w:t>
      </w:r>
      <w:r>
        <w:t xml:space="preserve">кации Боголепова. </w:t>
      </w:r>
    </w:p>
    <w:p w:rsidR="00F4654E" w:rsidRDefault="00F4654E">
      <w:pPr>
        <w:pStyle w:val="a6"/>
      </w:pPr>
      <w:r>
        <w:t>При патологоанатомическом вскрытии в тонком кишечнике находили творожистые или пленчатые наложения серо-белого цвета или слегка же</w:t>
      </w:r>
      <w:r>
        <w:t>л</w:t>
      </w:r>
      <w:r>
        <w:t>товатого цвета, прочно соединенные со слизистой оболочкой. При их н</w:t>
      </w:r>
      <w:r>
        <w:t>а</w:t>
      </w:r>
      <w:r>
        <w:t>сильственном отделении обнажалась гиперемированная набухшая повре</w:t>
      </w:r>
      <w:r>
        <w:t>ж</w:t>
      </w:r>
      <w:r>
        <w:t>денная слизистая оболочка. В гистопрепаратах, окрашенных гематокс</w:t>
      </w:r>
      <w:r>
        <w:t>и</w:t>
      </w:r>
      <w:r>
        <w:lastRenderedPageBreak/>
        <w:t>лин-эозином, обнаруживали нарушение верхних отделов ворсинок, увел</w:t>
      </w:r>
      <w:r>
        <w:t>и</w:t>
      </w:r>
      <w:r>
        <w:t>чение бокаловидных клеток, эпителий нижних отделов ворсинок и кише</w:t>
      </w:r>
      <w:r>
        <w:t>ч</w:t>
      </w:r>
      <w:r>
        <w:t>ных желез в состоянии зернистой и вакуольной дистрофии. Сосуды по</w:t>
      </w:r>
      <w:r>
        <w:t>д</w:t>
      </w:r>
      <w:r>
        <w:t>слизистого слоя гиперемированы, вокруг кишечных желез и кровеносных сосудов находятся большие скопление клеток РЭС. Слизистая, мышечная и серозная оболочки отечны.  Окраской по Грам-Вейгерту в модификации Боголепова грибы в виде плотной массы или отдельных нитей распол</w:t>
      </w:r>
      <w:r>
        <w:t>а</w:t>
      </w:r>
      <w:r>
        <w:t xml:space="preserve">гающихся в слизистом, подслизистых слоях и на поверхности слизистой оболочки окрашивались в сине-фиолетовый цвет.           </w:t>
      </w:r>
    </w:p>
    <w:p w:rsidR="00F4654E" w:rsidRDefault="00F4654E">
      <w:pPr>
        <w:pStyle w:val="a6"/>
      </w:pPr>
      <w:r>
        <w:t>Желчный пузырь был растянут, с истонченной стенкой, переполнен желчью. В гистопрепаратах, окрашенных гематоксилин-эозином, набл</w:t>
      </w:r>
      <w:r>
        <w:t>ю</w:t>
      </w:r>
      <w:r>
        <w:t xml:space="preserve">дали некроз и дистрофию эпителия слизистой оболочки, отек слизистого и подслизистого слоев. </w:t>
      </w:r>
    </w:p>
    <w:p w:rsidR="00F4654E" w:rsidRDefault="00F4654E">
      <w:pPr>
        <w:pStyle w:val="a6"/>
      </w:pPr>
      <w:r>
        <w:t>Обе половины печени увеличены, со слегка притупленными краями, неравномерной окраски, представляющей сочетание красно-коричневого и желто-серого цветов. Серо-желтые участки не имеют четких границ, ра</w:t>
      </w:r>
      <w:r>
        <w:t>с</w:t>
      </w:r>
      <w:r>
        <w:t>полагаются вглубь на всю толщу органа. В гистосрезах из этих участков, окрашенных гематоксилин-эозином, видно, что балочная структура органа нарушена, гепатоциты, центральные вены и сосуды   интерстиция гипер</w:t>
      </w:r>
      <w:r>
        <w:t>е</w:t>
      </w:r>
      <w:r>
        <w:t>мированы, вокруг триад -  пролиферация клеток РЭС.</w:t>
      </w:r>
    </w:p>
    <w:p w:rsidR="00F4654E" w:rsidRDefault="00F4654E">
      <w:pPr>
        <w:pStyle w:val="a6"/>
      </w:pPr>
      <w:r>
        <w:t>Поджелудочная железа набухшая, серо-розового цвета, края ее прит</w:t>
      </w:r>
      <w:r>
        <w:t>у</w:t>
      </w:r>
      <w:r>
        <w:t>плены. В гистосрезах видна гиперемия интерстициальной ткани поджел</w:t>
      </w:r>
      <w:r>
        <w:t>у</w:t>
      </w:r>
      <w:r>
        <w:t xml:space="preserve">дочной железы, отек, дистрофия эпителия. </w:t>
      </w:r>
    </w:p>
    <w:p w:rsidR="00F4654E" w:rsidRDefault="00F4654E">
      <w:pPr>
        <w:pStyle w:val="a6"/>
      </w:pPr>
      <w:r>
        <w:t xml:space="preserve">Таким образом, у индюшат, погибших от кандидоза, установлены:  деструктивный катаральный энтерит с разростом мицелия гриба Candida на поверхности и в толще слизистой оболочки, катаральный холецистит, серозный панкреатит и гепатит.  </w:t>
      </w:r>
    </w:p>
    <w:p w:rsidR="00F4654E" w:rsidRDefault="00F4654E">
      <w:pPr>
        <w:pStyle w:val="a4"/>
      </w:pPr>
      <w:r>
        <w:t>УДК 619:618.19-002-084:636.22/.28</w:t>
      </w:r>
    </w:p>
    <w:p w:rsidR="00F4654E" w:rsidRDefault="00F4654E">
      <w:pPr>
        <w:pStyle w:val="1"/>
      </w:pPr>
      <w:bookmarkStart w:id="839" w:name="_Toc10115304"/>
      <w:bookmarkStart w:id="840" w:name="_Toc10731113"/>
      <w:bookmarkStart w:id="841" w:name="_Toc10731774"/>
      <w:bookmarkStart w:id="842" w:name="_Toc10891613"/>
      <w:bookmarkStart w:id="843" w:name="_Toc10892288"/>
      <w:bookmarkStart w:id="844" w:name="_Toc11390151"/>
      <w:bookmarkStart w:id="845" w:name="_Toc11839828"/>
      <w:bookmarkStart w:id="846" w:name="_Toc11937364"/>
      <w:r>
        <w:t>Профилактика мастита коров путем применения препаратов селена в период сухостоя</w:t>
      </w:r>
      <w:bookmarkEnd w:id="839"/>
      <w:bookmarkEnd w:id="840"/>
      <w:bookmarkEnd w:id="841"/>
      <w:bookmarkEnd w:id="842"/>
      <w:bookmarkEnd w:id="843"/>
      <w:bookmarkEnd w:id="844"/>
      <w:bookmarkEnd w:id="845"/>
      <w:bookmarkEnd w:id="846"/>
    </w:p>
    <w:p w:rsidR="00F4654E" w:rsidRDefault="00F4654E">
      <w:pPr>
        <w:pStyle w:val="2"/>
      </w:pPr>
      <w:bookmarkStart w:id="847" w:name="_Toc10115305"/>
      <w:bookmarkStart w:id="848" w:name="_Toc10731114"/>
      <w:bookmarkStart w:id="849" w:name="_Toc10731775"/>
      <w:bookmarkStart w:id="850" w:name="_Toc10891614"/>
      <w:bookmarkStart w:id="851" w:name="_Toc10892289"/>
      <w:bookmarkStart w:id="852" w:name="_Toc11390152"/>
      <w:bookmarkStart w:id="853" w:name="_Toc11937365"/>
      <w:r>
        <w:t>Беляев В.И., Слободяник В.И.*, Брюхова И.В.</w:t>
      </w:r>
      <w:bookmarkEnd w:id="847"/>
      <w:bookmarkEnd w:id="848"/>
      <w:bookmarkEnd w:id="849"/>
      <w:bookmarkEnd w:id="850"/>
      <w:bookmarkEnd w:id="851"/>
      <w:bookmarkEnd w:id="852"/>
      <w:bookmarkEnd w:id="853"/>
    </w:p>
    <w:p w:rsidR="00F4654E" w:rsidRDefault="00F4654E">
      <w:pPr>
        <w:pStyle w:val="a5"/>
      </w:pPr>
      <w:r>
        <w:t xml:space="preserve">Всероссийский НИВИ патологии, фармакологии и терапии </w:t>
      </w:r>
      <w:r>
        <w:br/>
        <w:t>*Воронежский государственный аграрный университет им. К.Д. Глинки</w:t>
      </w:r>
    </w:p>
    <w:p w:rsidR="00F4654E" w:rsidRDefault="00F4654E">
      <w:pPr>
        <w:pStyle w:val="a6"/>
      </w:pPr>
      <w:r>
        <w:t>Во многих странах мира, наряду с исследованием влияния селена для предупреждения различных заболеваний, были проведены эксперименты по изучению действия данного микроэлемента на воспроизводительную функцию животных. Установлена высокая профилактическая эффекти</w:t>
      </w:r>
      <w:r>
        <w:t>в</w:t>
      </w:r>
      <w:r>
        <w:t>ность препаратов селена  при задержании последа, субинволюции матки, эндометритах (А.Ф. Колчина, 1999; А.С. Ерохин, 2001). При этом испол</w:t>
      </w:r>
      <w:r>
        <w:t>ь</w:t>
      </w:r>
      <w:r>
        <w:t>зовали селенит натрия, селенит бария, ДАФС-25 и другие соединения с</w:t>
      </w:r>
      <w:r>
        <w:t>е</w:t>
      </w:r>
      <w:r>
        <w:t>лена, токсичность которых довольно высока (ЛД</w:t>
      </w:r>
      <w:r>
        <w:rPr>
          <w:vertAlign w:val="subscript"/>
        </w:rPr>
        <w:t xml:space="preserve">50 </w:t>
      </w:r>
      <w:r>
        <w:t xml:space="preserve">– 10-250 мг/кг ж.м.). </w:t>
      </w:r>
    </w:p>
    <w:p w:rsidR="00F4654E" w:rsidRDefault="00F4654E">
      <w:pPr>
        <w:pStyle w:val="a6"/>
      </w:pPr>
      <w:r>
        <w:lastRenderedPageBreak/>
        <w:t>Учитывая, что препараты селена оказывают положительное влияние на метаболические процессы, гуморальные и клеточные факторы естес</w:t>
      </w:r>
      <w:r>
        <w:t>т</w:t>
      </w:r>
      <w:r>
        <w:t>венной резистентности организма животных (В.А. Тутельян, 2002), мы провели исследование профилактических свойств нового органического соединения селена диметилпиразолилселенида (селекор) при мастите к</w:t>
      </w:r>
      <w:r>
        <w:t>о</w:t>
      </w:r>
      <w:r>
        <w:t>ров в период сухостоя. Данный препарат мало токсичен (ЛД</w:t>
      </w:r>
      <w:r>
        <w:rPr>
          <w:vertAlign w:val="subscript"/>
        </w:rPr>
        <w:t xml:space="preserve">50 </w:t>
      </w:r>
      <w:r>
        <w:t xml:space="preserve">–8100 мг/кг) и с высокой биодоступностью (80-90%) и не обладает кумулятивными свойствами (И.В. Саноцкий, 2001). </w:t>
      </w:r>
    </w:p>
    <w:p w:rsidR="00F4654E" w:rsidRDefault="00F4654E">
      <w:pPr>
        <w:pStyle w:val="a6"/>
      </w:pPr>
      <w:r>
        <w:t>В опыт было взято 30 коров клинически здоровых, аналогичных по породе, возрасту, лактации и разделенных на три группы. Коровам, в нач</w:t>
      </w:r>
      <w:r>
        <w:t>а</w:t>
      </w:r>
      <w:r>
        <w:t>ле второй неделе сухостоя, вводили внутримышечно селекор в дозе 10 мкг/кг (группа 2), 10 мл 0,5% раствора селенита натрия (группа 3 – баз</w:t>
      </w:r>
      <w:r>
        <w:t>о</w:t>
      </w:r>
      <w:r>
        <w:t>вый контроль), коровы первой группы являлись отрицательным контр</w:t>
      </w:r>
      <w:r>
        <w:t>о</w:t>
      </w:r>
      <w:r>
        <w:t>лем. Через неделю после отела всех животных исследовали по общеприн</w:t>
      </w:r>
      <w:r>
        <w:t>я</w:t>
      </w:r>
      <w:r>
        <w:t>тым методикам на заболеваемость маститом и взяли кровь для биохимич</w:t>
      </w:r>
      <w:r>
        <w:t>е</w:t>
      </w:r>
      <w:r>
        <w:t xml:space="preserve">ского анализа. </w:t>
      </w:r>
    </w:p>
    <w:p w:rsidR="00F4654E" w:rsidRDefault="00F4654E">
      <w:pPr>
        <w:pStyle w:val="a6"/>
      </w:pPr>
      <w:r>
        <w:t>Установлено, что в первой группе заболело маститом 20%, в третей – 10% коров, во второй группе больных не было. При анализе гематологич</w:t>
      </w:r>
      <w:r>
        <w:t>е</w:t>
      </w:r>
      <w:r>
        <w:t>ских и биохимических показателей выявлено, что у животных второй группы в период исследования содержание общего белка, эритроцитов, г</w:t>
      </w:r>
      <w:r>
        <w:t>е</w:t>
      </w:r>
      <w:r>
        <w:t>моглобина, мочевины и липидов было выше, а АсАТ и АлАТ ниже, чем у коров из контрольной группы (р</w:t>
      </w:r>
      <w:r>
        <w:sym w:font="Symbol" w:char="F03C"/>
      </w:r>
      <w:r>
        <w:t>0,001). У животных из третьей группы уровень белка, мочевины, эритроцитов, лейкоцитов и ферментов (АсАТ, АлАТ) изменялся в меньшей степени (р</w:t>
      </w:r>
      <w:r>
        <w:sym w:font="Symbol" w:char="F03C"/>
      </w:r>
      <w:r>
        <w:t xml:space="preserve">0,05). </w:t>
      </w:r>
    </w:p>
    <w:p w:rsidR="00F4654E" w:rsidRDefault="00F4654E">
      <w:pPr>
        <w:pStyle w:val="a6"/>
      </w:pPr>
      <w:r>
        <w:t>Следовательно, селекор обладает более высокими антиоксидантными свойствами, чем селенит натрия, существенно влияет на процессы метаб</w:t>
      </w:r>
      <w:r>
        <w:t>о</w:t>
      </w:r>
      <w:r>
        <w:t>лизма в живом организме и профилактирует заболевания вымени при пр</w:t>
      </w:r>
      <w:r>
        <w:t>и</w:t>
      </w:r>
      <w:r>
        <w:t xml:space="preserve">менении его сухостойным коровам.   </w:t>
      </w:r>
    </w:p>
    <w:p w:rsidR="00F4654E" w:rsidRDefault="00F4654E">
      <w:pPr>
        <w:pStyle w:val="a4"/>
      </w:pPr>
      <w:r>
        <w:t>УДК 619:615.3-053.2:636.4</w:t>
      </w:r>
    </w:p>
    <w:p w:rsidR="00F4654E" w:rsidRDefault="00F4654E">
      <w:pPr>
        <w:pStyle w:val="1"/>
      </w:pPr>
      <w:bookmarkStart w:id="854" w:name="_Toc10731115"/>
      <w:bookmarkStart w:id="855" w:name="_Toc10731776"/>
      <w:bookmarkStart w:id="856" w:name="_Toc10891615"/>
      <w:bookmarkStart w:id="857" w:name="_Toc10892290"/>
      <w:bookmarkStart w:id="858" w:name="_Toc11390153"/>
      <w:bookmarkStart w:id="859" w:name="_Toc11839830"/>
      <w:bookmarkStart w:id="860" w:name="_Toc11937366"/>
      <w:r>
        <w:t>ВЛИЯНИЕ ПРЕПАРАТА СЕЛЕКОР НА ОРГАНИЗМ ПОРОСЯТ-ОТЪЕМЫШЕЙ</w:t>
      </w:r>
      <w:bookmarkEnd w:id="854"/>
      <w:bookmarkEnd w:id="855"/>
      <w:bookmarkEnd w:id="856"/>
      <w:bookmarkEnd w:id="857"/>
      <w:bookmarkEnd w:id="858"/>
      <w:bookmarkEnd w:id="859"/>
      <w:bookmarkEnd w:id="860"/>
    </w:p>
    <w:p w:rsidR="00F4654E" w:rsidRDefault="00F4654E">
      <w:pPr>
        <w:pStyle w:val="2"/>
      </w:pPr>
      <w:bookmarkStart w:id="861" w:name="_Toc10731116"/>
      <w:bookmarkStart w:id="862" w:name="_Toc10731777"/>
      <w:bookmarkStart w:id="863" w:name="_Toc10891616"/>
      <w:bookmarkStart w:id="864" w:name="_Toc10892291"/>
      <w:bookmarkStart w:id="865" w:name="_Toc11390154"/>
      <w:bookmarkStart w:id="866" w:name="_Toc11937367"/>
      <w:r>
        <w:t>Беляев В.И., Мельникова Т.Е., Алехин Ю.Н.*, Часовников А.В.</w:t>
      </w:r>
      <w:bookmarkEnd w:id="861"/>
      <w:bookmarkEnd w:id="862"/>
      <w:bookmarkEnd w:id="863"/>
      <w:bookmarkEnd w:id="864"/>
      <w:bookmarkEnd w:id="865"/>
      <w:bookmarkEnd w:id="866"/>
    </w:p>
    <w:p w:rsidR="00F4654E" w:rsidRDefault="00F4654E">
      <w:pPr>
        <w:pStyle w:val="a5"/>
      </w:pPr>
      <w:r>
        <w:t xml:space="preserve">Всероссийский НИВИ патологии, фармакологии и терапии </w:t>
      </w:r>
      <w:r>
        <w:br/>
        <w:t>*ООО «Ветеринарный диагностический центр», г. Воронеж</w:t>
      </w:r>
    </w:p>
    <w:p w:rsidR="00F4654E" w:rsidRDefault="00F4654E">
      <w:pPr>
        <w:pStyle w:val="a6"/>
      </w:pPr>
      <w:r>
        <w:t>Значение селена для организма человека и животных убедительно д</w:t>
      </w:r>
      <w:r>
        <w:t>о</w:t>
      </w:r>
      <w:r>
        <w:t>казано многими исследователями. Это объясняется тем, что данный эл</w:t>
      </w:r>
      <w:r>
        <w:t>е</w:t>
      </w:r>
      <w:r>
        <w:t>мент активно участвует в обмене веществ, а его биохимические функции в организме заключаются в регуляции скорости окислительно-восстанови-тельных процессов. По данным литературы наибольшей биодоступностью обладают органические препараты селена, а среди них двухвалентные с</w:t>
      </w:r>
      <w:r>
        <w:t>о</w:t>
      </w:r>
      <w:r>
        <w:t>единения. В отличие от других органических соединений селена (ДАФС-25, селенопиран и т.п.) селекор обладает очень низкой токсичностью, сл</w:t>
      </w:r>
      <w:r>
        <w:t>а</w:t>
      </w:r>
      <w:r>
        <w:lastRenderedPageBreak/>
        <w:t xml:space="preserve">бой материальной кумуляцией, отсутствием аллергизирующего действия, антикахектическими свойствами, высокой антиоксидантной активностью. </w:t>
      </w:r>
    </w:p>
    <w:p w:rsidR="00F4654E" w:rsidRDefault="00F4654E">
      <w:pPr>
        <w:pStyle w:val="a6"/>
      </w:pPr>
      <w:r>
        <w:t>Учитывая малочисленность исследований по влиянию селекора на о</w:t>
      </w:r>
      <w:r>
        <w:t>р</w:t>
      </w:r>
      <w:r>
        <w:t>ганизм сельскохозяйственных животных, была поставлена задача изучить его влияние на организм поросят и подобрать оптимальную дозу  препар</w:t>
      </w:r>
      <w:r>
        <w:t>а</w:t>
      </w:r>
      <w:r>
        <w:t>та. Для решения поставленной задачи провели опыт на 27 поросятах кру</w:t>
      </w:r>
      <w:r>
        <w:t>п</w:t>
      </w:r>
      <w:r>
        <w:t>ной белой породы в возрасте 2-2,5 месяцев. Поросята были разделены по принципу аналогов на 4 группы. 4-ая группа служила отрицательным ко</w:t>
      </w:r>
      <w:r>
        <w:t>н</w:t>
      </w:r>
      <w:r>
        <w:t>тролем, трем другим группам вводили препарат селекор в дозе: 1-ая - 5 мкг/кг, 2-ая  - 10 мкг/кг, 3-я – 20 мкг/кг. Через 30 дней после введения пр</w:t>
      </w:r>
      <w:r>
        <w:t>е</w:t>
      </w:r>
      <w:r>
        <w:t>парата провели учет среднесуточного прироста поросят каждой группы и взятие крови.</w:t>
      </w:r>
    </w:p>
    <w:p w:rsidR="00F4654E" w:rsidRDefault="00F4654E">
      <w:pPr>
        <w:pStyle w:val="a6"/>
      </w:pPr>
      <w:r>
        <w:t>Эксперимент показал, что введение препарата селекор в дозе 20 мкг/кг способствует достоверному повышению среднесуточного прироста поросят на 18,1 % по сравнению с контролем и составляет 166 г в сутки, в то время как у интактных – 136 г. Препарат в дозах 5 и 10 мкг/кг не оказ</w:t>
      </w:r>
      <w:r>
        <w:t>ы</w:t>
      </w:r>
      <w:r>
        <w:t>вал существенного влияния на увеличение среднесуточного прироста п</w:t>
      </w:r>
      <w:r>
        <w:t>о</w:t>
      </w:r>
      <w:r>
        <w:t>росят-отъемышей. Количество эритроцитов в крови контрольных живо</w:t>
      </w:r>
      <w:r>
        <w:t>т</w:t>
      </w:r>
      <w:r>
        <w:t>ных значительно повышено и превышало норму (7,3</w:t>
      </w:r>
      <w:r>
        <w:sym w:font="Symbol" w:char="F0B1"/>
      </w:r>
      <w:r>
        <w:t>0,3</w:t>
      </w:r>
      <w:r>
        <w:sym w:font="Symbol" w:char="F0B4"/>
      </w:r>
      <w:r>
        <w:t>10</w:t>
      </w:r>
      <w:r>
        <w:rPr>
          <w:vertAlign w:val="superscript"/>
        </w:rPr>
        <w:t>12</w:t>
      </w:r>
      <w:r>
        <w:t>/л). Соде</w:t>
      </w:r>
      <w:r>
        <w:t>р</w:t>
      </w:r>
      <w:r>
        <w:t>жание эритроцитов у животных, получавших селенорганический препарат находится в пределах нормы. Оптимальные показатели у животных 3-ей группы (6,78</w:t>
      </w:r>
      <w:r>
        <w:sym w:font="Symbol" w:char="F0B1"/>
      </w:r>
      <w:r>
        <w:t xml:space="preserve">0,25 </w:t>
      </w:r>
      <w:r>
        <w:sym w:font="Symbol" w:char="F0B4"/>
      </w:r>
      <w:r>
        <w:t xml:space="preserve"> 10</w:t>
      </w:r>
      <w:r>
        <w:rPr>
          <w:vertAlign w:val="superscript"/>
        </w:rPr>
        <w:t>12</w:t>
      </w:r>
      <w:r>
        <w:t>/л) Содержание лейкоцитов в крови животных всех групп (за исключением 3-ей) повышено. Количество лейкоцитов у животных 3 группы указывает на стабильное состояние лейкоцитарного профиля (15</w:t>
      </w:r>
      <w:r>
        <w:sym w:font="Symbol" w:char="F0B1"/>
      </w:r>
      <w:r>
        <w:t xml:space="preserve">2,14 </w:t>
      </w:r>
      <w:r>
        <w:sym w:font="Symbol" w:char="F0B4"/>
      </w:r>
      <w:r>
        <w:t xml:space="preserve"> 10</w:t>
      </w:r>
      <w:r>
        <w:rPr>
          <w:vertAlign w:val="superscript"/>
        </w:rPr>
        <w:t>9</w:t>
      </w:r>
      <w:r>
        <w:t>/л). Достоверных различий в содержании гемогл</w:t>
      </w:r>
      <w:r>
        <w:t>о</w:t>
      </w:r>
      <w:r>
        <w:t>бина и гематокрита не отмечено.</w:t>
      </w:r>
    </w:p>
    <w:p w:rsidR="00F4654E" w:rsidRDefault="00F4654E">
      <w:pPr>
        <w:pStyle w:val="a6"/>
        <w:rPr>
          <w:spacing w:val="2"/>
        </w:rPr>
      </w:pPr>
      <w:r>
        <w:rPr>
          <w:spacing w:val="2"/>
        </w:rPr>
        <w:t>Концентрация общего белка в группах, получавших препарат сел</w:t>
      </w:r>
      <w:r>
        <w:rPr>
          <w:spacing w:val="2"/>
        </w:rPr>
        <w:t>е</w:t>
      </w:r>
      <w:r>
        <w:rPr>
          <w:spacing w:val="2"/>
        </w:rPr>
        <w:t>кор в пределах физиологических норм. В контроле показатели общего белка повышены и составляют-67,06</w:t>
      </w:r>
      <w:r>
        <w:rPr>
          <w:spacing w:val="2"/>
        </w:rPr>
        <w:sym w:font="Symbol" w:char="F0B1"/>
      </w:r>
      <w:r>
        <w:rPr>
          <w:spacing w:val="2"/>
        </w:rPr>
        <w:t>1,09 г/л. Наиболее оптимальные и близкие к норме показатели белкового обмена в группе с дозировкой пр</w:t>
      </w:r>
      <w:r>
        <w:rPr>
          <w:spacing w:val="2"/>
        </w:rPr>
        <w:t>е</w:t>
      </w:r>
      <w:r>
        <w:rPr>
          <w:spacing w:val="2"/>
        </w:rPr>
        <w:t xml:space="preserve">парата 20 мкг/кг: </w:t>
      </w:r>
      <w:r>
        <w:rPr>
          <w:spacing w:val="2"/>
        </w:rPr>
        <w:sym w:font="Symbol" w:char="F061"/>
      </w:r>
      <w:r>
        <w:rPr>
          <w:spacing w:val="2"/>
        </w:rPr>
        <w:t>-глобулины – 24,07</w:t>
      </w:r>
      <w:r>
        <w:rPr>
          <w:spacing w:val="2"/>
        </w:rPr>
        <w:sym w:font="Symbol" w:char="F0B1"/>
      </w:r>
      <w:r>
        <w:rPr>
          <w:spacing w:val="2"/>
        </w:rPr>
        <w:t xml:space="preserve">1,06 %, </w:t>
      </w:r>
      <w:r>
        <w:rPr>
          <w:spacing w:val="2"/>
        </w:rPr>
        <w:sym w:font="Symbol" w:char="F062"/>
      </w:r>
      <w:r>
        <w:rPr>
          <w:spacing w:val="2"/>
        </w:rPr>
        <w:t>-глобулины – 21,2</w:t>
      </w:r>
      <w:r>
        <w:rPr>
          <w:spacing w:val="2"/>
        </w:rPr>
        <w:sym w:font="Symbol" w:char="F0B1"/>
      </w:r>
      <w:r>
        <w:rPr>
          <w:spacing w:val="2"/>
        </w:rPr>
        <w:t xml:space="preserve">1,67 %, </w:t>
      </w:r>
      <w:r>
        <w:rPr>
          <w:spacing w:val="2"/>
        </w:rPr>
        <w:sym w:font="Symbol" w:char="F067"/>
      </w:r>
      <w:r>
        <w:rPr>
          <w:spacing w:val="2"/>
        </w:rPr>
        <w:t>- глобулины – 14,6</w:t>
      </w:r>
      <w:r>
        <w:rPr>
          <w:spacing w:val="2"/>
        </w:rPr>
        <w:sym w:font="Symbol" w:char="F0B1"/>
      </w:r>
      <w:r>
        <w:rPr>
          <w:spacing w:val="2"/>
        </w:rPr>
        <w:t>0,99 %, альбумины – 40,125</w:t>
      </w:r>
      <w:r>
        <w:rPr>
          <w:spacing w:val="2"/>
        </w:rPr>
        <w:sym w:font="Symbol" w:char="F0B1"/>
      </w:r>
      <w:r>
        <w:rPr>
          <w:spacing w:val="2"/>
        </w:rPr>
        <w:t>2,42 %, общий белок – 63,72</w:t>
      </w:r>
      <w:r>
        <w:rPr>
          <w:spacing w:val="2"/>
        </w:rPr>
        <w:sym w:font="Symbol" w:char="F0B1"/>
      </w:r>
      <w:r>
        <w:rPr>
          <w:spacing w:val="2"/>
        </w:rPr>
        <w:t xml:space="preserve">1,85 г/л. </w:t>
      </w:r>
    </w:p>
    <w:p w:rsidR="00F4654E" w:rsidRDefault="00F4654E">
      <w:pPr>
        <w:pStyle w:val="a6"/>
      </w:pPr>
      <w:r>
        <w:t xml:space="preserve"> Активность щелочной фосфатазы повышена во всех группах, но на</w:t>
      </w:r>
      <w:r>
        <w:t>и</w:t>
      </w:r>
      <w:r>
        <w:t>меньшая активность щелочной фосфатазы наблюдалась в 3-ей группе и с</w:t>
      </w:r>
      <w:r>
        <w:t>о</w:t>
      </w:r>
      <w:r>
        <w:t>ставляла 2,25</w:t>
      </w:r>
      <w:r>
        <w:sym w:font="Symbol" w:char="F0B1"/>
      </w:r>
      <w:r>
        <w:t>0,46 мМ/л</w:t>
      </w:r>
      <w:r>
        <w:sym w:font="Symbol" w:char="F0B4"/>
      </w:r>
      <w:r>
        <w:t>ч. Активность АсАТ во всех группах находилась в пределах физиологической нормы, а АлАТ повышена у всех животных. Наивысшая в контроле (1,36</w:t>
      </w:r>
      <w:r>
        <w:sym w:font="Symbol" w:char="F0B1"/>
      </w:r>
      <w:r>
        <w:t>0,06 мМ/л</w:t>
      </w:r>
      <w:r>
        <w:sym w:font="Symbol" w:char="F0B4"/>
      </w:r>
      <w:r>
        <w:t>ч), а наименьшая в 3-ей гру</w:t>
      </w:r>
      <w:r>
        <w:t>п</w:t>
      </w:r>
      <w:r>
        <w:t>пе(0,82</w:t>
      </w:r>
      <w:r>
        <w:sym w:font="Symbol" w:char="F0B1"/>
      </w:r>
      <w:r>
        <w:t>0,06 мМ/л</w:t>
      </w:r>
      <w:r>
        <w:sym w:font="Symbol" w:char="F0B4"/>
      </w:r>
      <w:r>
        <w:t xml:space="preserve">ч). Это свидетельствует о том, что препарат в дозе 20 мкг/кг лучше, чем в дозах 5 и 10 мкг/кг защищает печень. </w:t>
      </w:r>
    </w:p>
    <w:p w:rsidR="00F4654E" w:rsidRDefault="00F4654E">
      <w:pPr>
        <w:pStyle w:val="a6"/>
      </w:pPr>
      <w:r>
        <w:t>Органическая молекула селекора оказывает активизирующее возде</w:t>
      </w:r>
      <w:r>
        <w:t>й</w:t>
      </w:r>
      <w:r>
        <w:t>ствие на иммунную систему. Механизм иммуномодулирующего воздейс</w:t>
      </w:r>
      <w:r>
        <w:t>т</w:t>
      </w:r>
      <w:r>
        <w:lastRenderedPageBreak/>
        <w:t>вия связан с защитными антиоксидантными свойствами по отношению к полиненасыщенным, жирным кислотам мембран иммунокомпетентных клеток. Среди иммунологических показателей 3-я группа показала на</w:t>
      </w:r>
      <w:r>
        <w:t>и</w:t>
      </w:r>
      <w:r>
        <w:t>лучший титр нормальных антител (1:52) по сравнению со всеми остальн</w:t>
      </w:r>
      <w:r>
        <w:t>ы</w:t>
      </w:r>
      <w:r>
        <w:t>ми группами (1:10) в 1-ой и контроле и (1:8) во 2-ой группе. Бактерици</w:t>
      </w:r>
      <w:r>
        <w:t>д</w:t>
      </w:r>
      <w:r>
        <w:t>ная активность сыворотки крови поросят, получавших препарат селекор в дозировке 20 мкг/кг, достоверно превышала таковую у всех остальных ж</w:t>
      </w:r>
      <w:r>
        <w:t>и</w:t>
      </w:r>
      <w:r>
        <w:t>вотных на 2,3 - 16,88 % и составляла 95,65</w:t>
      </w:r>
      <w:r>
        <w:sym w:font="Symbol" w:char="F0B1"/>
      </w:r>
      <w:r>
        <w:t>0,38 %. Существенного вли</w:t>
      </w:r>
      <w:r>
        <w:t>я</w:t>
      </w:r>
      <w:r>
        <w:t>ния селекора на комплементарную и лизоцимную активность сыворотки крови выявлено не было. Наивысшие показатели комплементарной акти</w:t>
      </w:r>
      <w:r>
        <w:t>в</w:t>
      </w:r>
      <w:r>
        <w:t>ности из опытных групп отмечены у животных 3-ей группы (24,33</w:t>
      </w:r>
      <w:r>
        <w:sym w:font="Symbol" w:char="F0B1"/>
      </w:r>
      <w:r>
        <w:t>2,07 %). Повышение лизоцимной активности в опытных группах на 2,66 – 11,47 % по сравнению с контролем (1,83</w:t>
      </w:r>
      <w:r>
        <w:sym w:font="Symbol" w:char="F0B1"/>
      </w:r>
      <w:r>
        <w:t>0,24 мкг/мл) было недостоверным.</w:t>
      </w:r>
    </w:p>
    <w:p w:rsidR="00F4654E" w:rsidRDefault="00F4654E">
      <w:pPr>
        <w:pStyle w:val="a6"/>
      </w:pPr>
      <w:r>
        <w:t>Таким образом, исходя из полученных данных, следует предпол</w:t>
      </w:r>
      <w:r>
        <w:t>о</w:t>
      </w:r>
      <w:r>
        <w:t>жить, что наиболее эффективной дозировкой нового селенорганического препарата селекор для свиней является – 20 мкг/кг.</w:t>
      </w:r>
    </w:p>
    <w:p w:rsidR="00F4654E" w:rsidRDefault="00F4654E">
      <w:pPr>
        <w:pStyle w:val="a4"/>
      </w:pPr>
      <w:r>
        <w:t>УДК  619:618.6/7:615.375:636.2</w:t>
      </w:r>
    </w:p>
    <w:p w:rsidR="00F4654E" w:rsidRDefault="00F4654E">
      <w:pPr>
        <w:pStyle w:val="1"/>
      </w:pPr>
      <w:bookmarkStart w:id="867" w:name="_Toc10115302"/>
      <w:bookmarkStart w:id="868" w:name="_Toc10731111"/>
      <w:bookmarkStart w:id="869" w:name="_Toc10731772"/>
      <w:bookmarkStart w:id="870" w:name="_Toc10891611"/>
      <w:bookmarkStart w:id="871" w:name="_Toc10892286"/>
      <w:bookmarkStart w:id="872" w:name="_Toc11390149"/>
      <w:bookmarkStart w:id="873" w:name="_Toc11839832"/>
      <w:bookmarkStart w:id="874" w:name="_Toc11937368"/>
      <w:r>
        <w:t>КОНЦЕНТРАЦИЯ  ИММУНОГЛОБУЛИНОВ G, M, A  В  СЫВОРОТКЕ КРОВИ КОРОВ ДО И ПОСЛЕ ОТЕЛА</w:t>
      </w:r>
      <w:bookmarkEnd w:id="867"/>
      <w:bookmarkEnd w:id="868"/>
      <w:bookmarkEnd w:id="869"/>
      <w:bookmarkEnd w:id="870"/>
      <w:bookmarkEnd w:id="871"/>
      <w:bookmarkEnd w:id="872"/>
      <w:bookmarkEnd w:id="873"/>
      <w:bookmarkEnd w:id="874"/>
    </w:p>
    <w:p w:rsidR="00F4654E" w:rsidRDefault="00F4654E">
      <w:pPr>
        <w:pStyle w:val="2"/>
      </w:pPr>
      <w:bookmarkStart w:id="875" w:name="_Toc10115303"/>
      <w:bookmarkStart w:id="876" w:name="_Toc10731112"/>
      <w:bookmarkStart w:id="877" w:name="_Toc10731773"/>
      <w:bookmarkStart w:id="878" w:name="_Toc10891612"/>
      <w:bookmarkStart w:id="879" w:name="_Toc10892287"/>
      <w:bookmarkStart w:id="880" w:name="_Toc11390150"/>
      <w:bookmarkStart w:id="881" w:name="_Toc11937369"/>
      <w:r>
        <w:t>Беляев В.И., Лободин К.А.*</w:t>
      </w:r>
      <w:bookmarkEnd w:id="875"/>
      <w:bookmarkEnd w:id="876"/>
      <w:bookmarkEnd w:id="877"/>
      <w:bookmarkEnd w:id="878"/>
      <w:bookmarkEnd w:id="879"/>
      <w:bookmarkEnd w:id="880"/>
      <w:bookmarkEnd w:id="881"/>
    </w:p>
    <w:p w:rsidR="00F4654E" w:rsidRDefault="00F4654E">
      <w:pPr>
        <w:pStyle w:val="a5"/>
      </w:pPr>
      <w:r>
        <w:t>Всероссийский НИВИ патологии, фармакологии и терапии</w:t>
      </w:r>
      <w:r>
        <w:br/>
        <w:t>*Воронежский государственный аграрный университет имени К.Д. Глинки</w:t>
      </w:r>
    </w:p>
    <w:p w:rsidR="00F4654E" w:rsidRDefault="00F4654E">
      <w:pPr>
        <w:pStyle w:val="a6"/>
      </w:pPr>
      <w:r>
        <w:t>Размножение относится к сложным биологическим процессам, обе</w:t>
      </w:r>
      <w:r>
        <w:t>с</w:t>
      </w:r>
      <w:r>
        <w:t>печивающим воспроизведение сельскохозяйственных животных. Совр</w:t>
      </w:r>
      <w:r>
        <w:t>е</w:t>
      </w:r>
      <w:r>
        <w:t>менные физиологические, биохимические, иммунологические и многие другие методы исследования дают возможность иметь объективные да</w:t>
      </w:r>
      <w:r>
        <w:t>н</w:t>
      </w:r>
      <w:r>
        <w:t>ные, характеризующие состояние самки в период подготовки к осемен</w:t>
      </w:r>
      <w:r>
        <w:t>е</w:t>
      </w:r>
      <w:r>
        <w:t>нию, во время беременности и в послеродовой период. Указанные методы исследований позволили выяснить степень изменений в период береме</w:t>
      </w:r>
      <w:r>
        <w:t>н</w:t>
      </w:r>
      <w:r>
        <w:t>ности и после родов обмена веществ, гормонов, гематологических и мн</w:t>
      </w:r>
      <w:r>
        <w:t>о</w:t>
      </w:r>
      <w:r>
        <w:t>гих иммунологических п</w:t>
      </w:r>
      <w:r w:rsidR="00D7004F">
        <w:t>оказателей (титр антител, компле</w:t>
      </w:r>
      <w:r>
        <w:t>ментарная, лиз</w:t>
      </w:r>
      <w:r>
        <w:t>о</w:t>
      </w:r>
      <w:r>
        <w:t>цимная активность и т.д.(Сысоев А.А.,1978).Однако данных по уровню иммуноглобулинов у коров в период стельности и после родов в доступной нам литературе мы не нашли. Поэтому целью наших исследований было определение уровня иммуноглобулинов G,M,A в сыворотке крови коров в разные сроки беременности и после родов.</w:t>
      </w:r>
    </w:p>
    <w:p w:rsidR="00F4654E" w:rsidRDefault="00F4654E">
      <w:pPr>
        <w:pStyle w:val="a6"/>
      </w:pPr>
      <w:r>
        <w:t>В опыт было взято пять коров аналогов по возрасту, у которых за два месяца, за месяц и за семь дней до отела, а затем через две недели и через месяц после родов, брали кровь для исследования. В сыворотке крови о</w:t>
      </w:r>
      <w:r>
        <w:t>п</w:t>
      </w:r>
      <w:r>
        <w:t>ределяли: содержание иммуноглобулинов классов G,M,A – методом рад</w:t>
      </w:r>
      <w:r>
        <w:t>и</w:t>
      </w:r>
      <w:r>
        <w:t>альной иммунодиффузии (Манчини Г., и др.1965), общий белок – на ре</w:t>
      </w:r>
      <w:r>
        <w:t>ф</w:t>
      </w:r>
      <w:r>
        <w:lastRenderedPageBreak/>
        <w:t xml:space="preserve">рактометре, фракции белка - по методу  Олла и МакКорда (1965), гемато-логические показатели – по общепринятым методикам. Исходными для анализа были взяты биохимические показатели полученные от коров за 60 дней до отела. </w:t>
      </w:r>
    </w:p>
    <w:p w:rsidR="00F4654E" w:rsidRDefault="00F4654E">
      <w:pPr>
        <w:pStyle w:val="a6"/>
      </w:pPr>
      <w:r>
        <w:t>При анализе данных по биохимическим показателям за 30 дней до отела (при сравнении с исходными) наблюдалось снижение IgG на  33,4% (P&lt;0,01), при отсутствии достоверных изменений по другим изучаемым показателям. За семь дней до родов в крови коров содержание гемоглобина повысилось на 25,8% (Р&lt;0,01), с тенденцией к повышению количества лейкоцитов на 17,3%   и недостоверным снижением эритроцитов на 11,1% .В этот же период содержание IgG снизилось на 36,9% (P&lt;0,001),IgM на 41,2% (P&lt;0,05) при выраженной тенденции к понижению уровня IgA на 27,8%,  общего белка на 5% .После родов на 14 день, сохранилась тенде</w:t>
      </w:r>
      <w:r>
        <w:t>н</w:t>
      </w:r>
      <w:r>
        <w:t xml:space="preserve">ция к повышенному содержанию в крови коров гемоглобина на 17,5%, лейкоцитов на 11,8%, альбуминов на 12,1% и коэффициента А/Г на 20,7% , при снижении на 14,9% количества общего белка (P&lt;0,001), </w:t>
      </w:r>
      <w:r>
        <w:sym w:font="Symbol" w:char="F067"/>
      </w:r>
      <w:r>
        <w:t>-глобулинов на 23,6% (P&lt;0,05), IgG на 49,3 (P&lt;0,05), IgM на 59,8% (P&lt;0,02), с тенденц</w:t>
      </w:r>
      <w:r>
        <w:t>и</w:t>
      </w:r>
      <w:r>
        <w:t>ей к снижению IgA на 30%. На 30 день после отела наблюдалось снижение на 11% количества эритроцитов в крови отелившихся коров (Р&lt;0,05),а в сыворотке IgG на 25% (Р&lt;0,05) и недостоверно концентрации  IgM на 17,7%, и IgA на 27,2% лейкоцитов на 22,4% (P&lt;0,</w:t>
      </w:r>
      <w:r w:rsidR="00D7004F">
        <w:t>05</w:t>
      </w:r>
      <w:r>
        <w:t>).</w:t>
      </w:r>
    </w:p>
    <w:p w:rsidR="00F4654E" w:rsidRDefault="00F4654E">
      <w:pPr>
        <w:pStyle w:val="a6"/>
      </w:pPr>
      <w:r>
        <w:t>Обобщая полученные данные можно сделать вывод, что наиболее с</w:t>
      </w:r>
      <w:r>
        <w:t>у</w:t>
      </w:r>
      <w:r>
        <w:t>щественные изменения в организме коров происходят за 7 дней до родов и через 14 дней после отела. В эти периоды резко снижается количество и</w:t>
      </w:r>
      <w:r>
        <w:t>м</w:t>
      </w:r>
      <w:r>
        <w:t xml:space="preserve">муноглобулинов G, M и А, эритроцитов, общего белка и </w:t>
      </w:r>
      <w:r>
        <w:sym w:font="Symbol" w:char="F067"/>
      </w:r>
      <w:r>
        <w:t xml:space="preserve">-глобулинов при повышенном содержании гемоглобина. </w:t>
      </w:r>
    </w:p>
    <w:p w:rsidR="00F4654E" w:rsidRDefault="00F4654E">
      <w:pPr>
        <w:pStyle w:val="a6"/>
      </w:pPr>
      <w:r>
        <w:t>Полного восстановления уровня иммуноглобулинов до исходного не происходит и на 30 день после отела. Снижение уровня белка и особенно иммуноглобулинов G,M и А в крови беременных коров и после отела, по-видимому,  следует рассматривать как важнейшую адаптационно-трофи-ческую функцию материнского организма, направленную на обеспечение потребностей развивающегося плода, депонирование этих важнейших с</w:t>
      </w:r>
      <w:r>
        <w:t>о</w:t>
      </w:r>
      <w:r>
        <w:t>единений на обеспечение роста и развития молочной железы  секрет кот</w:t>
      </w:r>
      <w:r>
        <w:t>о</w:t>
      </w:r>
      <w:r>
        <w:t>рой  с накопленными иммуноглобулинами уже в первые часы после родов используется теленком.</w:t>
      </w:r>
    </w:p>
    <w:p w:rsidR="00F4654E" w:rsidRDefault="00F4654E">
      <w:pPr>
        <w:pStyle w:val="a4"/>
      </w:pPr>
      <w:r>
        <w:t>УДК 619:576.8.073.3:618.21:636.4</w:t>
      </w:r>
    </w:p>
    <w:p w:rsidR="00F4654E" w:rsidRDefault="00F4654E">
      <w:pPr>
        <w:pStyle w:val="1"/>
      </w:pPr>
      <w:bookmarkStart w:id="882" w:name="_Toc10731117"/>
      <w:bookmarkStart w:id="883" w:name="_Toc10731778"/>
      <w:bookmarkStart w:id="884" w:name="_Toc10891617"/>
      <w:bookmarkStart w:id="885" w:name="_Toc10892292"/>
      <w:bookmarkStart w:id="886" w:name="_Toc11390155"/>
      <w:bookmarkStart w:id="887" w:name="_Toc11839834"/>
      <w:bookmarkStart w:id="888" w:name="_Toc11937370"/>
      <w:r>
        <w:t>МИКРОБИОЦЕНОЗ ПОЛОВОГО ТРАКТА СВИНОМАТОК ДО ОПОРОСА</w:t>
      </w:r>
      <w:bookmarkEnd w:id="882"/>
      <w:bookmarkEnd w:id="883"/>
      <w:bookmarkEnd w:id="884"/>
      <w:bookmarkEnd w:id="885"/>
      <w:bookmarkEnd w:id="886"/>
      <w:bookmarkEnd w:id="887"/>
      <w:bookmarkEnd w:id="888"/>
    </w:p>
    <w:p w:rsidR="00F4654E" w:rsidRDefault="00F4654E">
      <w:pPr>
        <w:pStyle w:val="2"/>
      </w:pPr>
      <w:bookmarkStart w:id="889" w:name="_Toc10731118"/>
      <w:bookmarkStart w:id="890" w:name="_Toc10731779"/>
      <w:bookmarkStart w:id="891" w:name="_Toc10891618"/>
      <w:bookmarkStart w:id="892" w:name="_Toc10892293"/>
      <w:bookmarkStart w:id="893" w:name="_Toc11390156"/>
      <w:bookmarkStart w:id="894" w:name="_Toc11937371"/>
      <w:r>
        <w:t>Бирюков М.В.</w:t>
      </w:r>
      <w:bookmarkEnd w:id="889"/>
      <w:bookmarkEnd w:id="890"/>
      <w:bookmarkEnd w:id="891"/>
      <w:bookmarkEnd w:id="892"/>
      <w:bookmarkEnd w:id="893"/>
      <w:bookmarkEnd w:id="894"/>
    </w:p>
    <w:p w:rsidR="00F4654E" w:rsidRDefault="00F4654E">
      <w:pPr>
        <w:pStyle w:val="a5"/>
      </w:pPr>
      <w:r>
        <w:t>Всероссийский НИВИ патологии, фармакологии и терапии</w:t>
      </w:r>
    </w:p>
    <w:p w:rsidR="00F4654E" w:rsidRDefault="00F4654E">
      <w:pPr>
        <w:pStyle w:val="a6"/>
      </w:pPr>
      <w:r>
        <w:t xml:space="preserve">Защита репродуктивной системы от инфекционных агентов зависит от колонизации ее индигенной (нормальной) микрофлорой (колонизационная </w:t>
      </w:r>
      <w:r>
        <w:lastRenderedPageBreak/>
        <w:t>резистентность). К механизмам колонизационной резистентности относи</w:t>
      </w:r>
      <w:r>
        <w:t>т</w:t>
      </w:r>
      <w:r>
        <w:t>ся конкуренция бактерий с другими микроорганизмами за сайты связыв</w:t>
      </w:r>
      <w:r>
        <w:t>а</w:t>
      </w:r>
      <w:r>
        <w:t>ния на эпителиальных клетках и продукцию антимикробных соединений – органических кислот, которые снижают pH влагалища, перекиси водорода, бактериоцинов и бактериоциноподобных веществ, и, возможно, биосу</w:t>
      </w:r>
      <w:r>
        <w:t>р</w:t>
      </w:r>
      <w:r>
        <w:t>фактантов, влияющих на общую и местную реактивность организма (Бо</w:t>
      </w:r>
      <w:r>
        <w:t>й</w:t>
      </w:r>
      <w:r>
        <w:t>ко А.В. с соавт., 2001; Валышев А.В., 2001). Большую роль в возникнов</w:t>
      </w:r>
      <w:r>
        <w:t>е</w:t>
      </w:r>
      <w:r>
        <w:t>нии заболеваний полового тракта играют дисбактериозы. Они способств</w:t>
      </w:r>
      <w:r>
        <w:t>у</w:t>
      </w:r>
      <w:r>
        <w:t>ют заселению половых органов здоровых животных патогенными и усло</w:t>
      </w:r>
      <w:r>
        <w:t>в</w:t>
      </w:r>
      <w:r>
        <w:t>но патогенными микроорганизмами и проявлению их патогенных свойств.</w:t>
      </w:r>
    </w:p>
    <w:p w:rsidR="00F4654E" w:rsidRDefault="00F4654E">
      <w:pPr>
        <w:pStyle w:val="a6"/>
      </w:pPr>
      <w:r>
        <w:t>Все это делает важным проведение исследования видового и колич</w:t>
      </w:r>
      <w:r>
        <w:t>е</w:t>
      </w:r>
      <w:r>
        <w:t>ственного состава микрофлоры полового тракта свиноматок, особенно с</w:t>
      </w:r>
      <w:r>
        <w:t>у</w:t>
      </w:r>
      <w:r>
        <w:t>поросных, состояние здоровья которых является определяющим фактором здоровья потомства, а также позволяет диагностировать (прогнозировать) послеродовые заболевания свиноматок уже в дородовой период.</w:t>
      </w:r>
    </w:p>
    <w:p w:rsidR="00F4654E" w:rsidRDefault="00F4654E">
      <w:pPr>
        <w:pStyle w:val="a6"/>
      </w:pPr>
      <w:r>
        <w:t>Нами было исследовано 42 свиноматки, находящихся в различных физиологических состояниях (до осеменения, сразу после осеменения, с</w:t>
      </w:r>
      <w:r>
        <w:t>е</w:t>
      </w:r>
      <w:r>
        <w:t>редина супоросности, за 1-2 дня до опороса). Смывы получали стерильн</w:t>
      </w:r>
      <w:r>
        <w:t>ы</w:t>
      </w:r>
      <w:r>
        <w:t>ми квачами, которые затем помещали в физраствор. В течение 2 часов с момента взятия материал высевали на 10% кровяной агар, среды Эндо, С</w:t>
      </w:r>
      <w:r>
        <w:t>а</w:t>
      </w:r>
      <w:r>
        <w:t>буро, Блаурокка, МРС, а также на модифицированную нами среду для в</w:t>
      </w:r>
      <w:r>
        <w:t>ы</w:t>
      </w:r>
      <w:r>
        <w:t>ращивания молочнокислых бактерий. Культивирование проводилось как в аэробных, так и в анаэробных условиях. Для создания анаэробных условий использовали анаэростат фирмы «Oxoid» или эксикатор с зажженной св</w:t>
      </w:r>
      <w:r>
        <w:t>е</w:t>
      </w:r>
      <w:r>
        <w:t>чой (5% CO</w:t>
      </w:r>
      <w:r>
        <w:rPr>
          <w:vertAlign w:val="subscript"/>
        </w:rPr>
        <w:t>2</w:t>
      </w:r>
      <w:r>
        <w:t>). Посевы инкубировали 24-48 часов в термостате при 37</w:t>
      </w:r>
      <w:r>
        <w:rPr>
          <w:vertAlign w:val="superscript"/>
        </w:rPr>
        <w:t>0</w:t>
      </w:r>
      <w:r>
        <w:t>С. Идентификацию выделенных культур осуществляли общепринятыми м</w:t>
      </w:r>
      <w:r>
        <w:t>е</w:t>
      </w:r>
      <w:r>
        <w:t>тодами.</w:t>
      </w:r>
    </w:p>
    <w:p w:rsidR="00F4654E" w:rsidRDefault="00F4654E">
      <w:pPr>
        <w:pStyle w:val="a6"/>
      </w:pPr>
      <w:r>
        <w:t>Микробный пейзаж репродуктивного тракта свиноматок был пре</w:t>
      </w:r>
      <w:r>
        <w:t>д</w:t>
      </w:r>
      <w:r>
        <w:t>ставлен различными ассоциациями аэробных и анаэробных микрооргани</w:t>
      </w:r>
      <w:r>
        <w:t>з</w:t>
      </w:r>
      <w:r>
        <w:t>мов. Всего от 42 свиноматок было выделено 127 культур микрооргани</w:t>
      </w:r>
      <w:r>
        <w:t>з</w:t>
      </w:r>
      <w:r>
        <w:t>мов, принадлежащих к 10 родам. В состав нормальной микрофлоры влаг</w:t>
      </w:r>
      <w:r>
        <w:t>а</w:t>
      </w:r>
      <w:r>
        <w:t>лища у 64,3% свиноматок входили грамположительные кокки рода Streptococcus, в т.ч. 44,4% Streptococcus группы D. У 42,8% исследуемых животных высевали Staphylococcus epidermidis – 40,4% и Staphylococcus hyicus – 2,4%. Грамотрицательная флора была представлена энтеробакт</w:t>
      </w:r>
      <w:r>
        <w:t>е</w:t>
      </w:r>
      <w:r>
        <w:t>риями родов: Escherichia, Proteus, Klebsiella, Enterobacter и Serratia. Эшер</w:t>
      </w:r>
      <w:r>
        <w:t>и</w:t>
      </w:r>
      <w:r>
        <w:t>хии выделены от 54,8% животных, по О-антигену они были представлены следующими серовариантами: О8 (7 штаммов), О78 (7 штаммов), О20 (3 штамма), О139 (2 штамма), О4 (1 штамм), О111 (1 штамм), О 119 (1 штамм), О101 (1 штамм). Остальные представители семейства энтероба</w:t>
      </w:r>
      <w:r>
        <w:t>к</w:t>
      </w:r>
      <w:r>
        <w:t>терий выделялись значительно реже: Proteus vulgaris – в 7,1; Serratia odorifera – в 4,8; Klebsiella pneumoniae – в 2,4 и Enterobacter aerogenes – в 2,4% случаев. Спорообразующие грамположительные палочки, принадл</w:t>
      </w:r>
      <w:r>
        <w:t>е</w:t>
      </w:r>
      <w:r>
        <w:lastRenderedPageBreak/>
        <w:t>жащие к виду Bacillus subtilis, выделены от 23,8% исследуемых свином</w:t>
      </w:r>
      <w:r>
        <w:t>а</w:t>
      </w:r>
      <w:r>
        <w:t>ток. В 95,2% микробиоценоз влагалища был представлен молочнокислыми бактериями (Lactobacillus sp.). У двух свиноматок в составе флоры генит</w:t>
      </w:r>
      <w:r>
        <w:t>а</w:t>
      </w:r>
      <w:r>
        <w:t>лий были о</w:t>
      </w:r>
      <w:r>
        <w:t>б</w:t>
      </w:r>
      <w:r>
        <w:t>наружены дрожжевые грибы рода Candida (4,8%).</w:t>
      </w:r>
    </w:p>
    <w:p w:rsidR="00F4654E" w:rsidRDefault="00F4654E">
      <w:pPr>
        <w:pStyle w:val="a6"/>
      </w:pPr>
      <w:r>
        <w:t>Доля каждого из выделенных микроорганизмов от общего их числа выглядит следующим образом: лактобациллы – 31,5%, энтеробактерии – 23,6%, стрептококки – 21,3%, стафилококки – 14,2%, бациллы – 7,9%, дрожжевые грибы рода Кандида – 1,5%.Полученные результаты говорят о превалировании лактобацилл в видовом составе микрофлоры влагалища и большой роли их в создании  микробиоценоза.</w:t>
      </w:r>
    </w:p>
    <w:p w:rsidR="00F4654E" w:rsidRDefault="00F4654E">
      <w:pPr>
        <w:pStyle w:val="a4"/>
      </w:pPr>
      <w:r>
        <w:t>УДК 616.619.091.4</w:t>
      </w:r>
    </w:p>
    <w:p w:rsidR="00F4654E" w:rsidRDefault="00F4654E">
      <w:pPr>
        <w:pStyle w:val="1"/>
      </w:pPr>
      <w:bookmarkStart w:id="895" w:name="_Toc10115306"/>
      <w:bookmarkStart w:id="896" w:name="_Toc10731119"/>
      <w:bookmarkStart w:id="897" w:name="_Toc10731780"/>
      <w:bookmarkStart w:id="898" w:name="_Toc10891619"/>
      <w:bookmarkStart w:id="899" w:name="_Toc10892294"/>
      <w:bookmarkStart w:id="900" w:name="_Toc11390157"/>
      <w:bookmarkStart w:id="901" w:name="_Toc11839836"/>
      <w:bookmarkStart w:id="902" w:name="_Toc11937372"/>
      <w:r>
        <w:t>ИММУНОМОРФОЛОГИЧЕСКИЕ ИЗМЕНЕНИЯ У ПОРОСЯТ ПОСТНАТАЛЬНОГО ПЕРИОДА ПРИ СПОНТАННОМ РРСС</w:t>
      </w:r>
      <w:bookmarkEnd w:id="895"/>
      <w:bookmarkEnd w:id="896"/>
      <w:bookmarkEnd w:id="897"/>
      <w:bookmarkEnd w:id="898"/>
      <w:bookmarkEnd w:id="899"/>
      <w:bookmarkEnd w:id="900"/>
      <w:bookmarkEnd w:id="901"/>
      <w:bookmarkEnd w:id="902"/>
    </w:p>
    <w:p w:rsidR="00F4654E" w:rsidRDefault="00F4654E">
      <w:pPr>
        <w:pStyle w:val="2"/>
      </w:pPr>
      <w:bookmarkStart w:id="903" w:name="_Toc10115307"/>
      <w:bookmarkStart w:id="904" w:name="_Toc10731120"/>
      <w:bookmarkStart w:id="905" w:name="_Toc10731781"/>
      <w:bookmarkStart w:id="906" w:name="_Toc10891620"/>
      <w:bookmarkStart w:id="907" w:name="_Toc10892295"/>
      <w:bookmarkStart w:id="908" w:name="_Toc11390158"/>
      <w:bookmarkStart w:id="909" w:name="_Toc11937373"/>
      <w:r>
        <w:t>Бородавкин И. В., Бубнова Е. А.</w:t>
      </w:r>
      <w:bookmarkEnd w:id="903"/>
      <w:bookmarkEnd w:id="904"/>
      <w:bookmarkEnd w:id="905"/>
      <w:bookmarkEnd w:id="906"/>
      <w:bookmarkEnd w:id="907"/>
      <w:bookmarkEnd w:id="908"/>
      <w:bookmarkEnd w:id="909"/>
    </w:p>
    <w:p w:rsidR="00F4654E" w:rsidRDefault="00F4654E">
      <w:pPr>
        <w:pStyle w:val="a5"/>
      </w:pPr>
      <w:r>
        <w:t>Саратовская научно-исследовательская ветеринарная станция</w:t>
      </w:r>
    </w:p>
    <w:p w:rsidR="00F4654E" w:rsidRDefault="00F4654E">
      <w:pPr>
        <w:pStyle w:val="a6"/>
      </w:pPr>
      <w:r>
        <w:t>Проблема иммунодефицитов сельскохозяйственных животных стоит  на сегодняшний день особенно остро. Этиологические факторы этого я</w:t>
      </w:r>
      <w:r>
        <w:t>в</w:t>
      </w:r>
      <w:r>
        <w:t>ления весьма разнообразны.  Это и эколого-зоотехнические проблемы, и ряд инфекционных, а также инвазионных заболеваний, возбудители кот</w:t>
      </w:r>
      <w:r>
        <w:t>о</w:t>
      </w:r>
      <w:r>
        <w:t>рых в той или иной мере способствуют развитию иммунодефицитного с</w:t>
      </w:r>
      <w:r>
        <w:t>о</w:t>
      </w:r>
      <w:r>
        <w:t>стояния в организме больных животных. Одним из таких заболеваний я</w:t>
      </w:r>
      <w:r>
        <w:t>в</w:t>
      </w:r>
      <w:r>
        <w:t>ляется репродуктивно-респираторный синдром свиней (РРСС). Многие и</w:t>
      </w:r>
      <w:r>
        <w:t>с</w:t>
      </w:r>
      <w:r>
        <w:t xml:space="preserve">следователи, занимавшиеся этой тематикой (Анакина Ю. Г., 1994; Архипов Н. И., Чевелев С. Ф., 1993; Орлянкин Б. Г., Мищенко В. А., 1994; Панина А. П., Душук Р. В., 1994 и др.), указывали на изменения в альвеолярных макрофагах легких, лимфоцитах тимуса у новорожденных поросят, что свидетельствовало об иммунодепрессивном действии вируса РРСС еще в период закладки органов плода. </w:t>
      </w:r>
    </w:p>
    <w:p w:rsidR="00F4654E" w:rsidRDefault="00F4654E">
      <w:pPr>
        <w:pStyle w:val="a6"/>
      </w:pPr>
      <w:r>
        <w:t>Нашими исследованиями в период  1997-2002 г.г. установлены сер</w:t>
      </w:r>
      <w:r>
        <w:t>ь</w:t>
      </w:r>
      <w:r>
        <w:t>езные гистологические изменения лимфоидной ткани селезенки, лимфоу</w:t>
      </w:r>
      <w:r>
        <w:t>з</w:t>
      </w:r>
      <w:r>
        <w:t>лов и тимуса у поросят постнатального периода. Особенно часто пораж</w:t>
      </w:r>
      <w:r>
        <w:t>а</w:t>
      </w:r>
      <w:r>
        <w:t>ются заглоточные, предлопаточные, средостенные и брыжеечные лимф</w:t>
      </w:r>
      <w:r>
        <w:t>о</w:t>
      </w:r>
      <w:r>
        <w:t>узлы. Изменения в них касаются как стромы, так и лимфоидной ткани. Аналогичные поражения обнаруживаются в тимусе и селезенке. Практич</w:t>
      </w:r>
      <w:r>
        <w:t>е</w:t>
      </w:r>
      <w:r>
        <w:t>ски во всех органах  лимфоидного строения наблюдается ярко выраженное разрежение лимфоидной ткани, в строме отмечаются пустоты, не воспр</w:t>
      </w:r>
      <w:r>
        <w:t>и</w:t>
      </w:r>
      <w:r>
        <w:t>нимающие окраску и лимфоидные инфильтраты. Вокруг сосудов заметны периваскулярные муфты из лимфоидных клеток, в сосудах регистрирую</w:t>
      </w:r>
      <w:r>
        <w:t>т</w:t>
      </w:r>
      <w:r>
        <w:t>ся тромбы и стазы. Соединительнотканные тяжи окружены непрокраше</w:t>
      </w:r>
      <w:r>
        <w:t>н</w:t>
      </w:r>
      <w:r>
        <w:t xml:space="preserve">ными пространствами, в которых наблюдается гнездная инфильтрация лимфоидными клетками. Лимфофолликулы уменьшены в размерах, на </w:t>
      </w:r>
      <w:r>
        <w:lastRenderedPageBreak/>
        <w:t>месте многих – недифференцированный клеточный детрит. Ядра клеток эндотелия многих сосудов разрыхлены, некоторые из них десквамируют в просвет сосудов. Границы герменативных центров лимфофолликулов и их периферические зоны не просматриваются совсем, то же происходит ме</w:t>
      </w:r>
      <w:r>
        <w:t>ж</w:t>
      </w:r>
      <w:r>
        <w:t>ду зонами Т- и В-лимфоцитов. Во многих клетках отмечается маргинал</w:t>
      </w:r>
      <w:r>
        <w:t>ь</w:t>
      </w:r>
      <w:r>
        <w:t>ное стояние хроматина. Вокруг многих сосудов лимфоузлов и селезенки наблюдаются гемодинамические нарушения в виде периваскулитов и п</w:t>
      </w:r>
      <w:r>
        <w:t>е</w:t>
      </w:r>
      <w:r>
        <w:t>риваскулярных отеков, а стенки их подвержены разволокнению, что ос</w:t>
      </w:r>
      <w:r>
        <w:t>о</w:t>
      </w:r>
      <w:r>
        <w:t>бенно ярко видно при окраске их по Ван-Гизону.</w:t>
      </w:r>
    </w:p>
    <w:p w:rsidR="00F4654E" w:rsidRDefault="00F4654E">
      <w:pPr>
        <w:pStyle w:val="a6"/>
      </w:pPr>
      <w:r>
        <w:t>Таким образом, картина, наблюдаемая в иммунокомпетентных орг</w:t>
      </w:r>
      <w:r>
        <w:t>а</w:t>
      </w:r>
      <w:r>
        <w:t>нах  у поросят постнатального периода, свидетельствует о серозном ли</w:t>
      </w:r>
      <w:r>
        <w:t>м</w:t>
      </w:r>
      <w:r>
        <w:t>фоадените, часто с переходом в некроз и о состоянии глубокого иммун</w:t>
      </w:r>
      <w:r>
        <w:t>о</w:t>
      </w:r>
      <w:r>
        <w:t xml:space="preserve">дефицита, что по нашему мнению, напрямую связано с действием вируса РРСС. </w:t>
      </w:r>
    </w:p>
    <w:p w:rsidR="00F4654E" w:rsidRDefault="00F4654E">
      <w:pPr>
        <w:pStyle w:val="a4"/>
      </w:pPr>
      <w:r>
        <w:t>УДК 616.619.091.4</w:t>
      </w:r>
    </w:p>
    <w:p w:rsidR="00F4654E" w:rsidRDefault="00F4654E">
      <w:pPr>
        <w:pStyle w:val="1"/>
      </w:pPr>
      <w:bookmarkStart w:id="910" w:name="_Toc10115308"/>
      <w:bookmarkStart w:id="911" w:name="_Toc10731121"/>
      <w:bookmarkStart w:id="912" w:name="_Toc10731782"/>
      <w:bookmarkStart w:id="913" w:name="_Toc10891621"/>
      <w:bookmarkStart w:id="914" w:name="_Toc10892296"/>
      <w:bookmarkStart w:id="915" w:name="_Toc11390159"/>
      <w:bookmarkStart w:id="916" w:name="_Toc11839838"/>
      <w:bookmarkStart w:id="917" w:name="_Toc11937374"/>
      <w:r>
        <w:t xml:space="preserve">ПАТОМОРФОЛОГИЧЕСКИЙ ДИАГНОЗ </w:t>
      </w:r>
      <w:r>
        <w:br/>
        <w:t>РЕПРОДУКТИВНО-РЕСПИРАТОРНОГО СИНДРОМА СВИНЕЙ</w:t>
      </w:r>
      <w:bookmarkEnd w:id="910"/>
      <w:bookmarkEnd w:id="911"/>
      <w:bookmarkEnd w:id="912"/>
      <w:bookmarkEnd w:id="913"/>
      <w:bookmarkEnd w:id="914"/>
      <w:bookmarkEnd w:id="915"/>
      <w:bookmarkEnd w:id="916"/>
      <w:bookmarkEnd w:id="917"/>
    </w:p>
    <w:p w:rsidR="00F4654E" w:rsidRDefault="00F4654E">
      <w:pPr>
        <w:pStyle w:val="2"/>
      </w:pPr>
      <w:bookmarkStart w:id="918" w:name="_Toc10115309"/>
      <w:bookmarkStart w:id="919" w:name="_Toc10731122"/>
      <w:bookmarkStart w:id="920" w:name="_Toc10731783"/>
      <w:bookmarkStart w:id="921" w:name="_Toc10891622"/>
      <w:bookmarkStart w:id="922" w:name="_Toc10892297"/>
      <w:bookmarkStart w:id="923" w:name="_Toc11390160"/>
      <w:bookmarkStart w:id="924" w:name="_Toc11937375"/>
      <w:r>
        <w:t>Бородавкин И. В., Бубнова Е.А.</w:t>
      </w:r>
      <w:bookmarkEnd w:id="918"/>
      <w:bookmarkEnd w:id="919"/>
      <w:bookmarkEnd w:id="920"/>
      <w:bookmarkEnd w:id="921"/>
      <w:bookmarkEnd w:id="922"/>
      <w:bookmarkEnd w:id="923"/>
      <w:bookmarkEnd w:id="924"/>
    </w:p>
    <w:p w:rsidR="00F4654E" w:rsidRDefault="00F4654E">
      <w:pPr>
        <w:pStyle w:val="a5"/>
      </w:pPr>
      <w:r>
        <w:t>Саратовская научно-исследовательская ветеринарная станция</w:t>
      </w:r>
    </w:p>
    <w:p w:rsidR="00F4654E" w:rsidRDefault="00F4654E">
      <w:pPr>
        <w:pStyle w:val="a6"/>
        <w:rPr>
          <w:spacing w:val="-4"/>
        </w:rPr>
      </w:pPr>
      <w:r>
        <w:rPr>
          <w:spacing w:val="-4"/>
        </w:rPr>
        <w:t>Начиная с 1987 года и до настоящего времени репродуктивно-респи-раторный синдром (РРСС) среди заболеваний свиней является лидером по убыткам во многих свиноводческих хозяйствах мира. Только для США еж</w:t>
      </w:r>
      <w:r>
        <w:rPr>
          <w:spacing w:val="-4"/>
        </w:rPr>
        <w:t>е</w:t>
      </w:r>
      <w:r>
        <w:rPr>
          <w:spacing w:val="-4"/>
        </w:rPr>
        <w:t>годные потери от борьбы с заболеванием составляют более одного миллиа</w:t>
      </w:r>
      <w:r>
        <w:rPr>
          <w:spacing w:val="-4"/>
        </w:rPr>
        <w:t>р</w:t>
      </w:r>
      <w:r>
        <w:rPr>
          <w:spacing w:val="-4"/>
        </w:rPr>
        <w:t>да долларов. Проблема усугубляется запоздалой диагностикой из-за длител</w:t>
      </w:r>
      <w:r>
        <w:rPr>
          <w:spacing w:val="-4"/>
        </w:rPr>
        <w:t>ь</w:t>
      </w:r>
      <w:r>
        <w:rPr>
          <w:spacing w:val="-4"/>
        </w:rPr>
        <w:t>ности вирусологических исследований. Ранняя довирусологическая диагн</w:t>
      </w:r>
      <w:r>
        <w:rPr>
          <w:spacing w:val="-4"/>
        </w:rPr>
        <w:t>о</w:t>
      </w:r>
      <w:r>
        <w:rPr>
          <w:spacing w:val="-4"/>
        </w:rPr>
        <w:t>стика зависит от патоморфологических исследований, но до настоящего вр</w:t>
      </w:r>
      <w:r>
        <w:rPr>
          <w:spacing w:val="-4"/>
        </w:rPr>
        <w:t>е</w:t>
      </w:r>
      <w:r>
        <w:rPr>
          <w:spacing w:val="-4"/>
        </w:rPr>
        <w:t xml:space="preserve">мени патологоанатомический диагноз РРСС разработан не был. </w:t>
      </w:r>
    </w:p>
    <w:p w:rsidR="00F4654E" w:rsidRDefault="00F4654E">
      <w:pPr>
        <w:pStyle w:val="a6"/>
      </w:pPr>
      <w:r>
        <w:t>В результате проведенной работы в 1997-2001 гг. нами получены да</w:t>
      </w:r>
      <w:r>
        <w:t>н</w:t>
      </w:r>
      <w:r>
        <w:t>ные, позволяющие сделать постановку точного диагноза на основании п</w:t>
      </w:r>
      <w:r>
        <w:t>а</w:t>
      </w:r>
      <w:r>
        <w:t>томорфологических изменений у абортированных плодов и поросят пос</w:t>
      </w:r>
      <w:r>
        <w:t>т</w:t>
      </w:r>
      <w:r>
        <w:t>натального периода. Исследования проводились в свиноводческих хозя</w:t>
      </w:r>
      <w:r>
        <w:t>й</w:t>
      </w:r>
      <w:r>
        <w:t>ствах Саратовской области, где диагноз на РРСС был подтвержден П</w:t>
      </w:r>
      <w:r>
        <w:t>о</w:t>
      </w:r>
      <w:r>
        <w:t>кровской вирусологической лабораторией. У взрослого свинопоголовья никаких характерных патоморфологических изменений, достаточных для постановки диагноза,  выявлено не было. Основные патоморфологические признаки заболевания наблюдались только у абортированных плодов и п</w:t>
      </w:r>
      <w:r>
        <w:t>о</w:t>
      </w:r>
      <w:r>
        <w:t>росят постнатального периода. Изменения у абортированных плодов пр</w:t>
      </w:r>
      <w:r>
        <w:t>о</w:t>
      </w:r>
      <w:r>
        <w:t>являлись кровоизлияниями в кожу ушей и спины, брюшной стенки, ат</w:t>
      </w:r>
      <w:r>
        <w:t>е</w:t>
      </w:r>
      <w:r>
        <w:t>лектаза легких, скоплением жидкости в грудной и брюшной полостях, ди</w:t>
      </w:r>
      <w:r>
        <w:t>с</w:t>
      </w:r>
      <w:r>
        <w:t xml:space="preserve">трофией печени, почек, миокарда, кровенаполнением сосудов головного мозга, студневидными отеками в перитрахеальной и паховой  областях. </w:t>
      </w:r>
      <w:r>
        <w:lastRenderedPageBreak/>
        <w:t>Нередко наблюдались тератогенные отклонения в виде куполообразной формы головы, синдактилии, кифозов грудного отдела позвоночника. Ги</w:t>
      </w:r>
      <w:r>
        <w:t>с</w:t>
      </w:r>
      <w:r>
        <w:t>тологически выявлены воспалительно-некротические процессы в надп</w:t>
      </w:r>
      <w:r>
        <w:t>о</w:t>
      </w:r>
      <w:r>
        <w:t>чечниках и острый негнойный энцефалит лимфоцитарного типа. На вскр</w:t>
      </w:r>
      <w:r>
        <w:t>ы</w:t>
      </w:r>
      <w:r>
        <w:t>тии поросят постнатального периода отмечались кровоизлияния в кожу ушей и спины, брюшной стенки, острая катаральная бронхопневмония, дистрофия печени, миокарда, гнойный конъюнктивит, гиперплазия сел</w:t>
      </w:r>
      <w:r>
        <w:t>е</w:t>
      </w:r>
      <w:r>
        <w:t>зенки, гиперплазия и гиперемия лимфоузлов, отек головного мозга, гип</w:t>
      </w:r>
      <w:r>
        <w:t>е</w:t>
      </w:r>
      <w:r>
        <w:t>ремия и отек надпочечников. Нередко отмечались аномалии в развитии глаз и конечностей. Гистологически отмечаются множественные некрозы ареактивного типа, интракапиллярный серозный гломерулонефрит, некр</w:t>
      </w:r>
      <w:r>
        <w:t>о</w:t>
      </w:r>
      <w:r>
        <w:t>тический нефрозо-нефрит, ярко выраженная иммунодепрессия в органах лимфоидного строения, некротические процессы в надпочечниках. В г</w:t>
      </w:r>
      <w:r>
        <w:t>о</w:t>
      </w:r>
      <w:r>
        <w:t>ловном мозге – острый продуктивный негнойный менингоэнцефалит, в легких –  интерстициальная, реже катаральная или крупозная бронхопне</w:t>
      </w:r>
      <w:r>
        <w:t>в</w:t>
      </w:r>
      <w:r>
        <w:t>мония, лимфоидно-гистиоцитарные инфильтраты в строме органов, гем</w:t>
      </w:r>
      <w:r>
        <w:t>а</w:t>
      </w:r>
      <w:r>
        <w:t>тологические расстройства в виде тромбозов, стазов, эндо- и периваскул</w:t>
      </w:r>
      <w:r>
        <w:t>и</w:t>
      </w:r>
      <w:r>
        <w:t xml:space="preserve">тов, периваскулярных стеков. У абортировавших свиноматок на вскрытии выявлены эндометриты, вагиниты, изредка – пиометра. Гистологически обнаружены  микронекрозы в плаценте, что указывает на то, что  плацента, как и альвеолярные макрофаги, является мишенью для вируса РРСС. </w:t>
      </w:r>
    </w:p>
    <w:p w:rsidR="00F4654E" w:rsidRDefault="00F4654E">
      <w:pPr>
        <w:pStyle w:val="a6"/>
      </w:pPr>
      <w:r>
        <w:t>Таким образом, предварительный довирусологический диагноз на РРСС можно и следует ставить, ориентируясь на данные патоморфолог</w:t>
      </w:r>
      <w:r>
        <w:t>и</w:t>
      </w:r>
      <w:r>
        <w:t>ческих исследований.</w:t>
      </w:r>
    </w:p>
    <w:p w:rsidR="00F4654E" w:rsidRDefault="00F4654E">
      <w:pPr>
        <w:pStyle w:val="a4"/>
      </w:pPr>
      <w:r>
        <w:t>УДК 636.087</w:t>
      </w:r>
    </w:p>
    <w:p w:rsidR="00F4654E" w:rsidRDefault="00F4654E">
      <w:pPr>
        <w:pStyle w:val="1"/>
      </w:pPr>
      <w:bookmarkStart w:id="925" w:name="_Toc10731123"/>
      <w:bookmarkStart w:id="926" w:name="_Toc10731784"/>
      <w:bookmarkStart w:id="927" w:name="_Toc10891623"/>
      <w:bookmarkStart w:id="928" w:name="_Toc10892298"/>
      <w:bookmarkStart w:id="929" w:name="_Toc11390161"/>
      <w:bookmarkStart w:id="930" w:name="_Toc11839840"/>
      <w:bookmarkStart w:id="931" w:name="_Toc11937376"/>
      <w:r>
        <w:t>ИЗУЧЕНИЕ ЭФФЕКТИВНОСТИ ПРЕПАРАТА СКБ (СМЕСЬ КОРМОВАЯ БЕЛКОВАЯ) ДЛЯ КУР-НЕСУШЕК</w:t>
      </w:r>
      <w:bookmarkEnd w:id="925"/>
      <w:bookmarkEnd w:id="926"/>
      <w:bookmarkEnd w:id="927"/>
      <w:bookmarkEnd w:id="928"/>
      <w:bookmarkEnd w:id="929"/>
      <w:bookmarkEnd w:id="930"/>
      <w:bookmarkEnd w:id="931"/>
    </w:p>
    <w:p w:rsidR="00F4654E" w:rsidRDefault="00F4654E">
      <w:pPr>
        <w:pStyle w:val="2"/>
      </w:pPr>
      <w:bookmarkStart w:id="932" w:name="_Toc10731124"/>
      <w:bookmarkStart w:id="933" w:name="_Toc10731785"/>
      <w:bookmarkStart w:id="934" w:name="_Toc10891624"/>
      <w:bookmarkStart w:id="935" w:name="_Toc10892299"/>
      <w:bookmarkStart w:id="936" w:name="_Toc11390162"/>
      <w:bookmarkStart w:id="937" w:name="_Toc11937377"/>
      <w:r>
        <w:t>Бояринцев Л.Е.</w:t>
      </w:r>
      <w:bookmarkEnd w:id="932"/>
      <w:bookmarkEnd w:id="933"/>
      <w:bookmarkEnd w:id="934"/>
      <w:bookmarkEnd w:id="935"/>
      <w:bookmarkEnd w:id="936"/>
      <w:bookmarkEnd w:id="937"/>
    </w:p>
    <w:p w:rsidR="00F4654E" w:rsidRDefault="00F4654E">
      <w:pPr>
        <w:pStyle w:val="a5"/>
      </w:pPr>
      <w:r>
        <w:t>Всероссийский НИВИ патологии, фармакологии и терапии</w:t>
      </w:r>
    </w:p>
    <w:p w:rsidR="00F4654E" w:rsidRDefault="00F4654E">
      <w:pPr>
        <w:pStyle w:val="a6"/>
      </w:pPr>
      <w:r>
        <w:t>Поиск новых кормовых средств имеет важное значение в кормлении птицы. Применение нетрадиционных источников в составе комбикормов для птицы позволить сэкономить зерновые корма. Частичное удовлетвор</w:t>
      </w:r>
      <w:r>
        <w:t>е</w:t>
      </w:r>
      <w:r>
        <w:t>ние потребности кур-несушек в белковых кормах возможно за счет введ</w:t>
      </w:r>
      <w:r>
        <w:t>е</w:t>
      </w:r>
      <w:r>
        <w:t>ния в кормосмеси продуктов микробиологического синтеза. Качество би</w:t>
      </w:r>
      <w:r>
        <w:t>о</w:t>
      </w:r>
      <w:r>
        <w:t>масс зависит от технологии производства, используемого сырья. По хим</w:t>
      </w:r>
      <w:r>
        <w:t>и</w:t>
      </w:r>
      <w:r>
        <w:t>ческому составу эти продукты близки к высокопротеиновым растительным кормам – жмыхам и шротам.</w:t>
      </w:r>
    </w:p>
    <w:p w:rsidR="00F4654E" w:rsidRDefault="00F4654E">
      <w:pPr>
        <w:pStyle w:val="a6"/>
      </w:pPr>
      <w:r>
        <w:t>В настоящее время на Кировском биохимическом заводе налажено производство препарата СКБ (смесь кормовая белковая), которая изгота</w:t>
      </w:r>
      <w:r>
        <w:t>в</w:t>
      </w:r>
      <w:r>
        <w:t>ливается с использованием отрубей и плазмолизованной дрожжевой су</w:t>
      </w:r>
      <w:r>
        <w:t>с</w:t>
      </w:r>
      <w:r>
        <w:t>пензии (полупродукт производства кормовых дрожжей) согласно ТУ.</w:t>
      </w:r>
    </w:p>
    <w:p w:rsidR="00F4654E" w:rsidRDefault="00F4654E">
      <w:pPr>
        <w:pStyle w:val="a6"/>
        <w:rPr>
          <w:spacing w:val="-2"/>
        </w:rPr>
      </w:pPr>
      <w:r>
        <w:rPr>
          <w:spacing w:val="-2"/>
        </w:rPr>
        <w:lastRenderedPageBreak/>
        <w:t>Результаты испытаний препаратов СКБ выявили массовую долю влаги – 7,4%; сырого протеина в пересчете на абсолютно сухое вещество – 40,6%; белка по Барнштейну (в пересчете на абсолютно сухое веществ</w:t>
      </w:r>
      <w:r w:rsidR="00D7004F">
        <w:rPr>
          <w:spacing w:val="-2"/>
        </w:rPr>
        <w:t xml:space="preserve">о) – 35,3%; растворимых и легко </w:t>
      </w:r>
      <w:r>
        <w:rPr>
          <w:spacing w:val="-2"/>
        </w:rPr>
        <w:t>гидролизующихся углеводов (в пересчете на абсолю</w:t>
      </w:r>
      <w:r>
        <w:rPr>
          <w:spacing w:val="-2"/>
        </w:rPr>
        <w:t>т</w:t>
      </w:r>
      <w:r>
        <w:rPr>
          <w:spacing w:val="-2"/>
        </w:rPr>
        <w:t>но сухое вещество) – 4,6%; содержание свинца, мышьяка, ртути, кадмия и фтора – в пределах нормы; количество дрожжевых клеток в 1 г препарата – не более 1</w:t>
      </w:r>
      <w:r>
        <w:rPr>
          <w:spacing w:val="-2"/>
        </w:rPr>
        <w:sym w:font="Symbol" w:char="F0B4"/>
      </w:r>
      <w:r>
        <w:rPr>
          <w:spacing w:val="-2"/>
        </w:rPr>
        <w:t>10</w:t>
      </w:r>
      <w:r>
        <w:rPr>
          <w:spacing w:val="-2"/>
          <w:vertAlign w:val="superscript"/>
        </w:rPr>
        <w:t>2</w:t>
      </w:r>
      <w:r>
        <w:rPr>
          <w:spacing w:val="-2"/>
        </w:rPr>
        <w:t>; общая бактериальная обсемененность (клеток в 1 г препар</w:t>
      </w:r>
      <w:r>
        <w:rPr>
          <w:spacing w:val="-2"/>
        </w:rPr>
        <w:t>а</w:t>
      </w:r>
      <w:r>
        <w:rPr>
          <w:spacing w:val="-2"/>
        </w:rPr>
        <w:t>та) – не более 1</w:t>
      </w:r>
      <w:r>
        <w:rPr>
          <w:spacing w:val="-2"/>
        </w:rPr>
        <w:sym w:font="Symbol" w:char="F0B4"/>
      </w:r>
      <w:r>
        <w:rPr>
          <w:spacing w:val="-2"/>
        </w:rPr>
        <w:t>10</w:t>
      </w:r>
      <w:r>
        <w:rPr>
          <w:spacing w:val="-2"/>
          <w:vertAlign w:val="superscript"/>
        </w:rPr>
        <w:t>5</w:t>
      </w:r>
      <w:r>
        <w:rPr>
          <w:spacing w:val="-2"/>
        </w:rPr>
        <w:t>; отсутствие токсичности.</w:t>
      </w:r>
    </w:p>
    <w:p w:rsidR="00F4654E" w:rsidRDefault="00F4654E">
      <w:pPr>
        <w:pStyle w:val="a6"/>
      </w:pPr>
      <w:r>
        <w:rPr>
          <w:spacing w:val="-2"/>
        </w:rPr>
        <w:t>Была изучена кормовая ценность препарата СКБ для яичных кур-несушек и определен максимальный уровень его использования в полнор</w:t>
      </w:r>
      <w:r>
        <w:rPr>
          <w:spacing w:val="-2"/>
        </w:rPr>
        <w:t>а</w:t>
      </w:r>
      <w:r>
        <w:rPr>
          <w:spacing w:val="-2"/>
        </w:rPr>
        <w:t>ционных комбикормах. Опыт был выполнен на курах-несушках породы Леггорн, кросса «Беларусь-9». Птицу содержали в клетках при соблюдении принятых технологических параметров (плотность посадки, освещение, температура, фронт кормления и поения). Доступ кур к воде и корму св</w:t>
      </w:r>
      <w:r>
        <w:rPr>
          <w:spacing w:val="-2"/>
        </w:rPr>
        <w:t>о</w:t>
      </w:r>
      <w:r>
        <w:rPr>
          <w:spacing w:val="-2"/>
        </w:rPr>
        <w:t>бодный. В 150-дневном возрасте было сформировано 5 опытных групп по 36 молодок. Птицу кормили по следующей схеме: 1 группа (контрольная) – полнорационный комбикорм (ПК) с 5% кормовых дрожжей; 2 группа (опытная) – ПК с включением 3% препарата СКБ; 3 группа (опытная) – ПК с 5% СКБ; 4 (опытная) – ПК с 7% СКБ; 5 (опытная) – ПК с включением 9% СКБ. Продолжительность опыта составила 6 месяцев. Кормосмеси для опытных групп готовили на основе комбикорма ПК-4 и дорабатывали до необходимой питательности рыбной мукой, дрожжами кормовыми, корм</w:t>
      </w:r>
      <w:r>
        <w:rPr>
          <w:spacing w:val="-2"/>
        </w:rPr>
        <w:t>о</w:t>
      </w:r>
      <w:r>
        <w:rPr>
          <w:spacing w:val="-2"/>
        </w:rPr>
        <w:t>вым жиром и обогащали витаминно-минеральным премиксом по нормам ВНИТИП. В опыте учитывали следующие показатели: масса тела кур – п</w:t>
      </w:r>
      <w:r>
        <w:rPr>
          <w:spacing w:val="-2"/>
        </w:rPr>
        <w:t>у</w:t>
      </w:r>
      <w:r>
        <w:rPr>
          <w:spacing w:val="-2"/>
        </w:rPr>
        <w:t>тем индивидуального взвешивания в начале и конце опыта; движение пог</w:t>
      </w:r>
      <w:r>
        <w:rPr>
          <w:spacing w:val="-2"/>
        </w:rPr>
        <w:t>о</w:t>
      </w:r>
      <w:r>
        <w:rPr>
          <w:spacing w:val="-2"/>
        </w:rPr>
        <w:t>ловья несушек и их сохранность – путем ежедневного осмотра и учета в</w:t>
      </w:r>
      <w:r>
        <w:rPr>
          <w:spacing w:val="-2"/>
        </w:rPr>
        <w:t>ы</w:t>
      </w:r>
      <w:r>
        <w:rPr>
          <w:spacing w:val="-2"/>
        </w:rPr>
        <w:t>бывшей птицы; интенсивность яйценоскости и ежедневный учет снесенных яиц и расчет ежемесячных показателей; масса яиц – путем индивидуального взвешивания всех снесенных яиц по группе за последние три дня каждого месяца; количество яиц с поврежденной скорлупой (бой, насечка) – еж</w:t>
      </w:r>
      <w:r>
        <w:rPr>
          <w:spacing w:val="-2"/>
        </w:rPr>
        <w:t>е</w:t>
      </w:r>
      <w:r>
        <w:rPr>
          <w:spacing w:val="-2"/>
        </w:rPr>
        <w:t>дневный учет; морфологические показатели яиц; расход кормов: на 1 голову за опыт, кг; на 1 голову в сутки, г; на 10 яиц, кг; переваримость протеина и использование питательных веществ (балансовый опыт). Для расчета были отобраны образцы корма, помета кур, яиц, скорлупы для биохимического анализа; химический состав яиц – в конце оп</w:t>
      </w:r>
      <w:r>
        <w:rPr>
          <w:spacing w:val="-2"/>
        </w:rPr>
        <w:t>ы</w:t>
      </w:r>
      <w:r>
        <w:rPr>
          <w:spacing w:val="-2"/>
        </w:rPr>
        <w:t>та.</w:t>
      </w:r>
    </w:p>
    <w:p w:rsidR="00F4654E" w:rsidRDefault="00F4654E">
      <w:pPr>
        <w:pStyle w:val="a6"/>
      </w:pPr>
      <w:r>
        <w:t>В результате исследований не было установлено каких-либо закон</w:t>
      </w:r>
      <w:r>
        <w:t>о</w:t>
      </w:r>
      <w:r>
        <w:t>мерных изменений по показателям сохранности поголовья и массы тела в зависимости от дозировки СКБ в корме. Сохранность птицы находилась на достаточно высоком уровне и кормовой фактор не являлся причиной п</w:t>
      </w:r>
      <w:r>
        <w:t>а</w:t>
      </w:r>
      <w:r>
        <w:t>дежа птицы. При исследовании по яйценоскости было отмечено, что она снижается при включении в корм 7 и 9% препарата СКБ. Лучшая яйцено</w:t>
      </w:r>
      <w:r>
        <w:t>с</w:t>
      </w:r>
      <w:r>
        <w:t xml:space="preserve">кость наблюдается при введении в рацион 5% изучаемого препарата. В опыте наблюдали тенденцию к снижению потребления корма птицей при </w:t>
      </w:r>
      <w:r>
        <w:lastRenderedPageBreak/>
        <w:t>высокий дозировках СКБ (7 и 9%). При 3 и 5% белковой смеси расход корма на 10 яиц был на уровне с контролем, в 4 и 5 группах по сравнению с ним он увеличивался. Средняя масса яйца также уменьшалась в группах кур, получавших с кормом 7 и 9% СКБ. Результаты балансового опыта п</w:t>
      </w:r>
      <w:r>
        <w:t>о</w:t>
      </w:r>
      <w:r>
        <w:t>казали, что введение препарата в корм птице не влияло отрицательно на переваримость протеина, жира, БЭВ. Однако усвоение азота снижалось у птиц 4 и 5 групп. Доступность аминокислот не зависела от дозировки пр</w:t>
      </w:r>
      <w:r>
        <w:t>е</w:t>
      </w:r>
      <w:r>
        <w:t>парата СКБ. В опыте не было отмечено изменений морфологического и химич</w:t>
      </w:r>
      <w:r>
        <w:t>е</w:t>
      </w:r>
      <w:r>
        <w:t>ского состава яиц в опытных группах.</w:t>
      </w:r>
    </w:p>
    <w:p w:rsidR="00F4654E" w:rsidRDefault="00F4654E">
      <w:pPr>
        <w:pStyle w:val="a6"/>
      </w:pPr>
      <w:r>
        <w:t>Таким образом, в полнорационные комбикорма кур-несушек можно включать смесь кормовую белковую (препарат СКБ), содержащий 40,6% сырого протеина в количестве 5%.</w:t>
      </w:r>
    </w:p>
    <w:p w:rsidR="00F4654E" w:rsidRDefault="00F4654E">
      <w:pPr>
        <w:pStyle w:val="a4"/>
      </w:pPr>
      <w:r>
        <w:t>УДК 619:615.37:636.9</w:t>
      </w:r>
    </w:p>
    <w:p w:rsidR="00F4654E" w:rsidRDefault="00F4654E">
      <w:pPr>
        <w:pStyle w:val="1"/>
      </w:pPr>
      <w:bookmarkStart w:id="938" w:name="_Toc10115310"/>
      <w:bookmarkStart w:id="939" w:name="_Toc10731125"/>
      <w:bookmarkStart w:id="940" w:name="_Toc10731786"/>
      <w:bookmarkStart w:id="941" w:name="_Toc10891625"/>
      <w:bookmarkStart w:id="942" w:name="_Toc10892300"/>
      <w:bookmarkStart w:id="943" w:name="_Toc11390163"/>
      <w:bookmarkStart w:id="944" w:name="_Toc11839842"/>
      <w:bookmarkStart w:id="945" w:name="_Toc11937378"/>
      <w:r>
        <w:t>ВЛИЯНИЕ «ФОСПРЕНИЛА» НА ПРОДУКТИВНОЕ ЗДОРОВЬЕ ПЕСЦОВ</w:t>
      </w:r>
      <w:bookmarkEnd w:id="938"/>
      <w:bookmarkEnd w:id="939"/>
      <w:bookmarkEnd w:id="940"/>
      <w:bookmarkEnd w:id="941"/>
      <w:bookmarkEnd w:id="942"/>
      <w:bookmarkEnd w:id="943"/>
      <w:bookmarkEnd w:id="944"/>
      <w:bookmarkEnd w:id="945"/>
    </w:p>
    <w:p w:rsidR="00F4654E" w:rsidRDefault="00F4654E">
      <w:pPr>
        <w:pStyle w:val="2"/>
      </w:pPr>
      <w:bookmarkStart w:id="946" w:name="_Toc10115311"/>
      <w:bookmarkStart w:id="947" w:name="_Toc10731126"/>
      <w:bookmarkStart w:id="948" w:name="_Toc10731787"/>
      <w:bookmarkStart w:id="949" w:name="_Toc10891626"/>
      <w:bookmarkStart w:id="950" w:name="_Toc10892301"/>
      <w:bookmarkStart w:id="951" w:name="_Toc11390164"/>
      <w:bookmarkStart w:id="952" w:name="_Toc11937379"/>
      <w:r>
        <w:t>Брюхова И.В., Жуков С.П.</w:t>
      </w:r>
      <w:bookmarkEnd w:id="946"/>
      <w:bookmarkEnd w:id="947"/>
      <w:bookmarkEnd w:id="948"/>
      <w:bookmarkEnd w:id="949"/>
      <w:bookmarkEnd w:id="950"/>
      <w:bookmarkEnd w:id="951"/>
      <w:bookmarkEnd w:id="952"/>
    </w:p>
    <w:p w:rsidR="00F4654E" w:rsidRDefault="00F4654E">
      <w:pPr>
        <w:pStyle w:val="a5"/>
      </w:pPr>
      <w:r>
        <w:t>Воронежский государственный аграрный университет им. К.Д. Глинки</w:t>
      </w:r>
    </w:p>
    <w:p w:rsidR="00F4654E" w:rsidRDefault="00F4654E">
      <w:pPr>
        <w:pStyle w:val="a6"/>
      </w:pPr>
      <w:r>
        <w:t>Продуктивное здоровье пушных зверей во многом зависит от разн</w:t>
      </w:r>
      <w:r>
        <w:t>о</w:t>
      </w:r>
      <w:r>
        <w:t>образия потребляемого корма. Несбалансированность рациона приводит к нарушению обмена веществ, снижению естественной резистентности и иммунологической реактивности организма, заболеваемости и падежу ж</w:t>
      </w:r>
      <w:r>
        <w:t>и</w:t>
      </w:r>
      <w:r>
        <w:t>вотных. Поэтому возникает необходимость изыскания и применения би</w:t>
      </w:r>
      <w:r>
        <w:t>о</w:t>
      </w:r>
      <w:r>
        <w:t>логически активных препаратов для коррекции нарушенного гомеостаза. В настоящее время в ветеринарной практике нашел применение препарат н</w:t>
      </w:r>
      <w:r>
        <w:t>о</w:t>
      </w:r>
      <w:r>
        <w:t>вого поколения – фоспренил, являющийся продуктом фосфорилирования полипренолов хвои, обладающий противовирусным, иммуностимулиру</w:t>
      </w:r>
      <w:r>
        <w:t>ю</w:t>
      </w:r>
      <w:r>
        <w:t>щим действием.</w:t>
      </w:r>
    </w:p>
    <w:p w:rsidR="00F4654E" w:rsidRDefault="00F4654E">
      <w:pPr>
        <w:pStyle w:val="a6"/>
      </w:pPr>
      <w:r>
        <w:t>В своих исследованиях мы применили фоспренил песцам на 6 день после повторной (через 5 дней) вакцинации их против паратифа. Для оп</w:t>
      </w:r>
      <w:r>
        <w:t>ы</w:t>
      </w:r>
      <w:r>
        <w:t>та сформировали три группы песцов по 10 животных в каждой. Песцам опытных групп вводили фоспренил: первой группы внутримышечно 4 раза по 0,2 мл на 1 кг массы тела, второй – внутрь по 0,2 мл на 1 кг массы тела. Перед дачей препарата внутрь, его разводили дистиллированной водой в соотношении 1:10 и перемешивали с кормом. Препарат применяли 4-х кратно (до гона, после гона, до и после родов). Песцы третьей группы сл</w:t>
      </w:r>
      <w:r>
        <w:t>у</w:t>
      </w:r>
      <w:r>
        <w:t>жили контролем, им препарат не применяли. Действие препарата на орг</w:t>
      </w:r>
      <w:r>
        <w:t>а</w:t>
      </w:r>
      <w:r>
        <w:t>низм песцов оценивали по внешнему состоянию зверей, приросту массы тела через 4 месяца  и изменению морфологических и биохимических п</w:t>
      </w:r>
      <w:r>
        <w:t>о</w:t>
      </w:r>
      <w:r>
        <w:t xml:space="preserve">казателей крови на 14 день после последнего введения препарата. </w:t>
      </w:r>
    </w:p>
    <w:p w:rsidR="00F4654E" w:rsidRDefault="00F4654E">
      <w:pPr>
        <w:pStyle w:val="a6"/>
      </w:pPr>
      <w:r>
        <w:t>При взвешивании песцов в конце опыта масса тела зверей первой группы возросла на 0,45 кг, второй – 0,2 кг и контрольной на 0,06 кг, что составило 10,0%, 4,4% и 1,3% соответственно. Следовательно, при вну</w:t>
      </w:r>
      <w:r>
        <w:t>т</w:t>
      </w:r>
      <w:r>
        <w:lastRenderedPageBreak/>
        <w:t>римышечном введении фоспренил лучше оказывает свое биологическое действие на организм песцов, чем при применении внутрь. Через 2 недели после последнего введения препарата у животных опытных и контрольной групп была взята кровь для проведения гематологических и биохимич</w:t>
      </w:r>
      <w:r>
        <w:t>е</w:t>
      </w:r>
      <w:r>
        <w:t>ских исследований.</w:t>
      </w:r>
    </w:p>
    <w:p w:rsidR="00F4654E" w:rsidRDefault="00F4654E">
      <w:pPr>
        <w:pStyle w:val="a6"/>
      </w:pPr>
      <w:r>
        <w:t>При гематологическом исследовании отмечено увеличение количес</w:t>
      </w:r>
      <w:r>
        <w:t>т</w:t>
      </w:r>
      <w:r>
        <w:t>ва эритроцитов и гемоглобина. Эритроцитов в первой опытной группе 8,78</w:t>
      </w:r>
      <w:r>
        <w:sym w:font="Symbol" w:char="F0B1"/>
      </w:r>
      <w:r>
        <w:t>0,24 (Р&lt;0,01), во второй -  8,28</w:t>
      </w:r>
      <w:r>
        <w:sym w:font="Symbol" w:char="F0B1"/>
      </w:r>
      <w:r>
        <w:t>0,38 (Р&lt;0,01), в контроле – 5,27</w:t>
      </w:r>
      <w:r>
        <w:sym w:font="Symbol" w:char="F0B1"/>
      </w:r>
      <w:r>
        <w:t>0,31. Гемоглобин в контрольной группе составил 108,25</w:t>
      </w:r>
      <w:r>
        <w:sym w:font="Symbol" w:char="F0B1"/>
      </w:r>
      <w:r>
        <w:t>9,17, а в опытных - 150,5</w:t>
      </w:r>
      <w:r>
        <w:sym w:font="Symbol" w:char="F0B1"/>
      </w:r>
      <w:r>
        <w:t>2,18 и 141,0</w:t>
      </w:r>
      <w:r>
        <w:sym w:font="Symbol" w:char="F0B1"/>
      </w:r>
      <w:r>
        <w:t>3,64 соответственно при Р&lt;0,01. Увеличение содерж</w:t>
      </w:r>
      <w:r>
        <w:t>а</w:t>
      </w:r>
      <w:r>
        <w:t>ния эритроцитов и гемоглобина в крови положительно влияет на имму</w:t>
      </w:r>
      <w:r>
        <w:t>н</w:t>
      </w:r>
      <w:r>
        <w:t>ную систему организма песцов. Количество лейкоцитов по сравнению с контрольной группой в опытных понизилось. Это говорит о высокой ест</w:t>
      </w:r>
      <w:r>
        <w:t>е</w:t>
      </w:r>
      <w:r>
        <w:t>ственной резистентности организма и уменьшении восстановительного процесса. В группе, где применяли фоспренил внутримышечно количество лейкоцитов составило 5,65</w:t>
      </w:r>
      <w:r>
        <w:sym w:font="Symbol" w:char="F0B1"/>
      </w:r>
      <w:r>
        <w:t>0,29 (Р&lt;0,01). В группе, где давали фоспренил внутрь – 5,5</w:t>
      </w:r>
      <w:r>
        <w:sym w:font="Symbol" w:char="F0B1"/>
      </w:r>
      <w:r>
        <w:t>0,46 (Р&lt;0,01). В контрольной группе – 8,23</w:t>
      </w:r>
      <w:r>
        <w:sym w:font="Symbol" w:char="F0B1"/>
      </w:r>
      <w:r>
        <w:t>0,56. При биох</w:t>
      </w:r>
      <w:r>
        <w:t>и</w:t>
      </w:r>
      <w:r>
        <w:t xml:space="preserve">мическом анализе крови песцов определялось количество общего белка, глюкозы, АсАТ, АлАТ, амилаза и белковые фракции, которые включают в себя альбумины и </w:t>
      </w:r>
      <w:r>
        <w:sym w:font="Symbol" w:char="F061"/>
      </w:r>
      <w:r>
        <w:t xml:space="preserve">, </w:t>
      </w:r>
      <w:r>
        <w:sym w:font="Symbol" w:char="F062"/>
      </w:r>
      <w:r>
        <w:t xml:space="preserve">, </w:t>
      </w:r>
      <w:r>
        <w:sym w:font="Symbol" w:char="F067"/>
      </w:r>
      <w:r>
        <w:t>- глобулины. Отмечается повышение количества общего белка. В опытных группах его количество составило 70,6</w:t>
      </w:r>
      <w:r>
        <w:sym w:font="Symbol" w:char="F0B1"/>
      </w:r>
      <w:r>
        <w:t>0,21 (Р&lt;0,01) и 70,1</w:t>
      </w:r>
      <w:r>
        <w:sym w:font="Symbol" w:char="F0B1"/>
      </w:r>
      <w:r>
        <w:t>0,53 (Р&lt;0,05) соответственно. В контрольной группе этот показатель составил 68,5</w:t>
      </w:r>
      <w:r>
        <w:sym w:font="Symbol" w:char="F0B1"/>
      </w:r>
      <w:r>
        <w:t>0,34. Количество альбуминов в опытных  гру</w:t>
      </w:r>
      <w:r>
        <w:t>п</w:t>
      </w:r>
      <w:r>
        <w:t>пах – 56,7</w:t>
      </w:r>
      <w:r>
        <w:sym w:font="Symbol" w:char="F0B1"/>
      </w:r>
      <w:r>
        <w:t>3,88 и 55,8</w:t>
      </w:r>
      <w:r>
        <w:sym w:font="Symbol" w:char="F0B1"/>
      </w:r>
      <w:r>
        <w:t>0,97 выше, чем в контрольной – 51,1</w:t>
      </w:r>
      <w:r>
        <w:sym w:font="Symbol" w:char="F0B1"/>
      </w:r>
      <w:r>
        <w:t>3,16. Здесь можно сказать, что низкая концентрация альбуминов вызывает нежел</w:t>
      </w:r>
      <w:r>
        <w:t>а</w:t>
      </w:r>
      <w:r>
        <w:t xml:space="preserve">тельные изменения осмотического давления крови, что, в свою очередь, неблагоприятно влияет на организм. Содержание </w:t>
      </w:r>
      <w:r>
        <w:sym w:font="Symbol" w:char="F061"/>
      </w:r>
      <w:r>
        <w:t xml:space="preserve">-, </w:t>
      </w:r>
      <w:r>
        <w:sym w:font="Symbol" w:char="F062"/>
      </w:r>
      <w:r>
        <w:t xml:space="preserve">- и </w:t>
      </w:r>
      <w:r>
        <w:sym w:font="Symbol" w:char="F067"/>
      </w:r>
      <w:r>
        <w:t>-глобулинов также выше в опытных группах. Это свидетельствует о повышении защи</w:t>
      </w:r>
      <w:r>
        <w:t>т</w:t>
      </w:r>
      <w:r>
        <w:t xml:space="preserve">ных сил организма. В контрольной группе </w:t>
      </w:r>
      <w:r>
        <w:sym w:font="Symbol" w:char="F061"/>
      </w:r>
      <w:r>
        <w:t>-глобулины составили 20,5</w:t>
      </w:r>
      <w:r>
        <w:sym w:font="Symbol" w:char="F0B1"/>
      </w:r>
      <w:r>
        <w:t xml:space="preserve">0,32%, </w:t>
      </w:r>
      <w:r>
        <w:sym w:font="Symbol" w:char="F062"/>
      </w:r>
      <w:r>
        <w:t>-глобулины  19,4</w:t>
      </w:r>
      <w:r>
        <w:sym w:font="Symbol" w:char="F0B1"/>
      </w:r>
      <w:r>
        <w:t xml:space="preserve">0,44%, </w:t>
      </w:r>
      <w:r>
        <w:sym w:font="Symbol" w:char="F067"/>
      </w:r>
      <w:r>
        <w:t>-глобулины – 9,0</w:t>
      </w:r>
      <w:r>
        <w:sym w:font="Symbol" w:char="F0B1"/>
      </w:r>
      <w:r>
        <w:t>0,92%. В первой опытной группе после введения «Фоспренила» внутримышечно количес</w:t>
      </w:r>
      <w:r>
        <w:t>т</w:t>
      </w:r>
      <w:r>
        <w:t xml:space="preserve">во </w:t>
      </w:r>
      <w:r>
        <w:sym w:font="Symbol" w:char="F061"/>
      </w:r>
      <w:r>
        <w:t>-глобулинов составило 14,2</w:t>
      </w:r>
      <w:r>
        <w:sym w:font="Symbol" w:char="F0B1"/>
      </w:r>
      <w:r>
        <w:t xml:space="preserve">0,32% (Р&lt;0,01), </w:t>
      </w:r>
      <w:r>
        <w:sym w:font="Symbol" w:char="F062"/>
      </w:r>
      <w:r>
        <w:t>-глобулинов – 16,6</w:t>
      </w:r>
      <w:r>
        <w:sym w:font="Symbol" w:char="F0B1"/>
      </w:r>
      <w:r>
        <w:t xml:space="preserve">0,32% (Р&lt;0,01),  </w:t>
      </w:r>
      <w:r>
        <w:sym w:font="Symbol" w:char="F067"/>
      </w:r>
      <w:r>
        <w:t>-глобулинов – 13,1</w:t>
      </w:r>
      <w:r>
        <w:sym w:font="Symbol" w:char="F0B1"/>
      </w:r>
      <w:r>
        <w:t xml:space="preserve">0,88 % (Р&lt;0,01). Во второй опытной группе после введения «Фоспренила» внутрь количество </w:t>
      </w:r>
      <w:r>
        <w:sym w:font="Symbol" w:char="F061"/>
      </w:r>
      <w:r>
        <w:t>-глобулинов – 13,9</w:t>
      </w:r>
      <w:r>
        <w:sym w:font="Symbol" w:char="F0B1"/>
      </w:r>
      <w:r>
        <w:t xml:space="preserve">0,66% (Р&lt;0,01), </w:t>
      </w:r>
      <w:r>
        <w:sym w:font="Symbol" w:char="F062"/>
      </w:r>
      <w:r>
        <w:t>-глобулинов – 17,9</w:t>
      </w:r>
      <w:r>
        <w:sym w:font="Symbol" w:char="F0B1"/>
      </w:r>
      <w:r>
        <w:t xml:space="preserve"> 0,34% (Р&lt;0,05),  </w:t>
      </w:r>
      <w:r>
        <w:sym w:font="Symbol" w:char="F067"/>
      </w:r>
      <w:r>
        <w:t>-глобулинов – 12,4</w:t>
      </w:r>
      <w:r>
        <w:sym w:font="Symbol" w:char="F0B1"/>
      </w:r>
      <w:r>
        <w:t>0,83 % (Р&lt;0,05). В первой группе - АсАТ 36,5</w:t>
      </w:r>
      <w:r>
        <w:sym w:font="Symbol" w:char="F0B1"/>
      </w:r>
      <w:r>
        <w:t>14,08 при Р&lt;0,01 и АлАТ 33,5</w:t>
      </w:r>
      <w:r>
        <w:sym w:font="Symbol" w:char="F0B1"/>
      </w:r>
      <w:r>
        <w:t>1,77. Во второй группе АсАТ - 78,05</w:t>
      </w:r>
      <w:r>
        <w:sym w:font="Symbol" w:char="F0B1"/>
      </w:r>
      <w:r>
        <w:t>7,55 и 33,3</w:t>
      </w:r>
      <w:r>
        <w:sym w:font="Symbol" w:char="F0B1"/>
      </w:r>
      <w:r>
        <w:t>3,62 - АлАТ. Уровень данных ферментов  позволяет судить о норм</w:t>
      </w:r>
      <w:r>
        <w:t>а</w:t>
      </w:r>
      <w:r>
        <w:t>лизации функции печени и сердечной мышцы под влиянием фоспренила. В контрольной группе отмечается увеличение уровня АсАТ и АлАТ – 100,3</w:t>
      </w:r>
      <w:r>
        <w:sym w:font="Symbol" w:char="F0B1"/>
      </w:r>
      <w:r>
        <w:t>9,22 и 34,8</w:t>
      </w:r>
      <w:r>
        <w:sym w:font="Symbol" w:char="F0B1"/>
      </w:r>
      <w:r>
        <w:t xml:space="preserve">4,2 соответственно. Необходимо отметить увеличение у </w:t>
      </w:r>
      <w:r>
        <w:lastRenderedPageBreak/>
        <w:t>зверей опытных групп фагоцитарного числа лейкоцитов, что также свид</w:t>
      </w:r>
      <w:r>
        <w:t>е</w:t>
      </w:r>
      <w:r>
        <w:t>тельствует о повышении сопротивляемости организма. Содержание натрия в первой опытной группе было 131,5</w:t>
      </w:r>
      <w:r>
        <w:sym w:font="Symbol" w:char="F0B1"/>
      </w:r>
      <w:r>
        <w:t>3,52 ммоль/л (Р&lt;0,01), во второй – 132,75</w:t>
      </w:r>
      <w:r>
        <w:sym w:font="Symbol" w:char="F0B1"/>
      </w:r>
      <w:r>
        <w:t>4,61 ммоль/л (Р&lt;0,01), в контроле – 113,73</w:t>
      </w:r>
      <w:r>
        <w:sym w:font="Symbol" w:char="F0B1"/>
      </w:r>
      <w:r>
        <w:t>4,81 ммоль/л. Содерж</w:t>
      </w:r>
      <w:r>
        <w:t>а</w:t>
      </w:r>
      <w:r>
        <w:t>ние калия в контрольной группе – 4,2</w:t>
      </w:r>
      <w:r>
        <w:sym w:font="Symbol" w:char="F0B1"/>
      </w:r>
      <w:r>
        <w:t>0,12 ммоль/л, в опытных группах – 4,63</w:t>
      </w:r>
      <w:r>
        <w:sym w:font="Symbol" w:char="F0B1"/>
      </w:r>
      <w:r>
        <w:t>0,58 ммоль/л и 4,78</w:t>
      </w:r>
      <w:r>
        <w:sym w:font="Symbol" w:char="F0B1"/>
      </w:r>
      <w:r>
        <w:t>0,95 ммоль/л соответственно. Содержание кал</w:t>
      </w:r>
      <w:r>
        <w:t>ь</w:t>
      </w:r>
      <w:r>
        <w:t>ция в крови зверей также выше в опытных группах 2,5</w:t>
      </w:r>
      <w:r>
        <w:sym w:font="Symbol" w:char="F0B1"/>
      </w:r>
      <w:r>
        <w:t>0,15 ммоль/л в пе</w:t>
      </w:r>
      <w:r>
        <w:t>р</w:t>
      </w:r>
      <w:r>
        <w:t>вой (Р&lt;0,01) и 2,18</w:t>
      </w:r>
      <w:r>
        <w:sym w:font="Symbol" w:char="F0B1"/>
      </w:r>
      <w:r>
        <w:t>0,15 ммоль/л во второй. В контрольной группе этот показатель составил 1,93</w:t>
      </w:r>
      <w:r>
        <w:sym w:font="Symbol" w:char="F0B1"/>
      </w:r>
      <w:r>
        <w:t>0,1 ммоль/л. Количество фосфора в 1-ой опы</w:t>
      </w:r>
      <w:r>
        <w:t>т</w:t>
      </w:r>
      <w:r>
        <w:t>ной группе составило 1,62</w:t>
      </w:r>
      <w:r>
        <w:sym w:font="Symbol" w:char="F0B1"/>
      </w:r>
      <w:r>
        <w:t>0,11 ммоль/л (Р&lt;0,01), во второй – 1,58</w:t>
      </w:r>
      <w:r>
        <w:sym w:font="Symbol" w:char="F0B1"/>
      </w:r>
      <w:r>
        <w:t>0,17 ммоль/л, а в контрольной 1,28</w:t>
      </w:r>
      <w:r>
        <w:sym w:font="Symbol" w:char="F0B1"/>
      </w:r>
      <w:r>
        <w:t>0,07 ммоль/л.</w:t>
      </w:r>
    </w:p>
    <w:p w:rsidR="00F4654E" w:rsidRDefault="00F4654E">
      <w:pPr>
        <w:pStyle w:val="a6"/>
      </w:pPr>
      <w:r>
        <w:t>Представленные данные свидетельствуют о том, что  препарат сп</w:t>
      </w:r>
      <w:r>
        <w:t>о</w:t>
      </w:r>
      <w:r>
        <w:t>собствует повышению естественной резистентности организма, о чем можно судить по достоверному повышению количества эритроцитов, г</w:t>
      </w:r>
      <w:r>
        <w:t>е</w:t>
      </w:r>
      <w:r>
        <w:t xml:space="preserve">моглобина, общего белка, </w:t>
      </w:r>
      <w:r>
        <w:sym w:font="Symbol" w:char="F067"/>
      </w:r>
      <w:r>
        <w:t>-глобулинов и снижению содержания лейкоц</w:t>
      </w:r>
      <w:r>
        <w:t>и</w:t>
      </w:r>
      <w:r>
        <w:t xml:space="preserve">тов. Под влиянием фоспренила активизировался углеводный обмен, что подтверждается повышением содержания глюкозы, а также минеральный обмен вследствие увеличения содержания натрия, кальция и фосфора. </w:t>
      </w:r>
    </w:p>
    <w:p w:rsidR="00F4654E" w:rsidRDefault="00F4654E">
      <w:pPr>
        <w:pStyle w:val="a6"/>
      </w:pPr>
      <w:r>
        <w:t>В целом, можно сделать вывод, что лучший эффект дают внутрим</w:t>
      </w:r>
      <w:r>
        <w:t>ы</w:t>
      </w:r>
      <w:r>
        <w:t>шечные введения фоспренила. Препарат положительно влияет на естес</w:t>
      </w:r>
      <w:r>
        <w:t>т</w:t>
      </w:r>
      <w:r>
        <w:t>венную резистентность, метаболические процессы в организме песцов. Об этом говорят лучшие результаты исследования крови. Наблюдения за по</w:t>
      </w:r>
      <w:r>
        <w:t>д</w:t>
      </w:r>
      <w:r>
        <w:t>опытными песцами показали, что животные опытной группы развивались лучше контрольных аналогов, реже болели, у них отмечена лучшая п</w:t>
      </w:r>
      <w:r>
        <w:t>о</w:t>
      </w:r>
      <w:r>
        <w:t>едаемость корма.</w:t>
      </w:r>
    </w:p>
    <w:p w:rsidR="00F4654E" w:rsidRDefault="00F4654E">
      <w:pPr>
        <w:pStyle w:val="a6"/>
      </w:pPr>
      <w:r>
        <w:t xml:space="preserve"> Таким образом, исследования показали, что фоспренил способствует приросту массы тела, повышает естественную резистентность, усиливает метаболические процессы в организме зверей, что определяет перспективу его применения в пушном звероводстве.</w:t>
      </w:r>
    </w:p>
    <w:p w:rsidR="00F4654E" w:rsidRDefault="00F4654E">
      <w:pPr>
        <w:pStyle w:val="a4"/>
      </w:pPr>
      <w:r>
        <w:t>УДК 636:612.015.3</w:t>
      </w:r>
    </w:p>
    <w:p w:rsidR="00F4654E" w:rsidRDefault="00F4654E">
      <w:pPr>
        <w:pStyle w:val="1"/>
      </w:pPr>
      <w:bookmarkStart w:id="953" w:name="_Toc10115312"/>
      <w:bookmarkStart w:id="954" w:name="_Toc10731127"/>
      <w:bookmarkStart w:id="955" w:name="_Toc10731788"/>
      <w:bookmarkStart w:id="956" w:name="_Toc10891627"/>
      <w:bookmarkStart w:id="957" w:name="_Toc10892302"/>
      <w:bookmarkStart w:id="958" w:name="_Toc11390165"/>
      <w:bookmarkStart w:id="959" w:name="_Toc11839844"/>
      <w:bookmarkStart w:id="960" w:name="_Toc11937380"/>
      <w:r>
        <w:t>ИЗМЕНЕНИЕ БИОХИМИЧЕСКИХ ПОКАЗАТЕЛЕЙ СЫВОРОТКИ КРОВИ ОВЦЕМАТОК И ИХ ПРИПЛОДА ПОД ВЛИЯНИЕМ ТКАНЕВОГО ПРЕПАРАТА ИЗ КУКУМАРИИ ЯПОНСКОЙ</w:t>
      </w:r>
      <w:bookmarkEnd w:id="953"/>
      <w:bookmarkEnd w:id="954"/>
      <w:bookmarkEnd w:id="955"/>
      <w:bookmarkEnd w:id="956"/>
      <w:bookmarkEnd w:id="957"/>
      <w:bookmarkEnd w:id="958"/>
      <w:bookmarkEnd w:id="959"/>
      <w:bookmarkEnd w:id="960"/>
    </w:p>
    <w:p w:rsidR="00F4654E" w:rsidRDefault="00F4654E">
      <w:pPr>
        <w:pStyle w:val="2"/>
      </w:pPr>
      <w:bookmarkStart w:id="961" w:name="_Toc10115313"/>
      <w:bookmarkStart w:id="962" w:name="_Toc10731128"/>
      <w:bookmarkStart w:id="963" w:name="_Toc10731789"/>
      <w:bookmarkStart w:id="964" w:name="_Toc10891628"/>
      <w:bookmarkStart w:id="965" w:name="_Toc10892303"/>
      <w:bookmarkStart w:id="966" w:name="_Toc11390166"/>
      <w:bookmarkStart w:id="967" w:name="_Toc11937381"/>
      <w:r>
        <w:t>Бугатов А.Б., Абидуева Е.Ю., Чойдонов А.С.</w:t>
      </w:r>
      <w:bookmarkEnd w:id="961"/>
      <w:bookmarkEnd w:id="962"/>
      <w:bookmarkEnd w:id="963"/>
      <w:bookmarkEnd w:id="964"/>
      <w:bookmarkEnd w:id="965"/>
      <w:bookmarkEnd w:id="966"/>
      <w:bookmarkEnd w:id="967"/>
    </w:p>
    <w:p w:rsidR="00F4654E" w:rsidRDefault="00F4654E">
      <w:pPr>
        <w:pStyle w:val="a5"/>
      </w:pPr>
      <w:r>
        <w:t>Бурятская государственная сельскохозяйственная академия им. В.Р. Филиппова</w:t>
      </w:r>
    </w:p>
    <w:p w:rsidR="00F4654E" w:rsidRDefault="00F4654E">
      <w:pPr>
        <w:pStyle w:val="a6"/>
      </w:pPr>
      <w:r>
        <w:t>В последние годы ученых-биологов интересует вопрос комплексного освоения богатств мирового океана, в частности проблема исследования дальневосточных голотурий, наиболее распространенными представит</w:t>
      </w:r>
      <w:r>
        <w:t>е</w:t>
      </w:r>
      <w:r>
        <w:t>лями которых являются трепанг и кукумария японская. Их ткани содержат гликозиды, практически все незаменимые аминокислоты, жирораствор</w:t>
      </w:r>
      <w:r>
        <w:t>и</w:t>
      </w:r>
      <w:r>
        <w:lastRenderedPageBreak/>
        <w:t>мые витамины, арахидиновую кислоту. Смесь гликозидов кукумарии, н</w:t>
      </w:r>
      <w:r>
        <w:t>а</w:t>
      </w:r>
      <w:r>
        <w:t>зываемая кукумариозидами, обладает фунгицидным, антимикробным и противопаразитарным действием. Они стимулируют половую функцию и фагоцитоз, снижают рост опухолевых клеток.</w:t>
      </w:r>
    </w:p>
    <w:p w:rsidR="00F4654E" w:rsidRDefault="00F4654E">
      <w:pPr>
        <w:pStyle w:val="a6"/>
      </w:pPr>
      <w:r>
        <w:t>Принимая во внимание уникальность химического состава тканей к</w:t>
      </w:r>
      <w:r>
        <w:t>у</w:t>
      </w:r>
      <w:r>
        <w:t>кумарии японской и широкую гамму биологических эффектов, оказыва</w:t>
      </w:r>
      <w:r>
        <w:t>е</w:t>
      </w:r>
      <w:r>
        <w:t>мых ее препаратами, мы задались целью изучить влияние экстракта из о</w:t>
      </w:r>
      <w:r>
        <w:t>т</w:t>
      </w:r>
      <w:r>
        <w:t>ходов ее переработки на биохимические показатели крови у овцематок н</w:t>
      </w:r>
      <w:r>
        <w:t>о</w:t>
      </w:r>
      <w:r>
        <w:t>ворожденных ягнят.</w:t>
      </w:r>
    </w:p>
    <w:p w:rsidR="00F4654E" w:rsidRDefault="00F4654E">
      <w:pPr>
        <w:pStyle w:val="a6"/>
      </w:pPr>
      <w:r>
        <w:t>Изучение влияния экстракта кукумарии японской на динамику изм</w:t>
      </w:r>
      <w:r>
        <w:t>е</w:t>
      </w:r>
      <w:r>
        <w:t>нения биохимических показателей крови овцематок и новорожденных я</w:t>
      </w:r>
      <w:r>
        <w:t>г</w:t>
      </w:r>
      <w:r>
        <w:t>нят проводили в АКХ «Удинский» на 30 овцематках аборигенной буря</w:t>
      </w:r>
      <w:r>
        <w:t>т</w:t>
      </w:r>
      <w:r>
        <w:t>ской породы с массой тела 35-40 кг, в возрасте 3-4 лет. Животных по принципу аналогов разделили на контрольную и опытную группы по 15 голов. В сыворотке крови определяли общий белок – рефрактометрич</w:t>
      </w:r>
      <w:r>
        <w:t>е</w:t>
      </w:r>
      <w:r>
        <w:t>ским методом; кальций – трилонометрическим методом; неорганический фосфор – колориметрическим методом по Бригсу в модификации В.Я. Юделовичу; глюкозу – ортотолуидиновым методом; магний – по Кункелю, Пирсону, Швейгерту в модификации И.В. Петрухина; щелочной резерв – диффузным методом.</w:t>
      </w:r>
    </w:p>
    <w:p w:rsidR="00F4654E" w:rsidRDefault="00F4654E">
      <w:pPr>
        <w:pStyle w:val="a6"/>
      </w:pPr>
      <w:r>
        <w:t>Суягным овцематкам контрольной и опытной групп трижды с инте</w:t>
      </w:r>
      <w:r>
        <w:t>р</w:t>
      </w:r>
      <w:r>
        <w:t>валом 7 дней вводили по 5 мл тривитамина, а опытным животным в эти же сроки инъецировали подкожно по 8 мл экстракта кукумарии японской. На вторые и пятнадцатые сутки после родов у овцематок и родившихся ягнят брали кровь, в которой определяли вышеперечисленные показатели.</w:t>
      </w:r>
    </w:p>
    <w:p w:rsidR="00F4654E" w:rsidRDefault="00F4654E">
      <w:pPr>
        <w:pStyle w:val="a6"/>
      </w:pPr>
      <w:r>
        <w:t>Морфологические и биохимические показатели крови у овцематок и новорожденные ягнят зависят от физиологического состояния матерей и возраста их приплода. Наряду с этим, общепризнанным фактором является то, что тканевые препараты оказывают положительное влияние на де</w:t>
      </w:r>
      <w:r>
        <w:t>я</w:t>
      </w:r>
      <w:r>
        <w:t>тельность кроветворных органов и состояние обмена веществ.</w:t>
      </w:r>
    </w:p>
    <w:p w:rsidR="00F4654E" w:rsidRDefault="00F4654E">
      <w:pPr>
        <w:pStyle w:val="a6"/>
      </w:pPr>
      <w:r>
        <w:t>Результаты исследований показали, что изменения биохимических показателей крови хотя и зависят от физиологического состояния живо</w:t>
      </w:r>
      <w:r>
        <w:t>т</w:t>
      </w:r>
      <w:r>
        <w:t>ных, но при этом влияние биостимулятора очевидно. Во 2-й день ПРП с</w:t>
      </w:r>
      <w:r>
        <w:t>о</w:t>
      </w:r>
      <w:r>
        <w:t>держание общего белка сыворотки крови у овцематок контрольной и опытных групп снизилось соответственно на 10,8 и 3,3%. При этом абс</w:t>
      </w:r>
      <w:r>
        <w:t>о</w:t>
      </w:r>
      <w:r>
        <w:t>лютное содержание общего белка в сыворотке крови у животных опытной группы было достоверно выше (Р≤0,001), чем контрольной. К 15-му дню после родов этот показатель выровнялся. У новорожденных ягнят опытной группы на 2-й день жизни количество общего белка было на 9,8% выше контрольных животных. К 15-дневному возрасту это различие увеличилось до 12,8% (Р≤0,05). На содержание кальция и фосфора в сыворотке крови у овцематок и их новорожденных ягнят тканевой препарат заметного вли</w:t>
      </w:r>
      <w:r>
        <w:t>я</w:t>
      </w:r>
      <w:r>
        <w:t>ния не оказал. Содержание сахара в крови во 2-й день послеродового п</w:t>
      </w:r>
      <w:r>
        <w:t>е</w:t>
      </w:r>
      <w:r>
        <w:lastRenderedPageBreak/>
        <w:t>риода овцематок опытной группы достоверно (Р≤0,01) превышало этот п</w:t>
      </w:r>
      <w:r>
        <w:t>о</w:t>
      </w:r>
      <w:r>
        <w:t>казатель животных контрольной группы, к 15-му дню содержание сахара выравнивалось. У родившихся от опытных овцематок ягнят в 2-дневном возрасте содержание сахара в сыворотке крови было на 20,4% выше, чем у контрольных животных (Р≤0,001), к 15-му дню жизни количество сахара в крови у ягнят обеих групп снизилось, но все равно у опытных животных оно было на 10,8% выше, чем у контрольных. Однако это различие было недостоверным. Касаясь действия биостимулятора на изменение содерж</w:t>
      </w:r>
      <w:r>
        <w:t>а</w:t>
      </w:r>
      <w:r>
        <w:t>ния магния, необходимо отметить, что на  овцематок он не оказал сущес</w:t>
      </w:r>
      <w:r>
        <w:t>т</w:t>
      </w:r>
      <w:r>
        <w:t>венного влияния, в то время как у  опытных ягнят во 2-й день жизни он был достоверно выше чем, у животных контрольной группы (Р≤0,05). Зн</w:t>
      </w:r>
      <w:r>
        <w:t>а</w:t>
      </w:r>
      <w:r>
        <w:t>чительное влияние экстракт кукумарии оказал на щелочной резерв сыв</w:t>
      </w:r>
      <w:r>
        <w:t>о</w:t>
      </w:r>
      <w:r>
        <w:t>ротки опытных овцематок в ПРП ( Р≤0,001) и ягнят, полученных от опы</w:t>
      </w:r>
      <w:r>
        <w:t>т</w:t>
      </w:r>
      <w:r>
        <w:t>ной группы. У контрольных животных имело место незначительное пов</w:t>
      </w:r>
      <w:r>
        <w:t>ы</w:t>
      </w:r>
      <w:r>
        <w:t>шение  щелочного запаса крови в третий срок исследования.</w:t>
      </w:r>
    </w:p>
    <w:p w:rsidR="00F4654E" w:rsidRDefault="00F4654E">
      <w:pPr>
        <w:pStyle w:val="a6"/>
      </w:pPr>
      <w:r>
        <w:t>Таким образом, экстракт кукумарии японской оказал благотворное влияние на функцию кроветворных органов, способствовал нормализации белкового и углеводного обмена, повышал щелочной запас крови овцем</w:t>
      </w:r>
      <w:r>
        <w:t>а</w:t>
      </w:r>
      <w:r>
        <w:t>ток и их потомства.</w:t>
      </w:r>
    </w:p>
    <w:p w:rsidR="00F4654E" w:rsidRDefault="00F4654E">
      <w:pPr>
        <w:pStyle w:val="a4"/>
      </w:pPr>
      <w:r>
        <w:t>УДК 636:612..017</w:t>
      </w:r>
    </w:p>
    <w:p w:rsidR="00F4654E" w:rsidRDefault="00F4654E">
      <w:pPr>
        <w:pStyle w:val="1"/>
      </w:pPr>
      <w:bookmarkStart w:id="968" w:name="_Toc10115314"/>
      <w:bookmarkStart w:id="969" w:name="_Toc10731129"/>
      <w:bookmarkStart w:id="970" w:name="_Toc10731790"/>
      <w:bookmarkStart w:id="971" w:name="_Toc10891629"/>
      <w:bookmarkStart w:id="972" w:name="_Toc10892304"/>
      <w:bookmarkStart w:id="973" w:name="_Toc11390167"/>
      <w:bookmarkStart w:id="974" w:name="_Toc11839846"/>
      <w:bookmarkStart w:id="975" w:name="_Toc11937382"/>
      <w:r>
        <w:t>ВЛИЯНИЕ ЭКСТРАКТА КУКУМАРИИ ЯПОНСКОЙ НА КЛЕТОЧНЫЕ И ГУМОРАЛЬНЫЕ ФАКТОРЫ НЕСПЕЦЕФИЧЕСКОЙ РЕЗИСТЕНТНОСТИ ЯГНЯТ АБОРИГЕННОЙ БУРЯТСКОЙ ПОРОДЫ</w:t>
      </w:r>
      <w:bookmarkEnd w:id="968"/>
      <w:bookmarkEnd w:id="969"/>
      <w:bookmarkEnd w:id="970"/>
      <w:bookmarkEnd w:id="971"/>
      <w:bookmarkEnd w:id="972"/>
      <w:bookmarkEnd w:id="973"/>
      <w:bookmarkEnd w:id="974"/>
      <w:bookmarkEnd w:id="975"/>
    </w:p>
    <w:p w:rsidR="00F4654E" w:rsidRDefault="00F4654E">
      <w:pPr>
        <w:pStyle w:val="2"/>
      </w:pPr>
      <w:bookmarkStart w:id="976" w:name="_Toc10115315"/>
      <w:bookmarkStart w:id="977" w:name="_Toc10731130"/>
      <w:bookmarkStart w:id="978" w:name="_Toc10731791"/>
      <w:bookmarkStart w:id="979" w:name="_Toc10891630"/>
      <w:bookmarkStart w:id="980" w:name="_Toc10892305"/>
      <w:bookmarkStart w:id="981" w:name="_Toc11390168"/>
      <w:bookmarkStart w:id="982" w:name="_Toc11937383"/>
      <w:r>
        <w:t>Бугатов А.Б., Чойдонов А.С., Тарнуев Ю.А., Лубсанова Л.Б.</w:t>
      </w:r>
      <w:bookmarkEnd w:id="976"/>
      <w:bookmarkEnd w:id="977"/>
      <w:bookmarkEnd w:id="978"/>
      <w:bookmarkEnd w:id="979"/>
      <w:bookmarkEnd w:id="980"/>
      <w:bookmarkEnd w:id="981"/>
      <w:bookmarkEnd w:id="982"/>
    </w:p>
    <w:p w:rsidR="00F4654E" w:rsidRDefault="00F4654E">
      <w:pPr>
        <w:pStyle w:val="a5"/>
      </w:pPr>
      <w:r>
        <w:t>Бурятская государственная сельскохозяйственная академия им. В.Р. Филиппова</w:t>
      </w:r>
    </w:p>
    <w:p w:rsidR="00F4654E" w:rsidRDefault="00F4654E">
      <w:pPr>
        <w:pStyle w:val="a6"/>
      </w:pPr>
      <w:r>
        <w:t>Проблема получения и сохранения молодняка сельскохозяйственных животных в настоящее время рассматривается как комплексная, в которой наряду с факторами окружающей среды важная роль отводится зависим</w:t>
      </w:r>
      <w:r>
        <w:t>о</w:t>
      </w:r>
      <w:r>
        <w:t>сти иммунологической резистентности новорожденного животного от с</w:t>
      </w:r>
      <w:r>
        <w:t>о</w:t>
      </w:r>
      <w:r>
        <w:t>стояния материнского организма. Устойчивость животных к болезням во многом зависит от уровня естественной резистентности, состояние кот</w:t>
      </w:r>
      <w:r>
        <w:t>о</w:t>
      </w:r>
      <w:r>
        <w:t>рой в значительной степени зависит от уровня кормления и условий с</w:t>
      </w:r>
      <w:r>
        <w:t>о</w:t>
      </w:r>
      <w:r>
        <w:t>держания. Снижение уровня естественной резистентности к концу бер</w:t>
      </w:r>
      <w:r>
        <w:t>е</w:t>
      </w:r>
      <w:r>
        <w:t>менности, иммунодефицит, обусловленный гипотрофией новорожденных, способствуют угнетению процессов регенерации, являются патогенетич</w:t>
      </w:r>
      <w:r>
        <w:t>е</w:t>
      </w:r>
      <w:r>
        <w:t>ской основой возникновения незаразной патологии органов пищеварения и дыхания у молодняка, а также органов размножения у взрослых животных.</w:t>
      </w:r>
    </w:p>
    <w:p w:rsidR="00F4654E" w:rsidRDefault="00F4654E">
      <w:pPr>
        <w:pStyle w:val="a6"/>
      </w:pPr>
      <w:r>
        <w:t>В настоящее время разработано значительное количество веществ микробного, растительного, животного и синтетического происхождения, используемых в качестве стимуляторов специфического и неспецифич</w:t>
      </w:r>
      <w:r>
        <w:t>е</w:t>
      </w:r>
      <w:r>
        <w:t>ского иммунитета в случаях их первичного и вторичного дефицита. Ан</w:t>
      </w:r>
      <w:r>
        <w:t>а</w:t>
      </w:r>
      <w:r>
        <w:lastRenderedPageBreak/>
        <w:t>лиз литературных данных показывает, что и в настоящее время тканевые препараты по В.П. Филатову как средство стимуляции естественной у</w:t>
      </w:r>
      <w:r>
        <w:t>с</w:t>
      </w:r>
      <w:r>
        <w:t>тойчивости животных к болезням имеют непреходящее значение. По да</w:t>
      </w:r>
      <w:r>
        <w:t>н</w:t>
      </w:r>
      <w:r>
        <w:t>ным Н.А. Бархатова и др., тканевой препарат из внутренностей кукумарии показал высокую эффективность при лечении и профилактике острых п</w:t>
      </w:r>
      <w:r>
        <w:t>о</w:t>
      </w:r>
      <w:r>
        <w:t>слеродовых заболеваний у коров.</w:t>
      </w:r>
    </w:p>
    <w:p w:rsidR="00F4654E" w:rsidRDefault="00F4654E">
      <w:pPr>
        <w:pStyle w:val="a6"/>
      </w:pPr>
      <w:r>
        <w:t>Принимая во внимание уникальность химического состава тканей к</w:t>
      </w:r>
      <w:r>
        <w:t>у</w:t>
      </w:r>
      <w:r>
        <w:t>кумарии японской и широкую гамму биологических эффектов, оказыва</w:t>
      </w:r>
      <w:r>
        <w:t>е</w:t>
      </w:r>
      <w:r>
        <w:t>мых ее препаратами. Мы задались целью изучить влияние экстракта из о</w:t>
      </w:r>
      <w:r>
        <w:t>т</w:t>
      </w:r>
      <w:r>
        <w:t>ходов ее переработки на показатели естественной резистентности новор</w:t>
      </w:r>
      <w:r>
        <w:t>о</w:t>
      </w:r>
      <w:r>
        <w:t>жденных ягнят и овцематок.</w:t>
      </w:r>
    </w:p>
    <w:p w:rsidR="00F4654E" w:rsidRDefault="00F4654E">
      <w:pPr>
        <w:pStyle w:val="a6"/>
      </w:pPr>
      <w:r>
        <w:t>Для проведения опыта подобрано 30 овцематок аборигенной буря</w:t>
      </w:r>
      <w:r>
        <w:t>т</w:t>
      </w:r>
      <w:r>
        <w:t>ской породы с массой тела 35-40 кг, в возрасте 3-4 лет. Животные соде</w:t>
      </w:r>
      <w:r>
        <w:t>р</w:t>
      </w:r>
      <w:r>
        <w:t>жались в типовой кошаре, пользовались прогулками на выгульной пл</w:t>
      </w:r>
      <w:r>
        <w:t>о</w:t>
      </w:r>
      <w:r>
        <w:t>щадке. В рацион овцематок входили сено, солома, зернофураж, премиксы. Животных по принципу аналогов разделили на контрольную и опытную группы по 15 голов. Перед началом опыта у 5 овцематок исследовали ба</w:t>
      </w:r>
      <w:r>
        <w:t>к</w:t>
      </w:r>
      <w:r>
        <w:t>терицидную активность сыворотки крови по О.В. Смирновой и Т.А. Куз</w:t>
      </w:r>
      <w:r>
        <w:t>ь</w:t>
      </w:r>
      <w:r>
        <w:t>миной (1966); лизоцимную активность сыворотки крови по В.Г. Дрофе</w:t>
      </w:r>
      <w:r>
        <w:t>й</w:t>
      </w:r>
      <w:r>
        <w:t>чуку (1968); активность β-лизинов по О.В. Бухарину с соавт. (1972); фаг</w:t>
      </w:r>
      <w:r>
        <w:t>о</w:t>
      </w:r>
      <w:r>
        <w:t>цитарную активность по модифицированному методу Е.А. Кост и М.И. Стенко. В качестве объекта фагоцитоза использовали суточную культуру золотистого стафилококка. Цифровой материал обрабатывали статистич</w:t>
      </w:r>
      <w:r>
        <w:t>е</w:t>
      </w:r>
      <w:r>
        <w:t xml:space="preserve">ски с использованием </w:t>
      </w:r>
      <w:r>
        <w:rPr>
          <w:caps/>
        </w:rPr>
        <w:t>э</w:t>
      </w:r>
      <w:r>
        <w:t>ВМ.</w:t>
      </w:r>
    </w:p>
    <w:p w:rsidR="00F4654E" w:rsidRDefault="00F4654E">
      <w:pPr>
        <w:pStyle w:val="a6"/>
      </w:pPr>
      <w:r>
        <w:t>Введение экстракта кукумарии овцематкам в последнюю треть бер</w:t>
      </w:r>
      <w:r>
        <w:t>е</w:t>
      </w:r>
      <w:r>
        <w:t>менности оказало различное влияние на клеточные и гуморальные факт</w:t>
      </w:r>
      <w:r>
        <w:t>о</w:t>
      </w:r>
      <w:r>
        <w:t>ры неспецифической защиты у овцематок и их приплода. Так, у овцематок биостимулятор оказал наиболее выраженное влияние на бактерицидную активность сыворотки крови на 15-й день послеродового периода (Р≤0,05). Другие показатели гуморальной защиты были выше у опытных животных, однако эти различия статистически недостоверны. Ягнята полученные от опытных овцематок, имели достоверно более высокие  показатели  бакт</w:t>
      </w:r>
      <w:r>
        <w:t>е</w:t>
      </w:r>
      <w:r>
        <w:t>рицидной и лизоцимной активности сыворотки крови ( Р≤0,001) и акти</w:t>
      </w:r>
      <w:r>
        <w:t>в</w:t>
      </w:r>
      <w:r>
        <w:t>ности β-лизинов  (Р≤0,01). Стимуляция суягных овцематок активным пр</w:t>
      </w:r>
      <w:r>
        <w:t>е</w:t>
      </w:r>
      <w:r>
        <w:t>паратом  способствовала достоверному повышению у них фагоцитарного индекса, фагоцитарного числа и фагоцитарной емкости крови.</w:t>
      </w:r>
    </w:p>
    <w:p w:rsidR="00F4654E" w:rsidRDefault="00F4654E">
      <w:pPr>
        <w:pStyle w:val="a6"/>
      </w:pPr>
      <w:r>
        <w:t>Таким образом, экстракт кукумарии японской стимулирует гуморал</w:t>
      </w:r>
      <w:r>
        <w:t>ь</w:t>
      </w:r>
      <w:r>
        <w:t>ные и клеточные факторы неспецифической резистентности организма животных, причем у новорожденных ягнят было более выраженным, чем у их матерей.</w:t>
      </w:r>
    </w:p>
    <w:p w:rsidR="00F4654E" w:rsidRDefault="00F4654E">
      <w:pPr>
        <w:pStyle w:val="a6"/>
      </w:pPr>
    </w:p>
    <w:p w:rsidR="00F4654E" w:rsidRDefault="00F4654E">
      <w:pPr>
        <w:pStyle w:val="a6"/>
      </w:pPr>
    </w:p>
    <w:p w:rsidR="00F4654E" w:rsidRPr="00F4654E" w:rsidRDefault="00F4654E">
      <w:pPr>
        <w:pStyle w:val="a4"/>
      </w:pPr>
      <w:r w:rsidRPr="00F4654E">
        <w:lastRenderedPageBreak/>
        <w:t>УДК 619:636.5:612</w:t>
      </w:r>
    </w:p>
    <w:p w:rsidR="00F4654E" w:rsidRPr="00F4654E" w:rsidRDefault="00F4654E">
      <w:pPr>
        <w:pStyle w:val="1"/>
      </w:pPr>
      <w:bookmarkStart w:id="983" w:name="_Toc10115316"/>
      <w:bookmarkStart w:id="984" w:name="_Toc10731131"/>
      <w:bookmarkStart w:id="985" w:name="_Toc10731792"/>
      <w:bookmarkStart w:id="986" w:name="_Toc10891631"/>
      <w:bookmarkStart w:id="987" w:name="_Toc10892306"/>
      <w:bookmarkStart w:id="988" w:name="_Toc11390169"/>
      <w:bookmarkStart w:id="989" w:name="_Toc11839848"/>
      <w:bookmarkStart w:id="990" w:name="_Toc11937384"/>
      <w:r w:rsidRPr="00F4654E">
        <w:t>ОПЕРАТИВНОЕ ВЖИВЛЕНИЕ ЭЛЕКТРОДОВ В ЖЕЛУДОК И ОТДЕЛЫ КИШЕЧНИКА ГУСЕЙ, ИНДЕЕК</w:t>
      </w:r>
      <w:bookmarkEnd w:id="983"/>
      <w:bookmarkEnd w:id="984"/>
      <w:bookmarkEnd w:id="985"/>
      <w:bookmarkEnd w:id="986"/>
      <w:bookmarkEnd w:id="987"/>
      <w:bookmarkEnd w:id="988"/>
      <w:bookmarkEnd w:id="989"/>
      <w:bookmarkEnd w:id="990"/>
    </w:p>
    <w:p w:rsidR="00F4654E" w:rsidRPr="00F4654E" w:rsidRDefault="00F4654E">
      <w:pPr>
        <w:pStyle w:val="2"/>
      </w:pPr>
      <w:bookmarkStart w:id="991" w:name="_Toc10115317"/>
      <w:bookmarkStart w:id="992" w:name="_Toc10731132"/>
      <w:bookmarkStart w:id="993" w:name="_Toc10731793"/>
      <w:bookmarkStart w:id="994" w:name="_Toc10891632"/>
      <w:bookmarkStart w:id="995" w:name="_Toc10892307"/>
      <w:bookmarkStart w:id="996" w:name="_Toc11390170"/>
      <w:bookmarkStart w:id="997" w:name="_Toc11937385"/>
      <w:r w:rsidRPr="00F4654E">
        <w:t>Будаев Р.Д.</w:t>
      </w:r>
      <w:bookmarkEnd w:id="991"/>
      <w:bookmarkEnd w:id="992"/>
      <w:bookmarkEnd w:id="993"/>
      <w:bookmarkEnd w:id="994"/>
      <w:bookmarkEnd w:id="995"/>
      <w:bookmarkEnd w:id="996"/>
      <w:bookmarkEnd w:id="997"/>
    </w:p>
    <w:p w:rsidR="00F4654E" w:rsidRPr="00F4654E" w:rsidRDefault="00F4654E">
      <w:pPr>
        <w:pStyle w:val="a5"/>
      </w:pPr>
      <w:r w:rsidRPr="00F4654E">
        <w:t>Бурятская государственная сельскохозяйственная академия им. В.Р. Филиппова</w:t>
      </w:r>
    </w:p>
    <w:p w:rsidR="00F4654E" w:rsidRPr="00F4654E" w:rsidRDefault="00F4654E">
      <w:pPr>
        <w:pStyle w:val="a6"/>
      </w:pPr>
      <w:r w:rsidRPr="00F4654E">
        <w:t>Хронические опыты позволяют наиболее обширно и объективно и</w:t>
      </w:r>
      <w:r w:rsidRPr="00F4654E">
        <w:t>с</w:t>
      </w:r>
      <w:r w:rsidRPr="00F4654E">
        <w:t>следовать организм. При этом одной из труднейших задач является пров</w:t>
      </w:r>
      <w:r w:rsidRPr="00F4654E">
        <w:t>е</w:t>
      </w:r>
      <w:r w:rsidRPr="00F4654E">
        <w:t>дение исследований без нарушения жизнедеятельности, как органа, так и организма в целом. Преимущество электрода вживленного в орган, закл</w:t>
      </w:r>
      <w:r w:rsidRPr="00F4654E">
        <w:t>ю</w:t>
      </w:r>
      <w:r w:rsidRPr="00F4654E">
        <w:t>чается именно в ненарушении гомеостаза. Для проведения операции тр</w:t>
      </w:r>
      <w:r w:rsidRPr="00F4654E">
        <w:t>е</w:t>
      </w:r>
      <w:r w:rsidRPr="00F4654E">
        <w:t>буется строжайшее соблюдение асептики и антисептики, отличная топ</w:t>
      </w:r>
      <w:r w:rsidRPr="00F4654E">
        <w:t>о</w:t>
      </w:r>
      <w:r w:rsidRPr="00F4654E">
        <w:t>графо-анатомическая ориентировка и безупречная анестезия.</w:t>
      </w:r>
    </w:p>
    <w:p w:rsidR="00F4654E" w:rsidRPr="00F4654E" w:rsidRDefault="00F4654E">
      <w:pPr>
        <w:pStyle w:val="a6"/>
      </w:pPr>
      <w:r w:rsidRPr="00F4654E">
        <w:t>Топографо-анатомические данные: мышечный желудок локализуется в брюшной части грудобрюшной полости, большей частью покрыт груд</w:t>
      </w:r>
      <w:r w:rsidRPr="00F4654E">
        <w:t>и</w:t>
      </w:r>
      <w:r w:rsidRPr="00F4654E">
        <w:t>ной и несколько сдвинут влево. Железистый желудок располагается выше мышечного и примыкает к нему сверху слева. Двенадцатиперстная кишка выходит из мышечного желудка справа вниз. Тощая кишка идет следом за двенадцатиперстной. Подвздошную легко определить, обнаружив слепые кишки, именно перед ним лежит искомый орган.</w:t>
      </w:r>
    </w:p>
    <w:p w:rsidR="00F4654E" w:rsidRPr="00F4654E" w:rsidRDefault="00F4654E">
      <w:pPr>
        <w:pStyle w:val="a6"/>
      </w:pPr>
      <w:r w:rsidRPr="00F4654E">
        <w:t>Предоперационная подготовка: 12-часовая голодная диета.</w:t>
      </w:r>
    </w:p>
    <w:p w:rsidR="00F4654E" w:rsidRPr="00F4654E" w:rsidRDefault="00F4654E">
      <w:pPr>
        <w:pStyle w:val="a6"/>
      </w:pPr>
      <w:r w:rsidRPr="00F4654E">
        <w:t>Фиксация: в спинном положении.</w:t>
      </w:r>
    </w:p>
    <w:p w:rsidR="00F4654E" w:rsidRPr="00F4654E" w:rsidRDefault="00F4654E">
      <w:pPr>
        <w:pStyle w:val="a6"/>
      </w:pPr>
      <w:r w:rsidRPr="00F4654E">
        <w:t>Подготовка операционного поля: выщипывали перья, кожу мыли те</w:t>
      </w:r>
      <w:r w:rsidRPr="00F4654E">
        <w:t>п</w:t>
      </w:r>
      <w:r w:rsidRPr="00F4654E">
        <w:t>лой водой с мылом, тщательно высушивали, двукратно обрабатывали 5% настойкой йода.</w:t>
      </w:r>
    </w:p>
    <w:p w:rsidR="00F4654E" w:rsidRDefault="00F4654E">
      <w:pPr>
        <w:pStyle w:val="a6"/>
      </w:pPr>
      <w:r w:rsidRPr="00F4654E">
        <w:t>Премедикация: проводилась 0,1% раствором атропина сульфата в дозе 0,001 г/кг веса внутривенно, 2% раствором ксилозина в дозе 0,9 мг/кг</w:t>
      </w:r>
      <w:r>
        <w:t xml:space="preserve"> внутривенно. Для вводного и базового наркоза использовали 5% раствор калипсола в дозе 3 мг/кг внутривенно, 2% раствор ксилозина в дозе 0,9 мг/кг внутривенно. </w:t>
      </w:r>
    </w:p>
    <w:p w:rsidR="00F4654E" w:rsidRDefault="00F4654E">
      <w:pPr>
        <w:pStyle w:val="a6"/>
      </w:pPr>
      <w:r>
        <w:t>Оперативный доступ: тораколапаротомия проводилась по саггитал</w:t>
      </w:r>
      <w:r>
        <w:t>ь</w:t>
      </w:r>
      <w:r>
        <w:t>ной линии разрезом 4 см, отступая от киля на 2 см. Послойно рассекали кожу, подкожную клетчатку, брюшину, воздухоносные мешки отпрепар</w:t>
      </w:r>
      <w:r>
        <w:t>о</w:t>
      </w:r>
      <w:r>
        <w:t>вывали тупым способом.</w:t>
      </w:r>
    </w:p>
    <w:p w:rsidR="00F4654E" w:rsidRDefault="00F4654E">
      <w:pPr>
        <w:pStyle w:val="a6"/>
      </w:pPr>
      <w:r>
        <w:t>Техника операции: подтянув мышечный желудок к операционной р</w:t>
      </w:r>
      <w:r>
        <w:t>а</w:t>
      </w:r>
      <w:r>
        <w:t>не, под контролем зрения, скальпелем делали тоннель в мышечной об</w:t>
      </w:r>
      <w:r>
        <w:t>о</w:t>
      </w:r>
      <w:r>
        <w:t>лочке соответствующий величине электрода. Электрод фиксировали в тоннеле одним стежком узловатого шва. Желудок возвращали в естестве</w:t>
      </w:r>
      <w:r>
        <w:t>н</w:t>
      </w:r>
      <w:r>
        <w:t>ное положение. Свободный конец провода черед проделанное отверстие в стороне от тораколапаратомной раны выводили наружу. Аналогично вживляли в вышеуказанные органы. Брюшную стенку зашивали прерыв</w:t>
      </w:r>
      <w:r>
        <w:t>и</w:t>
      </w:r>
      <w:r>
        <w:t xml:space="preserve">стыми узловатыми швами кетгутом № 2. Кожу зашивали прерывистыми </w:t>
      </w:r>
      <w:r>
        <w:lastRenderedPageBreak/>
        <w:t>узловатыми швами шелком № 1. Регистрацию электропотенциалов можно начинать спустя трое суток после операции.</w:t>
      </w:r>
    </w:p>
    <w:p w:rsidR="00F4654E" w:rsidRDefault="00F4654E">
      <w:pPr>
        <w:pStyle w:val="a6"/>
      </w:pPr>
      <w:r>
        <w:t>Возможные осложнения: торакоперитонит, выклевывание электродов.</w:t>
      </w:r>
    </w:p>
    <w:p w:rsidR="00F4654E" w:rsidRDefault="00F4654E">
      <w:pPr>
        <w:pStyle w:val="a6"/>
      </w:pPr>
      <w:r>
        <w:t>Торакоперитонит можно избежать лишь при безупречной асептике и антисептике. Выклевывание электродов профилактируют следующим о</w:t>
      </w:r>
      <w:r>
        <w:t>б</w:t>
      </w:r>
      <w:r>
        <w:t>разом: необходимо подбирать многожильные провода самого наименьшего сечения, таким образом, достигается минимальное раздражение, кроме этого, мы рекомендуем выводить их в разных местах не сплетая в пучки.</w:t>
      </w:r>
    </w:p>
    <w:p w:rsidR="00F4654E" w:rsidRDefault="00F4654E">
      <w:pPr>
        <w:pStyle w:val="a4"/>
      </w:pPr>
      <w:r>
        <w:t>УДК 619:636.5:612</w:t>
      </w:r>
    </w:p>
    <w:p w:rsidR="00F4654E" w:rsidRDefault="00F4654E">
      <w:pPr>
        <w:pStyle w:val="1"/>
      </w:pPr>
      <w:bookmarkStart w:id="998" w:name="_Toc10115318"/>
      <w:bookmarkStart w:id="999" w:name="_Toc10731133"/>
      <w:bookmarkStart w:id="1000" w:name="_Toc10731794"/>
      <w:bookmarkStart w:id="1001" w:name="_Toc10891633"/>
      <w:bookmarkStart w:id="1002" w:name="_Toc10892308"/>
      <w:bookmarkStart w:id="1003" w:name="_Toc11390171"/>
      <w:bookmarkStart w:id="1004" w:name="_Toc11839850"/>
      <w:bookmarkStart w:id="1005" w:name="_Toc11937386"/>
      <w:r>
        <w:t>МЕТОДИКА ВЖИВЛЕНИЯ ЭЛЕКТРОДОВ В МЫШЕЧНЫЙ, ЖЕЛЕЗИСТЫЙ ЖЕЛУДОК, ДВЕНАДЦАТИПЕРСТНУЮ,ТОЩУЮ, ПОДЗДОШНУЮ И СЛЕПЫЕ КИШКИ У КУР</w:t>
      </w:r>
      <w:bookmarkEnd w:id="998"/>
      <w:bookmarkEnd w:id="999"/>
      <w:bookmarkEnd w:id="1000"/>
      <w:bookmarkEnd w:id="1001"/>
      <w:bookmarkEnd w:id="1002"/>
      <w:bookmarkEnd w:id="1003"/>
      <w:bookmarkEnd w:id="1004"/>
      <w:bookmarkEnd w:id="1005"/>
    </w:p>
    <w:p w:rsidR="00F4654E" w:rsidRDefault="00F4654E">
      <w:pPr>
        <w:pStyle w:val="2"/>
      </w:pPr>
      <w:bookmarkStart w:id="1006" w:name="_Toc10115319"/>
      <w:bookmarkStart w:id="1007" w:name="_Toc10731134"/>
      <w:bookmarkStart w:id="1008" w:name="_Toc10731795"/>
      <w:bookmarkStart w:id="1009" w:name="_Toc10891634"/>
      <w:bookmarkStart w:id="1010" w:name="_Toc10892309"/>
      <w:bookmarkStart w:id="1011" w:name="_Toc11390172"/>
      <w:bookmarkStart w:id="1012" w:name="_Toc11937387"/>
      <w:r>
        <w:t>Будаев Р.Д., Холхоева О.В.</w:t>
      </w:r>
      <w:bookmarkEnd w:id="1006"/>
      <w:bookmarkEnd w:id="1007"/>
      <w:bookmarkEnd w:id="1008"/>
      <w:bookmarkEnd w:id="1009"/>
      <w:bookmarkEnd w:id="1010"/>
      <w:bookmarkEnd w:id="1011"/>
      <w:bookmarkEnd w:id="1012"/>
    </w:p>
    <w:p w:rsidR="00F4654E" w:rsidRDefault="00F4654E">
      <w:pPr>
        <w:pStyle w:val="a5"/>
      </w:pPr>
      <w:r>
        <w:t>Бурятская государственная сельскохозяйственная академия им. В.Р. Филиппова</w:t>
      </w:r>
    </w:p>
    <w:p w:rsidR="00F4654E" w:rsidRDefault="00F4654E">
      <w:pPr>
        <w:pStyle w:val="a6"/>
      </w:pPr>
      <w:r>
        <w:t>Электрофизиологическая методика позволила глобально расширить арсенал биологических исследований. Особенностью парадигмы является возможность постичь глубинные тайны еще не познанного живого орг</w:t>
      </w:r>
      <w:r>
        <w:t>а</w:t>
      </w:r>
      <w:r>
        <w:t>низма. При этом наряду с необозримыми горизонтами притягивающих к себе пытливых исследователей, вырисовываются и трудности с одной из которых столкнулись авторы настоящей публикации. Электрод вживле</w:t>
      </w:r>
      <w:r>
        <w:t>н</w:t>
      </w:r>
      <w:r>
        <w:t>ный в мышечную оболочку органа, практически не искажает электрич</w:t>
      </w:r>
      <w:r>
        <w:t>е</w:t>
      </w:r>
      <w:r>
        <w:t>ские потенциалы. А это является непременным условием, подтвержда</w:t>
      </w:r>
      <w:r>
        <w:t>ю</w:t>
      </w:r>
      <w:r>
        <w:t>щим достоверность опыта.</w:t>
      </w:r>
    </w:p>
    <w:p w:rsidR="00F4654E" w:rsidRDefault="00F4654E">
      <w:pPr>
        <w:pStyle w:val="a6"/>
      </w:pPr>
      <w:r>
        <w:t>Для проведения операции требуется: строгое соблюдение асептики и антисептики, прекрасная топографоанатомическая ориентировка, адеква</w:t>
      </w:r>
      <w:r>
        <w:t>т</w:t>
      </w:r>
      <w:r>
        <w:t>ная анестезия.</w:t>
      </w:r>
    </w:p>
    <w:p w:rsidR="00F4654E" w:rsidRDefault="00F4654E">
      <w:pPr>
        <w:pStyle w:val="a6"/>
      </w:pPr>
      <w:r>
        <w:t>Мышечный желудок располагается в брюшной части грудобрюшной полости, будучи довольно далеко смещен в головном и спинном направл</w:t>
      </w:r>
      <w:r>
        <w:t>е</w:t>
      </w:r>
      <w:r>
        <w:t>ниях и в большей своей части покрыт грудиной, края желудка располож</w:t>
      </w:r>
      <w:r>
        <w:t>е</w:t>
      </w:r>
      <w:r>
        <w:t>ны несколько вбок, влево, параллельно саггитальной плоскости по длине тела с небольшим наклоном переднего края. Железистый желудок имеет вид толстостенной трубки, примыкает к мышечному дорзосинистрально. Двенадцатиперстная кишка направляется от мышечного желудка вентр</w:t>
      </w:r>
      <w:r>
        <w:t>о</w:t>
      </w:r>
      <w:r>
        <w:t>декстрально, ее легко можно обнаружить по поджелудочной железе. Далее идет тощая кишка. Локализацию подвздошной и слепых кишок определ</w:t>
      </w:r>
      <w:r>
        <w:t>я</w:t>
      </w:r>
      <w:r>
        <w:t>ем следующим образом: ориентиром служит слепые кишки, согласно св</w:t>
      </w:r>
      <w:r>
        <w:t>о</w:t>
      </w:r>
      <w:r>
        <w:t>ему названию они имеют мешкообразный вид, и как раз, перед ними нах</w:t>
      </w:r>
      <w:r>
        <w:t>о</w:t>
      </w:r>
      <w:r>
        <w:t>дится подвздошная, и за ними, соответственно, прямая кишка.</w:t>
      </w:r>
    </w:p>
    <w:p w:rsidR="00F4654E" w:rsidRDefault="00F4654E">
      <w:pPr>
        <w:pStyle w:val="a6"/>
      </w:pPr>
      <w:r>
        <w:t>Предоперационная подготовка: 12- часовая голодная диета.</w:t>
      </w:r>
    </w:p>
    <w:p w:rsidR="00F4654E" w:rsidRDefault="00F4654E">
      <w:pPr>
        <w:pStyle w:val="a6"/>
      </w:pPr>
      <w:r>
        <w:t>Фиксация: в спинном положении.</w:t>
      </w:r>
    </w:p>
    <w:p w:rsidR="00F4654E" w:rsidRDefault="00F4654E">
      <w:pPr>
        <w:pStyle w:val="a6"/>
      </w:pPr>
      <w:r>
        <w:lastRenderedPageBreak/>
        <w:t>Подготовка операционного поля: выщипывали перья, кожу мыли те</w:t>
      </w:r>
      <w:r>
        <w:t>п</w:t>
      </w:r>
      <w:r>
        <w:t>лой водой с мылом, тщательно высушивали, двукратно обрабатывали 5% настойкой йода.</w:t>
      </w:r>
    </w:p>
    <w:p w:rsidR="00F4654E" w:rsidRDefault="00F4654E">
      <w:pPr>
        <w:pStyle w:val="a6"/>
      </w:pPr>
      <w:r>
        <w:t xml:space="preserve">Премедикация: проводилась 0,1% раствором атропина сульфата в дозе 0,001 г/кг веса внутривенно, 2% раствором ксилозина в дозе 0,9 мг/кг внутривенно. Для вводного и базового наркоза использовали 5% раствор калипсола в дозе 3 мг/кг внутривенно, 2% раствор ксилозина в дозе 0,9 мг/кг внутривенно. </w:t>
      </w:r>
    </w:p>
    <w:p w:rsidR="00F4654E" w:rsidRDefault="00F4654E">
      <w:pPr>
        <w:pStyle w:val="a6"/>
      </w:pPr>
      <w:r>
        <w:t>Оперативный доступ: проводили два линейных разреза длиной 4 см отступая на 1 см от последнего ребра. Разрез слева обеспечивает подход и железистому и мышечному желудку, справа к отделам кишечника. П</w:t>
      </w:r>
      <w:r>
        <w:t>о</w:t>
      </w:r>
      <w:r>
        <w:t>слойно рассекали кожу, подкожную клетчатку, брюшину, воздухоносные мешки отпрепаровывали тупым способом.</w:t>
      </w:r>
    </w:p>
    <w:p w:rsidR="00F4654E" w:rsidRDefault="00F4654E">
      <w:pPr>
        <w:pStyle w:val="a6"/>
      </w:pPr>
      <w:r>
        <w:t>Техника операции: подтянув мышечный желудок к операционной р</w:t>
      </w:r>
      <w:r>
        <w:t>а</w:t>
      </w:r>
      <w:r>
        <w:t>не, под контролем зрения, скальпелем делали тоннель в мышечной об</w:t>
      </w:r>
      <w:r>
        <w:t>о</w:t>
      </w:r>
      <w:r>
        <w:t>лочке соответствующий величине электрода. Электрод фиксировали в тоннеле одним стежком узловатого шва. Желудок возвращали в естестве</w:t>
      </w:r>
      <w:r>
        <w:t>н</w:t>
      </w:r>
      <w:r>
        <w:t>ное положение. Свободный конец провода черед проделанное отверстие в стороне от тораколапаратомной раны выводили наружу. Аналогично вживляли в вышеуказанные органы. Брюшную стенку зашивали прерыв</w:t>
      </w:r>
      <w:r>
        <w:t>и</w:t>
      </w:r>
      <w:r>
        <w:t>стыми узловатыми швами кетгутом № 2. Кожу зашивали прерывистыми узловатыми швами шелком № 1. Регистрацию электропотенциалов можно начинать спустя трое суток после операции.</w:t>
      </w:r>
    </w:p>
    <w:p w:rsidR="00F4654E" w:rsidRDefault="00F4654E">
      <w:pPr>
        <w:pStyle w:val="a6"/>
      </w:pPr>
      <w:r>
        <w:t>Возможные осложнения: торакоперитонит, выклевывание электродов.</w:t>
      </w:r>
    </w:p>
    <w:p w:rsidR="00F4654E" w:rsidRDefault="00F4654E">
      <w:pPr>
        <w:pStyle w:val="a6"/>
      </w:pPr>
      <w:r>
        <w:t>Торакоперитонит можно избежать лишь при безупречной асептике и антисептике. Выклевывание электродов профилактируют следующим о</w:t>
      </w:r>
      <w:r>
        <w:t>б</w:t>
      </w:r>
      <w:r>
        <w:t>разом: необходимо подбирать многожильные провода самого наименьшего сечения, таким образом, достигается минимальное раздражение, кроме этого, мы рекомендуем выводить их в разных местах не сплетая в пучки.</w:t>
      </w:r>
    </w:p>
    <w:p w:rsidR="00F4654E" w:rsidRDefault="00F4654E">
      <w:pPr>
        <w:pStyle w:val="a4"/>
      </w:pPr>
      <w:r>
        <w:t>УДК 619:615.2:636.4</w:t>
      </w:r>
    </w:p>
    <w:p w:rsidR="00F4654E" w:rsidRDefault="00F4654E">
      <w:pPr>
        <w:pStyle w:val="1"/>
      </w:pPr>
      <w:bookmarkStart w:id="1013" w:name="_Toc10115320"/>
      <w:bookmarkStart w:id="1014" w:name="_Toc10731135"/>
      <w:bookmarkStart w:id="1015" w:name="_Toc10731796"/>
      <w:bookmarkStart w:id="1016" w:name="_Toc10891635"/>
      <w:bookmarkStart w:id="1017" w:name="_Toc10892310"/>
      <w:bookmarkStart w:id="1018" w:name="_Toc11390173"/>
      <w:bookmarkStart w:id="1019" w:name="_Toc11839852"/>
      <w:bookmarkStart w:id="1020" w:name="_Toc11937388"/>
      <w:r>
        <w:t xml:space="preserve">Результаты практического применения адаптогенА </w:t>
      </w:r>
      <w:r>
        <w:br/>
        <w:t>стресс-корректора  лигфола на  группе  поросят пиг-балия</w:t>
      </w:r>
      <w:bookmarkEnd w:id="1013"/>
      <w:bookmarkEnd w:id="1014"/>
      <w:bookmarkEnd w:id="1015"/>
      <w:bookmarkEnd w:id="1016"/>
      <w:bookmarkEnd w:id="1017"/>
      <w:bookmarkEnd w:id="1018"/>
      <w:bookmarkEnd w:id="1019"/>
      <w:bookmarkEnd w:id="1020"/>
    </w:p>
    <w:p w:rsidR="00F4654E" w:rsidRDefault="00F4654E">
      <w:pPr>
        <w:pStyle w:val="2"/>
      </w:pPr>
      <w:bookmarkStart w:id="1021" w:name="_Toc10115321"/>
      <w:bookmarkStart w:id="1022" w:name="_Toc10731136"/>
      <w:bookmarkStart w:id="1023" w:name="_Toc10731797"/>
      <w:bookmarkStart w:id="1024" w:name="_Toc10891636"/>
      <w:bookmarkStart w:id="1025" w:name="_Toc10892311"/>
      <w:bookmarkStart w:id="1026" w:name="_Toc11390174"/>
      <w:bookmarkStart w:id="1027" w:name="_Toc11937389"/>
      <w:r>
        <w:t>Бузлама С.В.</w:t>
      </w:r>
      <w:bookmarkEnd w:id="1021"/>
      <w:bookmarkEnd w:id="1022"/>
      <w:bookmarkEnd w:id="1023"/>
      <w:bookmarkEnd w:id="1024"/>
      <w:bookmarkEnd w:id="1025"/>
      <w:bookmarkEnd w:id="1026"/>
      <w:bookmarkEnd w:id="1027"/>
    </w:p>
    <w:p w:rsidR="00F4654E" w:rsidRDefault="00F4654E">
      <w:pPr>
        <w:pStyle w:val="a5"/>
      </w:pPr>
      <w:r>
        <w:t>Всероссийский НИВИ патологии, фармакологии и терапии</w:t>
      </w:r>
    </w:p>
    <w:p w:rsidR="00F4654E" w:rsidRDefault="00F4654E">
      <w:pPr>
        <w:pStyle w:val="a6"/>
      </w:pPr>
      <w:r>
        <w:t>Современное отечественное свиноводство имеет массу проблем зо</w:t>
      </w:r>
      <w:r>
        <w:t>о</w:t>
      </w:r>
      <w:r>
        <w:t>технического, селекционного, ветеринарного, технологического характера. Спектр их весьма широк и неоднозначен по своей остроте. Одной из таких проблем, являются поросята в возрасте 33 – 35 дней, прожившие подсо</w:t>
      </w:r>
      <w:r>
        <w:t>с</w:t>
      </w:r>
      <w:r>
        <w:t>ный период, но по различным причинам отставшие в росте и развитии. Из них формируется, так называемая группа пиг-балия. Не редко она соста</w:t>
      </w:r>
      <w:r>
        <w:t>в</w:t>
      </w:r>
      <w:r>
        <w:t>ляет 13% и более от общего поголовья переводимого на доращивание.</w:t>
      </w:r>
    </w:p>
    <w:p w:rsidR="00F4654E" w:rsidRDefault="00F4654E">
      <w:pPr>
        <w:pStyle w:val="a6"/>
      </w:pPr>
      <w:r>
        <w:lastRenderedPageBreak/>
        <w:t>Работая в 108 тысячном свинокомплексе, мы вплотную столкнулись с проблемой пиг-балия. Заключается она в следующем: большое количество поросят попадает туда – это первое. Второе - они являются отставшими в физиологическом развитии, а соответственно имеют слабо развитую си</w:t>
      </w:r>
      <w:r>
        <w:t>с</w:t>
      </w:r>
      <w:r>
        <w:t>тему адаптации и низкий иммунный статус организма в целом. Из этого следует, что в группе пиг-балия повышен риск возникновения заболеваний и высокого падежа животных. Так, при комплектовании групп на доращ</w:t>
      </w:r>
      <w:r>
        <w:t>и</w:t>
      </w:r>
      <w:r>
        <w:t>вании, из пиг-балия, поступает 50% - 60% животных, от поставленных т</w:t>
      </w:r>
      <w:r>
        <w:t>у</w:t>
      </w:r>
      <w:r>
        <w:t>да изначально. А это – огромные убытки.</w:t>
      </w:r>
    </w:p>
    <w:p w:rsidR="00F4654E" w:rsidRDefault="00F4654E">
      <w:pPr>
        <w:pStyle w:val="a6"/>
      </w:pPr>
      <w:r>
        <w:t>Провели на группе пиг-балия производственный опыт. Животных разделили на две группы. В опытной группе находилось 163 головы,  в контрольной – 176.  Животным опытной  группы применили в день пер</w:t>
      </w:r>
      <w:r>
        <w:t>е</w:t>
      </w:r>
      <w:r>
        <w:t>вода на пиг-балий однократно внутримышечно лигфол в дозе 0,5 мл на п</w:t>
      </w:r>
      <w:r>
        <w:t>о</w:t>
      </w:r>
      <w:r>
        <w:t>росенка. Наблюдения за животными вели в течение 35 дней. Учитывали динамику падежа, санбрак, перевод на участок доращивания за наблюда</w:t>
      </w:r>
      <w:r>
        <w:t>е</w:t>
      </w:r>
      <w:r>
        <w:t>мый период. Препарат у 35-ти дневных поросят вызывал кратковременное беспокойство и уплотнение тканей на месте инъекции. Эти эффекты исч</w:t>
      </w:r>
      <w:r>
        <w:t>е</w:t>
      </w:r>
      <w:r>
        <w:t>зали без отрицательных последствий. В ходе наблюдений за опытом в</w:t>
      </w:r>
      <w:r>
        <w:t>ы</w:t>
      </w:r>
      <w:r>
        <w:t>явилось, что в контрольной группе падеж начался с первого дня по сед</w:t>
      </w:r>
      <w:r>
        <w:t>ь</w:t>
      </w:r>
      <w:r>
        <w:t>мой включительно, затем прекратился и возобновился на 22 день. В опы</w:t>
      </w:r>
      <w:r>
        <w:t>т</w:t>
      </w:r>
      <w:r>
        <w:t>ной группе, картина иная, падеж начался с десятого дня и стал нарастать. К концу наблюдений почти в 2 раза превысил контроль. В то же время в опытной группе более трети поросят имели здоровый аппетит, росли лу</w:t>
      </w:r>
      <w:r>
        <w:t>ч</w:t>
      </w:r>
      <w:r>
        <w:t>ше и к концу наблюдений 54 головы были переведены на доращивание. Из ко</w:t>
      </w:r>
      <w:r>
        <w:t>н</w:t>
      </w:r>
      <w:r>
        <w:t>трольной группы ни одно животное не соответствовало требованиям, обеспечивающим перевод на доращивание, их продолжали содержать на пиг-балии.</w:t>
      </w:r>
    </w:p>
    <w:p w:rsidR="00F4654E" w:rsidRDefault="00F4654E">
      <w:pPr>
        <w:pStyle w:val="a6"/>
      </w:pPr>
      <w:r>
        <w:t>Из проведенного опыта можно сделать вывод: препарат был эффект</w:t>
      </w:r>
      <w:r>
        <w:t>и</w:t>
      </w:r>
      <w:r>
        <w:t>вен первые 10 дней сохраняя поголовье опытной группы, затем по мере снижения концентрации в организме, самые слабые животные стали отх</w:t>
      </w:r>
      <w:r>
        <w:t>о</w:t>
      </w:r>
      <w:r>
        <w:t>дить, а у более крепких – возрос аппетит и в дальнейшем улучшилась д</w:t>
      </w:r>
      <w:r>
        <w:t>и</w:t>
      </w:r>
      <w:r>
        <w:t>намика роста. Это подтверждается переводом животных из опытной гру</w:t>
      </w:r>
      <w:r>
        <w:t>п</w:t>
      </w:r>
      <w:r>
        <w:t>пы в сектор на доращивание. Из контрольной группы ни одно животное не соответствовало требованиям, обеспечивающим перевод на доращивание.</w:t>
      </w:r>
    </w:p>
    <w:p w:rsidR="00F4654E" w:rsidRDefault="00F4654E">
      <w:pPr>
        <w:pStyle w:val="a4"/>
      </w:pPr>
      <w:r>
        <w:t xml:space="preserve">УДК 619: 615.91: 616-099-02 </w:t>
      </w:r>
    </w:p>
    <w:p w:rsidR="00F4654E" w:rsidRDefault="00F4654E">
      <w:pPr>
        <w:pStyle w:val="1"/>
      </w:pPr>
      <w:bookmarkStart w:id="1028" w:name="_Toc10115322"/>
      <w:bookmarkStart w:id="1029" w:name="_Toc10731137"/>
      <w:bookmarkStart w:id="1030" w:name="_Toc10731798"/>
      <w:bookmarkStart w:id="1031" w:name="_Toc10891637"/>
      <w:bookmarkStart w:id="1032" w:name="_Toc10892312"/>
      <w:bookmarkStart w:id="1033" w:name="_Toc11390175"/>
      <w:bookmarkStart w:id="1034" w:name="_Toc11839854"/>
      <w:bookmarkStart w:id="1035" w:name="_Toc11937390"/>
      <w:r>
        <w:t>Сравнение токсического действия лигфола  при разных способах введения</w:t>
      </w:r>
      <w:bookmarkEnd w:id="1028"/>
      <w:bookmarkEnd w:id="1029"/>
      <w:bookmarkEnd w:id="1030"/>
      <w:bookmarkEnd w:id="1031"/>
      <w:bookmarkEnd w:id="1032"/>
      <w:bookmarkEnd w:id="1033"/>
      <w:bookmarkEnd w:id="1034"/>
      <w:bookmarkEnd w:id="1035"/>
    </w:p>
    <w:p w:rsidR="00F4654E" w:rsidRDefault="00F4654E">
      <w:pPr>
        <w:pStyle w:val="2"/>
      </w:pPr>
      <w:bookmarkStart w:id="1036" w:name="_Toc10115323"/>
      <w:bookmarkStart w:id="1037" w:name="_Toc10731138"/>
      <w:bookmarkStart w:id="1038" w:name="_Toc10731799"/>
      <w:bookmarkStart w:id="1039" w:name="_Toc10891638"/>
      <w:bookmarkStart w:id="1040" w:name="_Toc10892313"/>
      <w:bookmarkStart w:id="1041" w:name="_Toc11390176"/>
      <w:bookmarkStart w:id="1042" w:name="_Toc11937391"/>
      <w:r>
        <w:t>Бузлама С.В., Ермакова Т.И.</w:t>
      </w:r>
      <w:bookmarkEnd w:id="1036"/>
      <w:bookmarkEnd w:id="1037"/>
      <w:bookmarkEnd w:id="1038"/>
      <w:bookmarkEnd w:id="1039"/>
      <w:bookmarkEnd w:id="1040"/>
      <w:bookmarkEnd w:id="1041"/>
      <w:bookmarkEnd w:id="1042"/>
    </w:p>
    <w:p w:rsidR="00F4654E" w:rsidRDefault="00F4654E">
      <w:pPr>
        <w:pStyle w:val="a5"/>
      </w:pPr>
      <w:r>
        <w:t>Всероссийский НИВИ патологии, фармакологии и терапии</w:t>
      </w:r>
    </w:p>
    <w:p w:rsidR="00F4654E" w:rsidRDefault="00F4654E">
      <w:pPr>
        <w:pStyle w:val="a6"/>
      </w:pPr>
      <w:r>
        <w:t xml:space="preserve">Опыты по токсическому действию лигфола проведены на кроликах- самцах,  массой тела от 1320 г до 3330 г. Препарат вводили внутривенно: </w:t>
      </w:r>
      <w:r>
        <w:lastRenderedPageBreak/>
        <w:t>струйно и капельно; оценивали  раздражающее действие на конъюнктиву  глаза и кожу.</w:t>
      </w:r>
    </w:p>
    <w:p w:rsidR="00F4654E" w:rsidRDefault="00F4654E">
      <w:pPr>
        <w:pStyle w:val="a6"/>
      </w:pPr>
      <w:r>
        <w:t>Первой задачей, как при струйном, так и при капельном способе вв</w:t>
      </w:r>
      <w:r>
        <w:t>е</w:t>
      </w:r>
      <w:r>
        <w:t>дения было определение  ЛД</w:t>
      </w:r>
      <w:r>
        <w:rPr>
          <w:vertAlign w:val="subscript"/>
        </w:rPr>
        <w:t>100</w:t>
      </w:r>
      <w:r>
        <w:t>. Она составила соответственно 8,0 и 12,0 мл 100 % раствора лигфола. Смерть у животных наступала мгновенно («на игле») при достижении указанных доз, сопровождаясь сильными конвул</w:t>
      </w:r>
      <w:r>
        <w:t>ь</w:t>
      </w:r>
      <w:r>
        <w:t>сиями и остановкой дыхания.</w:t>
      </w:r>
    </w:p>
    <w:p w:rsidR="00F4654E" w:rsidRDefault="00F4654E">
      <w:pPr>
        <w:pStyle w:val="a6"/>
      </w:pPr>
      <w:r>
        <w:t>Были вскрыты трупы животных, погибших при введении смертельной дозы препарата и убитые контрольные здоровые кролики. В опытной группе наблюдали сходные патологоанатомические изменения в органи</w:t>
      </w:r>
      <w:r>
        <w:t>з</w:t>
      </w:r>
      <w:r>
        <w:t>ме, а именно: сердце в диастоле, кровенаполненное массой от 12,0 г до 15,0 г, что больше контроля в среднем на 6,0 г. Легкие отечные с множес</w:t>
      </w:r>
      <w:r>
        <w:t>т</w:t>
      </w:r>
      <w:r>
        <w:t>венными кровоизлияниями и пенистым содержимым в трахее, с массой в среднем на 6,0 г. больше, чем в контроле .В остальных органах патолог</w:t>
      </w:r>
      <w:r>
        <w:t>и</w:t>
      </w:r>
      <w:r>
        <w:t>ческих изменений не обнаружено.</w:t>
      </w:r>
    </w:p>
    <w:p w:rsidR="00F4654E" w:rsidRDefault="00F4654E">
      <w:pPr>
        <w:pStyle w:val="a6"/>
      </w:pPr>
      <w:r>
        <w:t xml:space="preserve"> Таким образом  это  дает основание констатировать смерть у живо</w:t>
      </w:r>
      <w:r>
        <w:t>т</w:t>
      </w:r>
      <w:r>
        <w:t>ных от остановки дыхания в результате возможного угнетения дыхател</w:t>
      </w:r>
      <w:r>
        <w:t>ь</w:t>
      </w:r>
      <w:r>
        <w:t>ного центра в головном мозге.</w:t>
      </w:r>
    </w:p>
    <w:p w:rsidR="00F4654E" w:rsidRDefault="00F4654E">
      <w:pPr>
        <w:pStyle w:val="a6"/>
      </w:pPr>
      <w:r>
        <w:t>При введении лигфола струйно, сохраняя объем вводимого раствора неизменным, а именно равным 10,0 мл и изменяя только концентрацию препарата на 50%; 20%; 10%; 1%-й раствор обнаружили,  минимальный смертельный порог возникает при введении в организм 50% - 10,0 мл ра</w:t>
      </w:r>
      <w:r>
        <w:t>с</w:t>
      </w:r>
      <w:r>
        <w:t>твора или 100% - 5,0 мл лигфола. В остальных случаях препарат не оказ</w:t>
      </w:r>
      <w:r>
        <w:t>ы</w:t>
      </w:r>
      <w:r>
        <w:t xml:space="preserve">вал резкого токсического действия. Животные живы, рефлексы сохранены, аппетит присутствует. </w:t>
      </w:r>
    </w:p>
    <w:p w:rsidR="00F4654E" w:rsidRDefault="00F4654E">
      <w:pPr>
        <w:pStyle w:val="a6"/>
      </w:pPr>
      <w:r>
        <w:t>Капельным способом препарат вводили в концентрации 10%; 5%; 2%; и 1% раствор. При введении 10% раствора в объеме 45,0 мл в течении 14 минут у животного наступила «смерть на игле» При той же концентрации и объеме 40,0 мл за 12 минут, смерть наступила через 15 минут после окончания опыта, и при этой же концентрации и объеме – 30,0 мл за 14 минут, смерть наступила спустя 30 минут после введения. Остальные ко</w:t>
      </w:r>
      <w:r>
        <w:t>н</w:t>
      </w:r>
      <w:r>
        <w:t>центрации препарата не оказали резкого токсического воздействия, хотя при введении 5% р-ра у животных наблюдали незначительное угнетение и беспокойство, изменение ритма дыхания, но через 30 минут общее состо</w:t>
      </w:r>
      <w:r>
        <w:t>я</w:t>
      </w:r>
      <w:r>
        <w:t>ние животных было нормальным.</w:t>
      </w:r>
    </w:p>
    <w:p w:rsidR="00F4654E" w:rsidRDefault="00F4654E">
      <w:pPr>
        <w:pStyle w:val="a6"/>
      </w:pPr>
      <w:r>
        <w:t>Можно проследить следующую закономерность: при снижении объ</w:t>
      </w:r>
      <w:r>
        <w:t>е</w:t>
      </w:r>
      <w:r>
        <w:t>ма вводимого препарата на 10,0 мл, но не изменяемой концентрации ув</w:t>
      </w:r>
      <w:r>
        <w:t>е</w:t>
      </w:r>
      <w:r>
        <w:t>личивается период наступления смерти от мгновенной, до 30 минут. И е</w:t>
      </w:r>
      <w:r>
        <w:t>с</w:t>
      </w:r>
      <w:r>
        <w:t>ли дальше понижать вводимый объем, то летального исхода можно вообще не наблюдать.</w:t>
      </w:r>
    </w:p>
    <w:p w:rsidR="00F4654E" w:rsidRDefault="00F4654E">
      <w:pPr>
        <w:pStyle w:val="a6"/>
      </w:pPr>
      <w:r>
        <w:t>Доза  препарата в пересчете на 100% раствор, попавшая в организм кролика при капельном введении и повлекшая за собой безусловную смерть, составила 4,5 мл. Её можно сопоставить с дозой 5,0 мл, при стру</w:t>
      </w:r>
      <w:r>
        <w:t>й</w:t>
      </w:r>
      <w:r>
        <w:lastRenderedPageBreak/>
        <w:t>ном введении и увидеть, что она на 0,5 мл меньше, но время за которое она попадает в организм во много крат больше.</w:t>
      </w:r>
    </w:p>
    <w:p w:rsidR="00F4654E" w:rsidRDefault="00F4654E">
      <w:pPr>
        <w:pStyle w:val="a6"/>
      </w:pPr>
      <w:r>
        <w:t>Наблюдения за опытными животными вели в течении 10 дней, отм</w:t>
      </w:r>
      <w:r>
        <w:t>е</w:t>
      </w:r>
      <w:r>
        <w:t>чали показания дыхания, пульса, температуры, аппетит .Все опытные ж</w:t>
      </w:r>
      <w:r>
        <w:t>и</w:t>
      </w:r>
      <w:r>
        <w:t xml:space="preserve">вотные получившие меньшие дозы лигфола клинически здоровы. </w:t>
      </w:r>
    </w:p>
    <w:p w:rsidR="00F4654E" w:rsidRDefault="00F4654E">
      <w:pPr>
        <w:pStyle w:val="a6"/>
      </w:pPr>
      <w:r>
        <w:t>Раздражающее действие</w:t>
      </w:r>
      <w:r>
        <w:rPr>
          <w:rFonts w:ascii="Arial" w:hAnsi="Arial"/>
        </w:rPr>
        <w:t xml:space="preserve"> </w:t>
      </w:r>
      <w:r>
        <w:t>лигфола оценивали при нанесении на кон</w:t>
      </w:r>
      <w:r>
        <w:t>ъ</w:t>
      </w:r>
      <w:r>
        <w:t>юнктиву глаза. В правые глаза 4 кроликов под конъюнктиву нижнего века закапывали по 2 капли дистиллированной воды, а в левые глаза – 100% раствор лигфола в том же количестве. Закапывание проводили в 9 часов утра по 1 разу в сутки ежедневно в течение 3 дней. Наблюдения за состо</w:t>
      </w:r>
      <w:r>
        <w:t>я</w:t>
      </w:r>
      <w:r>
        <w:t>нием животных и реакцией глаз проводили через: 5, 30, 60 минут, 3, 6, 24 часа после каждого закапывания и каждый раз в 9 часов утра через 1, 2, и 3 суток после последнего закапывания. Учитывали изменения в поведении животных, аппетит, температуру тела. Оценку состояния глаз проводили последующим показателям: покраснение; слезотечение; нагноение; повр</w:t>
      </w:r>
      <w:r>
        <w:t>е</w:t>
      </w:r>
      <w:r>
        <w:t xml:space="preserve">ждение роговицы. </w:t>
      </w:r>
    </w:p>
    <w:p w:rsidR="00F4654E" w:rsidRPr="00F4654E" w:rsidRDefault="00F4654E">
      <w:pPr>
        <w:pStyle w:val="a6"/>
        <w:rPr>
          <w:rFonts w:ascii="Arial" w:hAnsi="Arial"/>
          <w:spacing w:val="-2"/>
        </w:rPr>
      </w:pPr>
      <w:r w:rsidRPr="00F4654E">
        <w:rPr>
          <w:spacing w:val="-2"/>
        </w:rPr>
        <w:t>Для изучения раздражающего действия лигфола при нанесении на к</w:t>
      </w:r>
      <w:r w:rsidRPr="00F4654E">
        <w:rPr>
          <w:spacing w:val="-2"/>
        </w:rPr>
        <w:t>о</w:t>
      </w:r>
      <w:r w:rsidRPr="00F4654E">
        <w:rPr>
          <w:spacing w:val="-2"/>
        </w:rPr>
        <w:t>жу, подобрали две группы животных по 2 особи в каждой. На правый, в</w:t>
      </w:r>
      <w:r w:rsidRPr="00F4654E">
        <w:rPr>
          <w:spacing w:val="-2"/>
        </w:rPr>
        <w:t>ы</w:t>
      </w:r>
      <w:r w:rsidRPr="00F4654E">
        <w:rPr>
          <w:spacing w:val="-2"/>
        </w:rPr>
        <w:t>стриженный и выбритый участи кожи опытных животных наносили лигфол в чистом виде в течение 5 дней по 1 разу в день в 9 часов утра.  Контрол</w:t>
      </w:r>
      <w:r w:rsidRPr="00F4654E">
        <w:rPr>
          <w:spacing w:val="-2"/>
        </w:rPr>
        <w:t>ь</w:t>
      </w:r>
      <w:r w:rsidRPr="00F4654E">
        <w:rPr>
          <w:spacing w:val="-2"/>
        </w:rPr>
        <w:t>ных животных обрабатывали стерильным физиологическим раствором. Ра</w:t>
      </w:r>
      <w:r w:rsidRPr="00F4654E">
        <w:rPr>
          <w:spacing w:val="-2"/>
        </w:rPr>
        <w:t>з</w:t>
      </w:r>
      <w:r w:rsidRPr="00F4654E">
        <w:rPr>
          <w:spacing w:val="-2"/>
        </w:rPr>
        <w:t>дражающее действие лигфола учитывали по следующим показателям: 1- поведение животных, аппетит, температура тела, 2- воспаление к</w:t>
      </w:r>
      <w:r w:rsidRPr="00F4654E">
        <w:rPr>
          <w:spacing w:val="-2"/>
        </w:rPr>
        <w:t>о</w:t>
      </w:r>
      <w:r w:rsidRPr="00F4654E">
        <w:rPr>
          <w:spacing w:val="-2"/>
        </w:rPr>
        <w:t>жи путем измерения толщины кожной складки кутиметром, шелушение, изъязвление, некрозы.  Перечисленные показатели фиксировали через сутки после перв</w:t>
      </w:r>
      <w:r w:rsidRPr="00F4654E">
        <w:rPr>
          <w:spacing w:val="-2"/>
        </w:rPr>
        <w:t>о</w:t>
      </w:r>
      <w:r w:rsidRPr="00F4654E">
        <w:rPr>
          <w:spacing w:val="-2"/>
        </w:rPr>
        <w:t>го нанесения и в последующем 1 раз в сутки в 16 часов дня.</w:t>
      </w:r>
      <w:r w:rsidRPr="00F4654E">
        <w:rPr>
          <w:rFonts w:ascii="Arial" w:hAnsi="Arial"/>
          <w:spacing w:val="-2"/>
        </w:rPr>
        <w:t xml:space="preserve"> </w:t>
      </w:r>
    </w:p>
    <w:p w:rsidR="00F4654E" w:rsidRDefault="00F4654E">
      <w:pPr>
        <w:pStyle w:val="a6"/>
      </w:pPr>
      <w:r>
        <w:rPr>
          <w:rFonts w:ascii="Arial" w:hAnsi="Arial"/>
        </w:rPr>
        <w:t xml:space="preserve"> </w:t>
      </w:r>
      <w:r>
        <w:t>Опыты по определению раздражающего действия показали, что ли</w:t>
      </w:r>
      <w:r>
        <w:t>г</w:t>
      </w:r>
      <w:r>
        <w:t>фол не обладает  раздражающим действием на слизистую оболочку глаза и кожу. Все вызываемые изменения в конъюнктиве глаза обратимы, и пр</w:t>
      </w:r>
      <w:r>
        <w:t>о</w:t>
      </w:r>
      <w:r>
        <w:t>ходят полностью в течении 30 минут.</w:t>
      </w:r>
    </w:p>
    <w:p w:rsidR="00F4654E" w:rsidRDefault="00F4654E">
      <w:pPr>
        <w:pStyle w:val="a4"/>
      </w:pPr>
      <w:r>
        <w:t>УДК 619:618.2:636.4</w:t>
      </w:r>
    </w:p>
    <w:p w:rsidR="00F4654E" w:rsidRDefault="00F4654E">
      <w:pPr>
        <w:pStyle w:val="1"/>
      </w:pPr>
      <w:bookmarkStart w:id="1043" w:name="_Toc10115324"/>
      <w:bookmarkStart w:id="1044" w:name="_Toc10731139"/>
      <w:bookmarkStart w:id="1045" w:name="_Toc10731800"/>
      <w:bookmarkStart w:id="1046" w:name="_Toc10891639"/>
      <w:bookmarkStart w:id="1047" w:name="_Toc10892314"/>
      <w:bookmarkStart w:id="1048" w:name="_Toc11390177"/>
      <w:bookmarkStart w:id="1049" w:name="_Toc11839856"/>
      <w:bookmarkStart w:id="1050" w:name="_Toc11937392"/>
      <w:r>
        <w:t>Влияние лигфола на глубокосупоросных свиноматок</w:t>
      </w:r>
      <w:bookmarkEnd w:id="1043"/>
      <w:bookmarkEnd w:id="1044"/>
      <w:bookmarkEnd w:id="1045"/>
      <w:bookmarkEnd w:id="1046"/>
      <w:bookmarkEnd w:id="1047"/>
      <w:bookmarkEnd w:id="1048"/>
      <w:bookmarkEnd w:id="1049"/>
      <w:bookmarkEnd w:id="1050"/>
    </w:p>
    <w:p w:rsidR="00F4654E" w:rsidRDefault="00F4654E">
      <w:pPr>
        <w:pStyle w:val="2"/>
      </w:pPr>
      <w:bookmarkStart w:id="1051" w:name="_Toc10115325"/>
      <w:bookmarkStart w:id="1052" w:name="_Toc10731140"/>
      <w:bookmarkStart w:id="1053" w:name="_Toc10731801"/>
      <w:bookmarkStart w:id="1054" w:name="_Toc10891640"/>
      <w:bookmarkStart w:id="1055" w:name="_Toc10892315"/>
      <w:bookmarkStart w:id="1056" w:name="_Toc11390178"/>
      <w:bookmarkStart w:id="1057" w:name="_Toc11937393"/>
      <w:r>
        <w:t>Бузлама С.В., Мешков А.В.</w:t>
      </w:r>
      <w:bookmarkEnd w:id="1051"/>
      <w:bookmarkEnd w:id="1052"/>
      <w:bookmarkEnd w:id="1053"/>
      <w:bookmarkEnd w:id="1054"/>
      <w:bookmarkEnd w:id="1055"/>
      <w:bookmarkEnd w:id="1056"/>
      <w:bookmarkEnd w:id="1057"/>
    </w:p>
    <w:p w:rsidR="00F4654E" w:rsidRDefault="00F4654E">
      <w:pPr>
        <w:pStyle w:val="a5"/>
      </w:pPr>
      <w:r>
        <w:t>Всероссийский  НИВИ патологии фармакологии и терапии</w:t>
      </w:r>
    </w:p>
    <w:p w:rsidR="00F4654E" w:rsidRDefault="00F4654E">
      <w:pPr>
        <w:pStyle w:val="a6"/>
      </w:pPr>
      <w:r>
        <w:tab/>
        <w:t>Основным условием эффективного развития свиноводства и получ</w:t>
      </w:r>
      <w:r>
        <w:t>е</w:t>
      </w:r>
      <w:r>
        <w:t>ния экономической выгоды, является здоровый молодняк полученный от здоровых производителей. В крупном промышленном свиноводстве да</w:t>
      </w:r>
      <w:r>
        <w:t>н</w:t>
      </w:r>
      <w:r>
        <w:t>ное условие весьма актуально, потому как животные выведены путем с</w:t>
      </w:r>
      <w:r>
        <w:t>е</w:t>
      </w:r>
      <w:r>
        <w:t>лекции и отбора на уровень биологической машины, не беря во внимание физиологические и адаптационные ресурсы живого организма, находящ</w:t>
      </w:r>
      <w:r>
        <w:t>е</w:t>
      </w:r>
      <w:r>
        <w:t xml:space="preserve">гося постоянно под воздействием техногенного стресса. Отрицательное </w:t>
      </w:r>
      <w:r>
        <w:lastRenderedPageBreak/>
        <w:t>влияние стрессовой нагрузки особенно четко прослеживается у свином</w:t>
      </w:r>
      <w:r>
        <w:t>а</w:t>
      </w:r>
      <w:r>
        <w:t>ток в последний период беременности, отражаясь на выходе здорового, полноценного молодняка.</w:t>
      </w:r>
    </w:p>
    <w:p w:rsidR="00F4654E" w:rsidRDefault="00F4654E">
      <w:pPr>
        <w:pStyle w:val="a6"/>
      </w:pPr>
      <w:r>
        <w:t xml:space="preserve"> Мы провели производственный опыт при помощи нового препарата – лигфола, имеющего адаптогенно-стресс-корректорную направленность. Целью являлась профилактика технологического и родового стрессов у глубокосупоросных свиноматок.</w:t>
      </w:r>
    </w:p>
    <w:p w:rsidR="00F4654E" w:rsidRDefault="00F4654E">
      <w:pPr>
        <w:pStyle w:val="a6"/>
      </w:pPr>
      <w:r>
        <w:t>Работу проводили в условиях промышленного свинокомплекса. Для проведения опыта были сформированы 2-е группы животных на 97-м дне супоросности. В опытной группе 68 голов против 45 в контроле. Живо</w:t>
      </w:r>
      <w:r>
        <w:t>т</w:t>
      </w:r>
      <w:r>
        <w:t>ные опытной и контрольной групп находились в равных условиях соде</w:t>
      </w:r>
      <w:r>
        <w:t>р</w:t>
      </w:r>
      <w:r>
        <w:t>жания и кормления.</w:t>
      </w:r>
    </w:p>
    <w:p w:rsidR="00F4654E" w:rsidRDefault="00F4654E">
      <w:pPr>
        <w:pStyle w:val="a6"/>
      </w:pPr>
      <w:r>
        <w:t>Свиноматкам опытной группы однократно внутримышечно ввели лигфол в дозе 5,0 мл на голову. Оценку опыта проводили после получения потомства. Учитывали все основные показатели, характеризующие эффе</w:t>
      </w:r>
      <w:r>
        <w:t>к</w:t>
      </w:r>
      <w:r>
        <w:t xml:space="preserve">тивность воспроизводства, т.е. выход на свиноматку «деловых», «минус вариантов» и мертворожденных поросят. </w:t>
      </w:r>
    </w:p>
    <w:p w:rsidR="00F4654E" w:rsidRDefault="00F4654E">
      <w:pPr>
        <w:pStyle w:val="a6"/>
      </w:pPr>
      <w:r>
        <w:t>В опытной группе выход «деловых» поросят составил 81,7%. Это на 1,5% больше, чем в  контроле. Выход «минус вариантов» в опытной гру</w:t>
      </w:r>
      <w:r>
        <w:t>п</w:t>
      </w:r>
      <w:r>
        <w:t>пе 17,6% , а в контрольной на 5,5% ниже. Мертворожденность в опыте с</w:t>
      </w:r>
      <w:r>
        <w:t>о</w:t>
      </w:r>
      <w:r>
        <w:t>ставила 0,55% от общего выхода поросят, в контроле – 8,03%.</w:t>
      </w:r>
    </w:p>
    <w:p w:rsidR="00F4654E" w:rsidRDefault="00F4654E">
      <w:pPr>
        <w:pStyle w:val="a6"/>
      </w:pPr>
      <w:r>
        <w:t>Полученные в ходе опыта результаты свидетельствуют о том, что лигфол, попадая в организм свиноматки в период глубокой супоросности опосредованно влияет на качество получаемого потомства, при этом сущ</w:t>
      </w:r>
      <w:r>
        <w:t>е</w:t>
      </w:r>
      <w:r>
        <w:t>ственно снижает выход мертворожденных поросят и повышает здоровую рождаемость.</w:t>
      </w:r>
    </w:p>
    <w:p w:rsidR="00F4654E" w:rsidRDefault="00F4654E">
      <w:pPr>
        <w:pStyle w:val="a4"/>
      </w:pPr>
      <w:r>
        <w:t>УДК 619:616.155.194:615.739.13:636.2.082.35</w:t>
      </w:r>
    </w:p>
    <w:p w:rsidR="00F4654E" w:rsidRDefault="00F4654E">
      <w:pPr>
        <w:pStyle w:val="1"/>
      </w:pPr>
      <w:bookmarkStart w:id="1058" w:name="_Toc10115326"/>
      <w:bookmarkStart w:id="1059" w:name="_Toc10731141"/>
      <w:bookmarkStart w:id="1060" w:name="_Toc10731802"/>
      <w:bookmarkStart w:id="1061" w:name="_Toc10891641"/>
      <w:bookmarkStart w:id="1062" w:name="_Toc10892316"/>
      <w:bookmarkStart w:id="1063" w:name="_Toc11390179"/>
      <w:bookmarkStart w:id="1064" w:name="_Toc11839858"/>
      <w:bookmarkStart w:id="1065" w:name="_Toc11937394"/>
      <w:r>
        <w:t>Эффективность Феррум Лек при гипохромной микроцитарной анемии телят-молочников</w:t>
      </w:r>
      <w:bookmarkEnd w:id="1058"/>
      <w:bookmarkEnd w:id="1059"/>
      <w:bookmarkEnd w:id="1060"/>
      <w:bookmarkEnd w:id="1061"/>
      <w:bookmarkEnd w:id="1062"/>
      <w:bookmarkEnd w:id="1063"/>
      <w:bookmarkEnd w:id="1064"/>
      <w:bookmarkEnd w:id="1065"/>
    </w:p>
    <w:p w:rsidR="00F4654E" w:rsidRDefault="00F4654E">
      <w:pPr>
        <w:pStyle w:val="2"/>
      </w:pPr>
      <w:bookmarkStart w:id="1066" w:name="_Toc10115327"/>
      <w:bookmarkStart w:id="1067" w:name="_Toc10731142"/>
      <w:bookmarkStart w:id="1068" w:name="_Toc10731803"/>
      <w:bookmarkStart w:id="1069" w:name="_Toc10891642"/>
      <w:bookmarkStart w:id="1070" w:name="_Toc10892317"/>
      <w:bookmarkStart w:id="1071" w:name="_Toc11390180"/>
      <w:bookmarkStart w:id="1072" w:name="_Toc11937395"/>
      <w:r>
        <w:t>Бурмакова Л.М., Макринова Н.Ю.</w:t>
      </w:r>
      <w:bookmarkEnd w:id="1066"/>
      <w:bookmarkEnd w:id="1067"/>
      <w:bookmarkEnd w:id="1068"/>
      <w:bookmarkEnd w:id="1069"/>
      <w:bookmarkEnd w:id="1070"/>
      <w:bookmarkEnd w:id="1071"/>
      <w:bookmarkEnd w:id="1072"/>
    </w:p>
    <w:p w:rsidR="00F4654E" w:rsidRDefault="00F4654E">
      <w:pPr>
        <w:pStyle w:val="a5"/>
      </w:pPr>
      <w:r>
        <w:t>Воронежский государственный аграрный университет им. К.Д. Глинки</w:t>
      </w:r>
    </w:p>
    <w:p w:rsidR="00F4654E" w:rsidRDefault="00F4654E">
      <w:pPr>
        <w:pStyle w:val="a6"/>
      </w:pPr>
      <w:r>
        <w:t>Выбор лекарственного вещества из большого арсенала железосодер</w:t>
      </w:r>
      <w:r>
        <w:softHyphen/>
        <w:t>ж</w:t>
      </w:r>
      <w:r>
        <w:softHyphen/>
        <w:t>а</w:t>
      </w:r>
      <w:r>
        <w:softHyphen/>
      </w:r>
      <w:r>
        <w:softHyphen/>
      </w:r>
      <w:r>
        <w:softHyphen/>
        <w:t>щих препаратов, имеющихся на вооружении современной ветеринарной меди</w:t>
      </w:r>
      <w:r>
        <w:softHyphen/>
        <w:t>цины, которое привело бы к сокращению периода болезни и активно влия</w:t>
      </w:r>
      <w:r>
        <w:softHyphen/>
        <w:t>ло на гемопоэз и уровень метаболизма в организме животного, являет</w:t>
      </w:r>
      <w:r>
        <w:softHyphen/>
        <w:t>ся важной задачей. Один из таких препаратов не изучен на телятах.</w:t>
      </w:r>
    </w:p>
    <w:p w:rsidR="00F4654E" w:rsidRDefault="00F4654E">
      <w:pPr>
        <w:pStyle w:val="a6"/>
      </w:pPr>
      <w:r>
        <w:t>Задачей нашей работы было изучение влияния различных доз железо</w:t>
      </w:r>
      <w:r>
        <w:softHyphen/>
        <w:t>со</w:t>
      </w:r>
      <w:r>
        <w:softHyphen/>
        <w:t>держа</w:t>
      </w:r>
      <w:r>
        <w:softHyphen/>
      </w:r>
      <w:r>
        <w:softHyphen/>
        <w:t>щего препарата Феррум Лек на клинико-гематологические показа</w:t>
      </w:r>
      <w:r>
        <w:softHyphen/>
        <w:t>тели телят-молочников.</w:t>
      </w:r>
    </w:p>
    <w:p w:rsidR="00F4654E" w:rsidRDefault="00F4654E">
      <w:pPr>
        <w:pStyle w:val="a6"/>
      </w:pPr>
      <w:r>
        <w:t>Наши опыты проводились в условиях СХП «Родина» Воронежской об</w:t>
      </w:r>
      <w:r>
        <w:softHyphen/>
        <w:t xml:space="preserve">ласти. Нами были испытаны следующие дозы:0,03 мл/кг; 0,06 мл/кг и </w:t>
      </w:r>
      <w:r>
        <w:lastRenderedPageBreak/>
        <w:t>0,09 мл/кг. С целью изучения действия этих доз на организм больных телят было сформировано 3 группы животных в возрасте 15-20 дней.</w:t>
      </w:r>
    </w:p>
    <w:p w:rsidR="00F4654E" w:rsidRDefault="00F4654E">
      <w:pPr>
        <w:pStyle w:val="a6"/>
      </w:pPr>
      <w:r>
        <w:t>Телятам 1 группы внутримышечно вводили Феррум Лек из расчета 0,03 мл/кг. Для контроля эффективности проводили клинические и гемато</w:t>
      </w:r>
      <w:r>
        <w:softHyphen/>
        <w:t>ло</w:t>
      </w:r>
      <w:r>
        <w:softHyphen/>
        <w:t>гические исследования  каждые 10 дней. Испытанная доза не оказала вы</w:t>
      </w:r>
      <w:r>
        <w:softHyphen/>
        <w:t>ра</w:t>
      </w:r>
      <w:r>
        <w:softHyphen/>
      </w:r>
      <w:r>
        <w:softHyphen/>
        <w:t>женного лечебного эффекта и, поэтому мы решили  увеличить дозу.</w:t>
      </w:r>
    </w:p>
    <w:p w:rsidR="00F4654E" w:rsidRDefault="00F4654E">
      <w:pPr>
        <w:pStyle w:val="a6"/>
      </w:pPr>
      <w:r>
        <w:t>Телятам 2 группы вводили Феррум Лек в объеме 0,06 мл/кг. При кл</w:t>
      </w:r>
      <w:r>
        <w:t>и</w:t>
      </w:r>
      <w:r>
        <w:t>ничес</w:t>
      </w:r>
      <w:r>
        <w:softHyphen/>
        <w:t>ком исследовании телят через 15 дней у них отметили улучшение общего состояния, аппетита, ослабление бледности слизистых оболочек, в крови были увеличены показатели красной крови, а в сыворотке количес</w:t>
      </w:r>
      <w:r>
        <w:t>т</w:t>
      </w:r>
      <w:r>
        <w:t>во железа незначительно.</w:t>
      </w:r>
    </w:p>
    <w:p w:rsidR="00F4654E" w:rsidRDefault="00F4654E">
      <w:pPr>
        <w:pStyle w:val="a6"/>
      </w:pPr>
      <w:r>
        <w:t>На 45 день лечения у телят отмечалось хорошее общее состояние, а</w:t>
      </w:r>
      <w:r>
        <w:t>п</w:t>
      </w:r>
      <w:r>
        <w:t>петит нормализовался, слизистые оболочки приобрели бледно-розовую окрас</w:t>
      </w:r>
      <w:r>
        <w:softHyphen/>
        <w:t>ку. В крови значительно возросло количество эритроцитов, гемогл</w:t>
      </w:r>
      <w:r>
        <w:t>о</w:t>
      </w:r>
      <w:r>
        <w:t>бина, а также железа. Причем эти показатели достигли средних границ ф</w:t>
      </w:r>
      <w:r>
        <w:t>и</w:t>
      </w:r>
      <w:r>
        <w:t>зиологических норм. Таким образом, очевидно, что Феррум Лек в дозе 0,06 мл/кг достаточно активно стимулирует гемопоэз у больных анемией телят.</w:t>
      </w:r>
    </w:p>
    <w:p w:rsidR="00F4654E" w:rsidRDefault="00F4654E">
      <w:pPr>
        <w:pStyle w:val="a6"/>
      </w:pPr>
      <w:r>
        <w:t>У телят 3 группы была испытана возрастающая доза 0,09 мл/кг. Под влиянием этой дозы у большинства телят нормализовались изучаемые п</w:t>
      </w:r>
      <w:r>
        <w:t>о</w:t>
      </w:r>
      <w:r>
        <w:t>казатели, которые достигли оптимальных значений. Однако, эти данные в целом не отличались от результатов дозы 0,06 мл/кг.</w:t>
      </w:r>
    </w:p>
    <w:p w:rsidR="00F4654E" w:rsidRDefault="00F4654E">
      <w:pPr>
        <w:pStyle w:val="a6"/>
      </w:pPr>
      <w:r>
        <w:t>Из полученных результатов стало очевидным, что с экономической точки зрения ветеринарных затрат более целесообразным является исполь</w:t>
      </w:r>
      <w:r>
        <w:softHyphen/>
        <w:t xml:space="preserve">зование дозы 0,06 мл/кг изученного препарата. Следовательно, для борьбы с гипохромной микроцитарной анемией телят-молочников, может быть использован Феррум Лек в дозе 0,06 мл/кг до выздоровления.              </w:t>
      </w:r>
    </w:p>
    <w:p w:rsidR="00F4654E" w:rsidRDefault="00F4654E">
      <w:pPr>
        <w:pStyle w:val="a4"/>
      </w:pPr>
      <w:r>
        <w:t>УДК 619:616.98:579.842.11.</w:t>
      </w:r>
    </w:p>
    <w:p w:rsidR="00F4654E" w:rsidRDefault="00F4654E">
      <w:pPr>
        <w:pStyle w:val="1"/>
      </w:pPr>
      <w:bookmarkStart w:id="1073" w:name="_Toc10731143"/>
      <w:bookmarkStart w:id="1074" w:name="_Toc10731804"/>
      <w:bookmarkStart w:id="1075" w:name="_Toc10891643"/>
      <w:bookmarkStart w:id="1076" w:name="_Toc10892318"/>
      <w:bookmarkStart w:id="1077" w:name="_Toc11390181"/>
      <w:bookmarkStart w:id="1078" w:name="_Toc11839860"/>
      <w:bookmarkStart w:id="1079" w:name="_Toc11937396"/>
      <w:r>
        <w:t>К ВОПРОСУ О СРОКАХ ВАКЦИНАЦИИ ТЕЛЯТ ПОЛИВАЛЕНТНОЙ РАДИОВАКЦИНОЙ</w:t>
      </w:r>
      <w:bookmarkEnd w:id="1073"/>
      <w:bookmarkEnd w:id="1074"/>
      <w:bookmarkEnd w:id="1075"/>
      <w:bookmarkEnd w:id="1076"/>
      <w:bookmarkEnd w:id="1077"/>
      <w:bookmarkEnd w:id="1078"/>
      <w:bookmarkEnd w:id="1079"/>
    </w:p>
    <w:p w:rsidR="00F4654E" w:rsidRDefault="00F4654E">
      <w:pPr>
        <w:pStyle w:val="2"/>
      </w:pPr>
      <w:bookmarkStart w:id="1080" w:name="_Toc10731144"/>
      <w:bookmarkStart w:id="1081" w:name="_Toc10731805"/>
      <w:bookmarkStart w:id="1082" w:name="_Toc10891644"/>
      <w:bookmarkStart w:id="1083" w:name="_Toc10892319"/>
      <w:bookmarkStart w:id="1084" w:name="_Toc11390182"/>
      <w:bookmarkStart w:id="1085" w:name="_Toc11937397"/>
      <w:r>
        <w:t>Булханов Р. У., Юлдашев Р. Ю., Мирзаев Б. Ш.</w:t>
      </w:r>
      <w:bookmarkEnd w:id="1080"/>
      <w:bookmarkEnd w:id="1081"/>
      <w:bookmarkEnd w:id="1082"/>
      <w:bookmarkEnd w:id="1083"/>
      <w:bookmarkEnd w:id="1084"/>
      <w:bookmarkEnd w:id="1085"/>
    </w:p>
    <w:p w:rsidR="00F4654E" w:rsidRDefault="00F4654E">
      <w:pPr>
        <w:pStyle w:val="a5"/>
      </w:pPr>
      <w:r>
        <w:t>Узбекский научно-исследовательский институт ветеринарии</w:t>
      </w:r>
    </w:p>
    <w:p w:rsidR="00F4654E" w:rsidRDefault="00F4654E">
      <w:pPr>
        <w:pStyle w:val="a6"/>
      </w:pPr>
      <w:r>
        <w:tab/>
        <w:t>В связи с тем, что среди инфекционных болезней молодняка сел</w:t>
      </w:r>
      <w:r>
        <w:t>ь</w:t>
      </w:r>
      <w:r>
        <w:t>скохозяйственных животных часто встречаются пастереллез, салмонеллез, колибактериоз и в целях расширения арсенала отечественных вакцин по разработанной в УзНИИВ радиационной биотехнологии (Булханов Р.У., 1999) сконструирована поливалентная радиовакцина против пастереллеза, сальмонеллеза и колибактериоза сельскохозяйственных животных, которая успешно внедряется в ветеринарную практику.</w:t>
      </w:r>
    </w:p>
    <w:p w:rsidR="00F4654E" w:rsidRDefault="00F4654E">
      <w:pPr>
        <w:pStyle w:val="a6"/>
      </w:pPr>
      <w:r>
        <w:t>В данном сообщении приводятся результаты изучения этой вакцины в опытах на коровах и телятах, полученных от вакцинированных коров.</w:t>
      </w:r>
    </w:p>
    <w:p w:rsidR="00F4654E" w:rsidRDefault="00F4654E">
      <w:pPr>
        <w:pStyle w:val="a6"/>
      </w:pPr>
      <w:r>
        <w:lastRenderedPageBreak/>
        <w:t>Стельных коров за 1,5-1 месяц до отела прививали однократно введ</w:t>
      </w:r>
      <w:r>
        <w:t>е</w:t>
      </w:r>
      <w:r>
        <w:t>нием подкожно поливалентной радиовакцины (ПРВ) в дозе 10 мл. Телята, полученные от привитых коров, были разделены на 3 группы: телят 1 и 2 групп вакцинировали ПРВ через 15 и 30 дней после рождения соответс</w:t>
      </w:r>
      <w:r>
        <w:t>т</w:t>
      </w:r>
      <w:r>
        <w:t>венно в дозе 3 мл однократно, телят третьей группы не прививали.</w:t>
      </w:r>
    </w:p>
    <w:p w:rsidR="00F4654E" w:rsidRDefault="00F4654E">
      <w:pPr>
        <w:pStyle w:val="a6"/>
      </w:pPr>
      <w:r>
        <w:t>При изучении иммунитета у телят, полученных от привитых коров, определено, что до приема молозива титры антител, как и следовало ож</w:t>
      </w:r>
      <w:r>
        <w:t>и</w:t>
      </w:r>
      <w:r>
        <w:t>дать, были низкими – 1:30 – 1:40, а через 2, 5, 10 и 15 дней после рождения и приема молозива титры антител соответственно были против пастерелл 1:6400, 1:3200, 1:1600, 1:800, против сальмонелл и эшерихиа коли – 1:6400, 1:3200, 1:2400 и 1:1000.</w:t>
      </w:r>
    </w:p>
    <w:p w:rsidR="00F4654E" w:rsidRDefault="00F4654E">
      <w:pPr>
        <w:pStyle w:val="a6"/>
      </w:pPr>
      <w:r>
        <w:t>Поскольку титр колостральных антител в сыворотке крови телят пе</w:t>
      </w:r>
      <w:r>
        <w:t>р</w:t>
      </w:r>
      <w:r>
        <w:t>вой группы через 15 дней после рождения снизился до 1:800 – 1:1000, их привили ПРВ однократно в дозе 3 мл, в этой же дозе, но через 30 дней п</w:t>
      </w:r>
      <w:r>
        <w:t>о</w:t>
      </w:r>
      <w:r>
        <w:t>сле рождения привили телят 2-ой группы, у которых титр колостральных антител к этому сроку снизился до 1:400 – 1:600. Для определения дл</w:t>
      </w:r>
      <w:r>
        <w:t>и</w:t>
      </w:r>
      <w:r>
        <w:t>тельности колострального иммунитета и его напряженности телят 3-ей группы не прививали, титры антител у последних в первые 30 дней были в тех же пределах, что и у телят 2-ой группы, а через 60 дней после рожд</w:t>
      </w:r>
      <w:r>
        <w:t>е</w:t>
      </w:r>
      <w:r>
        <w:t>ния снизились до 1:100, из чего очевидно практическое отсутствие колос</w:t>
      </w:r>
      <w:r>
        <w:t>т</w:t>
      </w:r>
      <w:r>
        <w:t>рального иммунитета к этому сроку исследования.</w:t>
      </w:r>
    </w:p>
    <w:p w:rsidR="00F4654E" w:rsidRDefault="00F4654E">
      <w:pPr>
        <w:pStyle w:val="a6"/>
      </w:pPr>
      <w:r>
        <w:t>Для определения оптимальных сроков вакцинации телят, полученных от привитых коров, телят первых двух групп вакцинировали ПРВ через 15 и 30 дней после рождения соответственно и изучали течение активного иммуногенеза.</w:t>
      </w:r>
    </w:p>
    <w:p w:rsidR="00F4654E" w:rsidRDefault="00F4654E">
      <w:pPr>
        <w:pStyle w:val="a6"/>
      </w:pPr>
      <w:r>
        <w:t>Исследования показали, что титры антител в сыворотке крови телят обеих групп через 5, 10, 15, 30 и 60 дней после однократной вакцинации были против пастерелл – 1:400, 1:600, 1:800, 1:2000 и 1:2400, против сал</w:t>
      </w:r>
      <w:r>
        <w:t>ь</w:t>
      </w:r>
      <w:r>
        <w:t>монелл – 1:600, 1:800, 1:1000, 1:2000 и 1:2400, против эшерихиа коли – 1:600, 1:800, 1:1200, 1:2200 и 1:2400.</w:t>
      </w:r>
    </w:p>
    <w:p w:rsidR="00F4654E" w:rsidRDefault="00F4654E">
      <w:pPr>
        <w:pStyle w:val="a6"/>
      </w:pPr>
      <w:r>
        <w:t>Анализ полученных результатов показывает, что процесс антителог</w:t>
      </w:r>
      <w:r>
        <w:t>е</w:t>
      </w:r>
      <w:r>
        <w:t>неза у телят, полученных от привитых коров и вакцинированных на 15 – 30 дни после рождения, протекает активно, обеспечивает при этом формир</w:t>
      </w:r>
      <w:r>
        <w:t>о</w:t>
      </w:r>
      <w:r>
        <w:t>вание стойкого иммунитета.</w:t>
      </w:r>
    </w:p>
    <w:p w:rsidR="00F4654E" w:rsidRPr="00F4654E" w:rsidRDefault="00F4654E">
      <w:pPr>
        <w:pStyle w:val="a6"/>
      </w:pPr>
      <w:r w:rsidRPr="00F4654E">
        <w:t>В связи с тем, что колостральный иммунитет в высоких титрах сохр</w:t>
      </w:r>
      <w:r w:rsidRPr="00F4654E">
        <w:t>а</w:t>
      </w:r>
      <w:r w:rsidRPr="00F4654E">
        <w:t>няется у телят в первые 15 дней после приема молозива, к концу первого месяца после рождения заметно снижается и практически отсутствует к концу второго месяца после рождения, целесообразно телят, полученных от прив</w:t>
      </w:r>
      <w:r w:rsidRPr="00F4654E">
        <w:t>и</w:t>
      </w:r>
      <w:r w:rsidRPr="00F4654E">
        <w:t>тых коров, иммунизировать поливалентной радиовакциной через 15 и не позднее 30 дней после рождения. Вакцинация телят в указанные сроки обе</w:t>
      </w:r>
      <w:r w:rsidRPr="00F4654E">
        <w:t>с</w:t>
      </w:r>
      <w:r w:rsidRPr="00F4654E">
        <w:t>печивает непрерывный и длительный иммунитет, не допускает перерыва между пассивным и активным иммунитетом, надежно предохр</w:t>
      </w:r>
      <w:r w:rsidRPr="00F4654E">
        <w:t>а</w:t>
      </w:r>
      <w:r w:rsidRPr="00F4654E">
        <w:lastRenderedPageBreak/>
        <w:t>няет молодняк от заболевания пастереллезом, сальмонеллезом и колиба</w:t>
      </w:r>
      <w:r w:rsidRPr="00F4654E">
        <w:t>к</w:t>
      </w:r>
      <w:r w:rsidRPr="00F4654E">
        <w:t xml:space="preserve">териозом. </w:t>
      </w:r>
    </w:p>
    <w:p w:rsidR="00F4654E" w:rsidRDefault="00F4654E">
      <w:pPr>
        <w:pStyle w:val="a4"/>
      </w:pPr>
      <w:r>
        <w:t>УДК 636.03:579.842.23</w:t>
      </w:r>
    </w:p>
    <w:p w:rsidR="00F4654E" w:rsidRDefault="00F4654E">
      <w:pPr>
        <w:pStyle w:val="1"/>
      </w:pPr>
      <w:bookmarkStart w:id="1086" w:name="_Toc11390183"/>
      <w:bookmarkStart w:id="1087" w:name="_Toc11839862"/>
      <w:bookmarkStart w:id="1088" w:name="_Toc11937398"/>
      <w:r>
        <w:t>МОРФОЛОГИЯ КИШЕЧНИКА ПРИ АССОЦИАТИВНОМ ТЕЧЕНИИ АСКАРИДИОЗА И КОЛИБАКТЕРИОЗА</w:t>
      </w:r>
      <w:bookmarkEnd w:id="1086"/>
      <w:bookmarkEnd w:id="1087"/>
      <w:bookmarkEnd w:id="1088"/>
    </w:p>
    <w:p w:rsidR="00F4654E" w:rsidRDefault="00F4654E">
      <w:pPr>
        <w:pStyle w:val="2"/>
      </w:pPr>
      <w:bookmarkStart w:id="1089" w:name="_Toc11390184"/>
      <w:bookmarkStart w:id="1090" w:name="_Toc11937399"/>
      <w:r>
        <w:t>Ванина Н.Н.</w:t>
      </w:r>
      <w:bookmarkEnd w:id="1089"/>
      <w:bookmarkEnd w:id="1090"/>
    </w:p>
    <w:p w:rsidR="00F4654E" w:rsidRDefault="00F4654E">
      <w:pPr>
        <w:pStyle w:val="a5"/>
      </w:pPr>
      <w:r>
        <w:t>Московский государственный университет прикладной биотехнологии</w:t>
      </w:r>
    </w:p>
    <w:p w:rsidR="00F4654E" w:rsidRDefault="00F4654E">
      <w:pPr>
        <w:pStyle w:val="a6"/>
      </w:pPr>
      <w:r>
        <w:t>Болезни органов пищеварения молодняка птицы продолжают зан</w:t>
      </w:r>
      <w:r>
        <w:t>и</w:t>
      </w:r>
      <w:r>
        <w:t>мать одно из первых мест в общей структуре болезней, нанося ощутимый экономический ущерб птицеводческим хозяйствам, ввиду высокой забол</w:t>
      </w:r>
      <w:r>
        <w:t>е</w:t>
      </w:r>
      <w:r>
        <w:t>ваемости, гибели, снижения продуктивности у переболевших птиц и зн</w:t>
      </w:r>
      <w:r>
        <w:t>а</w:t>
      </w:r>
      <w:r>
        <w:t>чительных затрат на лечение больных медикаментозными средствами. По данным литературы, нередко регистрируются ассоциативные паразитарно-инфекционные болезни, сопровождающиеся дисбактериозом.</w:t>
      </w:r>
    </w:p>
    <w:p w:rsidR="00F4654E" w:rsidRDefault="00F4654E">
      <w:pPr>
        <w:pStyle w:val="a6"/>
      </w:pPr>
      <w:r>
        <w:rPr>
          <w:color w:val="000000"/>
        </w:rPr>
        <w:t xml:space="preserve">Цель работы </w:t>
      </w:r>
      <w:r>
        <w:rPr>
          <w:i/>
          <w:color w:val="000000"/>
        </w:rPr>
        <w:t xml:space="preserve">- </w:t>
      </w:r>
      <w:r>
        <w:rPr>
          <w:color w:val="000000"/>
        </w:rPr>
        <w:t>выявление изменений в кишечнике при ассоциативном течении аскаридиоза и колибакгериоза.</w:t>
      </w:r>
    </w:p>
    <w:p w:rsidR="00F4654E" w:rsidRDefault="00F4654E">
      <w:pPr>
        <w:pStyle w:val="a6"/>
      </w:pPr>
      <w:r>
        <w:rPr>
          <w:color w:val="000000"/>
        </w:rPr>
        <w:t>Диагноз ставили на основании результатов патологоанатомического вскрытия и гистологических исследований. Колибактериоз подтверждали бактериологическими методами исследования. У всех птиц (возраст 8-10 мес.) серозная оболочка тонкого, толстого отделов кишечника и брыжейка были гиперемированы; брыжеечные лимфатические узлы гиперимиров</w:t>
      </w:r>
      <w:r>
        <w:rPr>
          <w:color w:val="000000"/>
        </w:rPr>
        <w:t>а</w:t>
      </w:r>
      <w:r>
        <w:rPr>
          <w:color w:val="000000"/>
        </w:rPr>
        <w:t>ны, несколько увеличены, на разрезе сочные. Кишечник наполнен мутной серовато-белой водянистой или желтовато-белой густоватой жидкостью. В полостном содержимом обнаружены круглые светло желтого цвета гел</w:t>
      </w:r>
      <w:r>
        <w:rPr>
          <w:color w:val="000000"/>
        </w:rPr>
        <w:t>ь</w:t>
      </w:r>
      <w:r>
        <w:rPr>
          <w:color w:val="000000"/>
        </w:rPr>
        <w:t>минты - аскаридии. В ряде участков наблюдалось повреждение слизистой оболочки кишечника с образованием мелких круглых язвочек, поврежд</w:t>
      </w:r>
      <w:r>
        <w:rPr>
          <w:color w:val="000000"/>
        </w:rPr>
        <w:t>е</w:t>
      </w:r>
      <w:r>
        <w:rPr>
          <w:color w:val="000000"/>
        </w:rPr>
        <w:t>ние кровеносных сосудов с образованием кровоизлияний. При гистолог</w:t>
      </w:r>
      <w:r>
        <w:rPr>
          <w:color w:val="000000"/>
        </w:rPr>
        <w:t>и</w:t>
      </w:r>
      <w:r>
        <w:rPr>
          <w:color w:val="000000"/>
        </w:rPr>
        <w:t>ческом исследовании на поверхности каемчатых энтероцитов ворсинок слизистой оболочки тонкого кишечника обнаружены бактериальные кле</w:t>
      </w:r>
      <w:r>
        <w:rPr>
          <w:color w:val="000000"/>
        </w:rPr>
        <w:t>т</w:t>
      </w:r>
      <w:r>
        <w:rPr>
          <w:color w:val="000000"/>
        </w:rPr>
        <w:t>ки и наблюдалась гиперсекреция бокаловидных клеток. В собственной пластинке слизистой оболочки тонкого кишечника присутствуют нейтр</w:t>
      </w:r>
      <w:r>
        <w:rPr>
          <w:color w:val="000000"/>
        </w:rPr>
        <w:t>о</w:t>
      </w:r>
      <w:r>
        <w:rPr>
          <w:color w:val="000000"/>
        </w:rPr>
        <w:t>фильные лейкоциты. При морфометрических исследованиях наблюдали увеличение длины и диаметра крипт. В участках скопления личинок аск</w:t>
      </w:r>
      <w:r>
        <w:rPr>
          <w:color w:val="000000"/>
        </w:rPr>
        <w:t>а</w:t>
      </w:r>
      <w:r>
        <w:rPr>
          <w:color w:val="000000"/>
        </w:rPr>
        <w:t>ридий ткань желез атрофирована.</w:t>
      </w:r>
    </w:p>
    <w:p w:rsidR="00F4654E" w:rsidRPr="00F4654E" w:rsidRDefault="00F4654E">
      <w:pPr>
        <w:pStyle w:val="a6"/>
        <w:rPr>
          <w:spacing w:val="-2"/>
        </w:rPr>
      </w:pPr>
      <w:r w:rsidRPr="00F4654E">
        <w:rPr>
          <w:color w:val="000000"/>
          <w:spacing w:val="-2"/>
        </w:rPr>
        <w:t>При разработке мер борьбы и профилактики с ассоциативными боле</w:t>
      </w:r>
      <w:r w:rsidRPr="00F4654E">
        <w:rPr>
          <w:color w:val="000000"/>
          <w:spacing w:val="-2"/>
        </w:rPr>
        <w:t>з</w:t>
      </w:r>
      <w:r w:rsidRPr="00F4654E">
        <w:rPr>
          <w:color w:val="000000"/>
          <w:spacing w:val="-2"/>
        </w:rPr>
        <w:t>нями наиболее перспективными являются фундаментальные исследования возможности коррекции иммуногенеза и естественного микробиоценоза кишечника промышленной птицы, а именно выявление закономерностей влияния патогенных факторов, антигельминтиков и антибиотиков на факт</w:t>
      </w:r>
      <w:r w:rsidRPr="00F4654E">
        <w:rPr>
          <w:color w:val="000000"/>
          <w:spacing w:val="-2"/>
        </w:rPr>
        <w:t>о</w:t>
      </w:r>
      <w:r w:rsidRPr="00F4654E">
        <w:rPr>
          <w:color w:val="000000"/>
          <w:spacing w:val="-2"/>
        </w:rPr>
        <w:t>ры, определяющие естественную резистентность цыплят: лизоцимную а</w:t>
      </w:r>
      <w:r w:rsidRPr="00F4654E">
        <w:rPr>
          <w:color w:val="000000"/>
          <w:spacing w:val="-2"/>
        </w:rPr>
        <w:t>к</w:t>
      </w:r>
      <w:r w:rsidRPr="00F4654E">
        <w:rPr>
          <w:color w:val="000000"/>
          <w:spacing w:val="-2"/>
        </w:rPr>
        <w:t>тивность, реакцию фагоцитоза, формирование кишечного микробиоц</w:t>
      </w:r>
      <w:r w:rsidRPr="00F4654E">
        <w:rPr>
          <w:color w:val="000000"/>
          <w:spacing w:val="-2"/>
        </w:rPr>
        <w:t>е</w:t>
      </w:r>
      <w:r w:rsidRPr="00F4654E">
        <w:rPr>
          <w:color w:val="000000"/>
          <w:spacing w:val="-2"/>
        </w:rPr>
        <w:t>ноза.</w:t>
      </w:r>
    </w:p>
    <w:p w:rsidR="00F4654E" w:rsidRDefault="00F4654E">
      <w:pPr>
        <w:pStyle w:val="a4"/>
      </w:pPr>
      <w:r>
        <w:lastRenderedPageBreak/>
        <w:t>УДК 636.03:579.842.23</w:t>
      </w:r>
    </w:p>
    <w:p w:rsidR="00F4654E" w:rsidRDefault="00F4654E">
      <w:pPr>
        <w:pStyle w:val="1"/>
      </w:pPr>
      <w:bookmarkStart w:id="1091" w:name="_Toc11390185"/>
      <w:bookmarkStart w:id="1092" w:name="_Toc11839864"/>
      <w:bookmarkStart w:id="1093" w:name="_Toc11937400"/>
      <w:r>
        <w:t>РОЛЬ ЦИТОЛОГИЧЕСКОГО МЕТОДА ИССЛЕДОВАНИЯ В ДИАГНОСТИКЕ БОЛЕЗНЕЙ ОРГАНОВ ПИЩЕВАРЕНИЯ</w:t>
      </w:r>
      <w:bookmarkEnd w:id="1091"/>
      <w:bookmarkEnd w:id="1092"/>
      <w:bookmarkEnd w:id="1093"/>
    </w:p>
    <w:p w:rsidR="00F4654E" w:rsidRDefault="00F4654E">
      <w:pPr>
        <w:pStyle w:val="2"/>
      </w:pPr>
      <w:bookmarkStart w:id="1094" w:name="_Toc11390186"/>
      <w:bookmarkStart w:id="1095" w:name="_Toc11937401"/>
      <w:r>
        <w:t>Ванина Н.Н.</w:t>
      </w:r>
      <w:bookmarkEnd w:id="1094"/>
      <w:bookmarkEnd w:id="1095"/>
    </w:p>
    <w:p w:rsidR="00F4654E" w:rsidRDefault="00F4654E">
      <w:pPr>
        <w:pStyle w:val="a5"/>
      </w:pPr>
      <w:r>
        <w:t>Московский государственный университет прикладной биотехнологии</w:t>
      </w:r>
    </w:p>
    <w:p w:rsidR="00F4654E" w:rsidRDefault="00F4654E">
      <w:pPr>
        <w:pStyle w:val="a6"/>
      </w:pPr>
      <w:r>
        <w:t>В связи с увеличением влияния многочисленных патогенных экзоге</w:t>
      </w:r>
      <w:r>
        <w:t>н</w:t>
      </w:r>
      <w:r>
        <w:t>ных и эндогенных факторов наблюдается постепенный рост и распростр</w:t>
      </w:r>
      <w:r>
        <w:t>а</w:t>
      </w:r>
      <w:r>
        <w:t>нение возникновения различного рода новообразований. Цитологическая диагностика заболеваний органов пищеварения, особенно опухолей, явл</w:t>
      </w:r>
      <w:r>
        <w:t>я</w:t>
      </w:r>
      <w:r>
        <w:t>ется одной из форм морфологических исследований, применяемых в кл</w:t>
      </w:r>
      <w:r>
        <w:t>и</w:t>
      </w:r>
      <w:r>
        <w:t>нической ветеринарной практике. Методической основой исследований является изучение клеточного состава патологических процессов.</w:t>
      </w:r>
    </w:p>
    <w:p w:rsidR="00F4654E" w:rsidRDefault="00F4654E">
      <w:pPr>
        <w:pStyle w:val="a6"/>
      </w:pPr>
      <w:r>
        <w:t>Объектом цитологического исследования служили кошки, собаки, к</w:t>
      </w:r>
      <w:r>
        <w:t>у</w:t>
      </w:r>
      <w:r>
        <w:t>ры (различных возрастных групп). Исследовали как единичные клетки, так и их комплексы, получаемые из области патологического процесса (пун</w:t>
      </w:r>
      <w:r>
        <w:t>к</w:t>
      </w:r>
      <w:r>
        <w:t>таты из опухолей и опухолевидных образований, уплотнений; выделения; соскобы с эрозированных и язвенных поверхностей; отпечатки с ткани). Отпечатки и соскобы с эрозий и язв готовили после того, как с поверхн</w:t>
      </w:r>
      <w:r>
        <w:t>о</w:t>
      </w:r>
      <w:r>
        <w:t>сти патологического очага осторожно удаляли гноевидные массы, корочки, некротический налет. Отпечатки тканей получали путем прикосновения предметным стеклом к изъязвленному участку. Соскоб брали осторожным соскабливанием патологической поверхности краем покровного стекла. При окраске мазков обычно использовали панхромную окраску азур-эози-новыми смесями в модификации Романовского-Гимза, Лейшмана.</w:t>
      </w:r>
    </w:p>
    <w:p w:rsidR="00F4654E" w:rsidRDefault="00F4654E">
      <w:pPr>
        <w:pStyle w:val="a6"/>
      </w:pPr>
      <w:r>
        <w:t>Анализ результатов собственных цитологических исследований за один год, проведенных в патологоанатомическом отделе ветеринарной л</w:t>
      </w:r>
      <w:r>
        <w:t>а</w:t>
      </w:r>
      <w:r>
        <w:t>боратории, показал, что в подавляющем большинстве опухоли органов пищеварения регистрируются у собак (67,5 % от общего количества иссл</w:t>
      </w:r>
      <w:r>
        <w:t>е</w:t>
      </w:r>
      <w:r>
        <w:t>дуемых). Наиболее распространенными являлись опухоли слюнных желез (мукоэпидермоидные), опухоли пищевода (рак, саркома), опухоли желудка (ретикулосаркома), опухоли толстой кишки (полипы).</w:t>
      </w:r>
    </w:p>
    <w:p w:rsidR="00F4654E" w:rsidRDefault="00F4654E">
      <w:pPr>
        <w:pStyle w:val="a6"/>
      </w:pPr>
      <w:r>
        <w:t>Цитоморфологическая верификация новообразования необходима для уточнения или подтверждения клинического диагноза, выбора стр</w:t>
      </w:r>
      <w:r>
        <w:t>а</w:t>
      </w:r>
      <w:r>
        <w:t>тегии и метода терапии; оценки ее эффективности: выявления признаков гибели опухолевых клеток или усиливающегося роста, признаков пат</w:t>
      </w:r>
      <w:r>
        <w:t>о</w:t>
      </w:r>
      <w:r>
        <w:t>морфоза. Изучение с диагностической целью отдельных клеток или их комплексов в пунктатах, выделениях, соскобах, отпечатках позволяет с большой точн</w:t>
      </w:r>
      <w:r>
        <w:t>о</w:t>
      </w:r>
      <w:r>
        <w:t>стью выявлять морфологические изменения и на этой о</w:t>
      </w:r>
      <w:r>
        <w:t>с</w:t>
      </w:r>
      <w:r>
        <w:t>нове распознавать характер и особенности патологии (воспаление, ди</w:t>
      </w:r>
      <w:r>
        <w:t>с</w:t>
      </w:r>
      <w:r>
        <w:t>трофия, опухоль и др.); обнаруживать патологический процесс на самых ранних стадиях его ра</w:t>
      </w:r>
      <w:r>
        <w:t>з</w:t>
      </w:r>
      <w:r>
        <w:t>вития.</w:t>
      </w:r>
    </w:p>
    <w:p w:rsidR="00F4654E" w:rsidRDefault="00F4654E">
      <w:pPr>
        <w:pStyle w:val="a4"/>
      </w:pPr>
      <w:r>
        <w:lastRenderedPageBreak/>
        <w:t>УДК 619:616.995.1:636.4.053</w:t>
      </w:r>
    </w:p>
    <w:p w:rsidR="00F4654E" w:rsidRDefault="00F4654E">
      <w:pPr>
        <w:pStyle w:val="1"/>
      </w:pPr>
      <w:bookmarkStart w:id="1096" w:name="_Toc10115328"/>
      <w:bookmarkStart w:id="1097" w:name="_Toc10731145"/>
      <w:bookmarkStart w:id="1098" w:name="_Toc10731806"/>
      <w:bookmarkStart w:id="1099" w:name="_Toc10891645"/>
      <w:bookmarkStart w:id="1100" w:name="_Toc10892320"/>
      <w:bookmarkStart w:id="1101" w:name="_Toc11390187"/>
      <w:bookmarkStart w:id="1102" w:name="_Toc11839866"/>
      <w:bookmarkStart w:id="1103" w:name="_Toc11937402"/>
      <w:r>
        <w:t>ПАТОМОРФОЛОГИЧЕСКИЕ ИЗМЕНЕНИЯ ПРИ  АССОЦИИРОВАННОЙ ИНВАЗИИ (КРИПТОСПОРИДИОЗА И ЭЗОФАГОСТОМОЗА) ПОРОСЯТ</w:t>
      </w:r>
      <w:bookmarkEnd w:id="1096"/>
      <w:bookmarkEnd w:id="1097"/>
      <w:bookmarkEnd w:id="1098"/>
      <w:bookmarkEnd w:id="1099"/>
      <w:bookmarkEnd w:id="1100"/>
      <w:bookmarkEnd w:id="1101"/>
      <w:bookmarkEnd w:id="1102"/>
      <w:bookmarkEnd w:id="1103"/>
    </w:p>
    <w:p w:rsidR="00F4654E" w:rsidRDefault="00F4654E">
      <w:pPr>
        <w:pStyle w:val="2"/>
      </w:pPr>
      <w:bookmarkStart w:id="1104" w:name="_Toc10115329"/>
      <w:bookmarkStart w:id="1105" w:name="_Toc10731146"/>
      <w:bookmarkStart w:id="1106" w:name="_Toc10731807"/>
      <w:bookmarkStart w:id="1107" w:name="_Toc10891646"/>
      <w:bookmarkStart w:id="1108" w:name="_Toc10892321"/>
      <w:bookmarkStart w:id="1109" w:name="_Toc11390188"/>
      <w:bookmarkStart w:id="1110" w:name="_Toc11937403"/>
      <w:r>
        <w:t>Васильева В.А.</w:t>
      </w:r>
      <w:bookmarkEnd w:id="1104"/>
      <w:bookmarkEnd w:id="1105"/>
      <w:bookmarkEnd w:id="1106"/>
      <w:bookmarkEnd w:id="1107"/>
      <w:bookmarkEnd w:id="1108"/>
      <w:bookmarkEnd w:id="1109"/>
      <w:bookmarkEnd w:id="1110"/>
    </w:p>
    <w:p w:rsidR="00F4654E" w:rsidRDefault="00F4654E">
      <w:pPr>
        <w:pStyle w:val="a5"/>
      </w:pPr>
      <w:r>
        <w:t>Мордовский государственный университет</w:t>
      </w:r>
    </w:p>
    <w:p w:rsidR="00F4654E" w:rsidRDefault="00F4654E">
      <w:pPr>
        <w:pStyle w:val="a6"/>
      </w:pPr>
      <w:r>
        <w:t>У поросят, экспериментально инвазированных смешанной инвазией на</w:t>
      </w:r>
      <w:r>
        <w:t>и</w:t>
      </w:r>
      <w:r>
        <w:t>более характерные изменения были выявлены при убое на 5, 6, 9, 10 и 13 день.</w:t>
      </w:r>
    </w:p>
    <w:p w:rsidR="00F4654E" w:rsidRDefault="00F4654E">
      <w:pPr>
        <w:pStyle w:val="a6"/>
      </w:pPr>
      <w:r>
        <w:t>У поросят, убитых на 6 день после инвазирования (по сравнению с контролем), установлены следующие изменения. В сердце миокардиоциты имеют хорошо выраженную продольно-поперечную исчерченность сарк</w:t>
      </w:r>
      <w:r>
        <w:t>о</w:t>
      </w:r>
      <w:r>
        <w:t>леммы. Рисунок хроматина ядер не изменен. Соединительная ткань инте</w:t>
      </w:r>
      <w:r>
        <w:t>р</w:t>
      </w:r>
      <w:r>
        <w:t>стиция нежная, умеренно выражена. Кровеносные сосуды микроциркул</w:t>
      </w:r>
      <w:r>
        <w:t>я</w:t>
      </w:r>
      <w:r>
        <w:t>торного русла умеренно заполнены кровью; гепатоциты центральной части печени имеют зернистую цитоплазму, центральная вена и межбалочные капилляры умеренно заполнены кровью. Междольковая соединительная ткань рыхлая, имеет в небольшом количестве инфильтраты лимфоидно-гистиоцитарных клеток; в легких рисунок альвеолярного и бронхиального строения несколько разрушен, стенки отдельных альвеол имеют разрывы, в результате чего возникают большие полости, заполненные воздухом. Бронхиолы расширены, слизистая обильно покрыта муцином. В просвете некоторых бронхиол содержится десквамированный эпителий и бластные клетки. В селезенке фолликулы белой пульпы содержат умеренное колич</w:t>
      </w:r>
      <w:r>
        <w:t>е</w:t>
      </w:r>
      <w:r>
        <w:t>ство лимфоидных клеток, красная пульпа содержит умеренное количество эритроцитов, сидерофагов и бластных элементов. В почках почечные кл</w:t>
      </w:r>
      <w:r>
        <w:t>у</w:t>
      </w:r>
      <w:r>
        <w:t>бочки несколько уменьшены в размерах, просветы капсул Шумлянского расширены, выстилающий их эпителий уплощен. Эпителий юкстагран</w:t>
      </w:r>
      <w:r>
        <w:t>у</w:t>
      </w:r>
      <w:r>
        <w:t>лярного аппарата имеет четко выраженный хроматин ядра, отдельные и</w:t>
      </w:r>
      <w:r>
        <w:t>з</w:t>
      </w:r>
      <w:r>
        <w:t>витые канальцы выстланы эпителием, имеющим зернистую цитоплазму, просвет таких канальцев заполнен белковой массой. Стенки отдельных а</w:t>
      </w:r>
      <w:r>
        <w:t>р</w:t>
      </w:r>
      <w:r>
        <w:t>териол утолщены, их эндотелий имеет пикнотичные ядра. В толстом отд</w:t>
      </w:r>
      <w:r>
        <w:t>е</w:t>
      </w:r>
      <w:r>
        <w:t>ле кишечника поверхностный слой эпителия слизистой местами десквам</w:t>
      </w:r>
      <w:r>
        <w:t>и</w:t>
      </w:r>
      <w:r>
        <w:t>рован. Слизистая покрыта катаральным экссудатом, содержащим большое количество клеточных элементов. Эпителий крипт пролиферирует особе</w:t>
      </w:r>
      <w:r>
        <w:t>н</w:t>
      </w:r>
      <w:r>
        <w:t>но в местах локализации гельминта. В тонком отделе кишечника слизистая утолщена, ворсинки деформированы, в них видны ооцисты C. parvum. Клетки кишечного эпителия находятся  в состоянии слизистой дистрофии.</w:t>
      </w:r>
    </w:p>
    <w:p w:rsidR="00F4654E" w:rsidRDefault="00F4654E">
      <w:pPr>
        <w:pStyle w:val="a6"/>
      </w:pPr>
      <w:r>
        <w:t>При исследовании на 9, 10 дни после заражения (по сравнению с ко</w:t>
      </w:r>
      <w:r>
        <w:t>н</w:t>
      </w:r>
      <w:r>
        <w:t>тролем) было установлено следующее. В сердце мышечные волокна пот</w:t>
      </w:r>
      <w:r>
        <w:t>е</w:t>
      </w:r>
      <w:r>
        <w:t xml:space="preserve">ряли исчерченность. Ядра кардиомиоцитов темные, небольшого размера. Капилляры полнокровны, эритроциты имеют вид «монетных столбиков». В печени рисунок балочного строения сохранен. Гепатоциты центральной </w:t>
      </w:r>
      <w:r>
        <w:lastRenderedPageBreak/>
        <w:t>части имеют зернистую цитоплазму, в междольковой соединительной тк</w:t>
      </w:r>
      <w:r>
        <w:t>а</w:t>
      </w:r>
      <w:r>
        <w:t>ни выявляются множественные эозинофилы с явлениями дегрануляции. В селезенке фолликулы белой пульпы содержат разреженные клеточные элементы, красная пульпа содержит эритроциты; трабекулы местами и</w:t>
      </w:r>
      <w:r>
        <w:t>н</w:t>
      </w:r>
      <w:r>
        <w:t>фильтрированы лимфоидно-гистиоцитарными клетками. В почках поче</w:t>
      </w:r>
      <w:r>
        <w:t>ч</w:t>
      </w:r>
      <w:r>
        <w:t>ные клубочки неправильной формы, эндотелий капилляров пролиферир</w:t>
      </w:r>
      <w:r>
        <w:t>у</w:t>
      </w:r>
      <w:r>
        <w:t>ет, эпителий некоторых извитых канальцев набухший, выступает в просвет полости канальцев, которые заполнены белково-зернистой массой. В ле</w:t>
      </w:r>
      <w:r>
        <w:t>г</w:t>
      </w:r>
      <w:r>
        <w:t>ких стенки альвеол утолщены, инфильтрированы клетками, в отдельных участках просвет расширен в связи с разрывом перегородок, другие учас</w:t>
      </w:r>
      <w:r>
        <w:t>т</w:t>
      </w:r>
      <w:r>
        <w:t>ки уплотнены. Бронхиолы имеют набухший эпителий, в отдельных учас</w:t>
      </w:r>
      <w:r>
        <w:t>т</w:t>
      </w:r>
      <w:r>
        <w:t>ках он десквамирован, в просвете содержится катаральный экссудат. В толстом отделе кишечника слизистая утолщена, инфильтрирована лимф</w:t>
      </w:r>
      <w:r>
        <w:t>о</w:t>
      </w:r>
      <w:r>
        <w:t>идными гистиоцитарными клетками. В подслизистой имеются инкапсул</w:t>
      </w:r>
      <w:r>
        <w:t>и</w:t>
      </w:r>
      <w:r>
        <w:t>рованные участки некроза с прилегающими к нему прослойками лимфои</w:t>
      </w:r>
      <w:r>
        <w:t>д</w:t>
      </w:r>
      <w:r>
        <w:t>ной ткани, образующим иногда фолликулы. Подслизистая соединительная ткань отечна, разрыхлена, кровеносные сосуды полнокровны, иногда с я</w:t>
      </w:r>
      <w:r>
        <w:t>в</w:t>
      </w:r>
      <w:r>
        <w:t>лениями дистрофии.</w:t>
      </w:r>
    </w:p>
    <w:p w:rsidR="00F4654E" w:rsidRDefault="00F4654E">
      <w:pPr>
        <w:pStyle w:val="a6"/>
      </w:pPr>
      <w:r>
        <w:t>У поросят, убитых на 13-й день после инвазирования (по сравнению с контролем), было установлено следующее. В сердце миокардиоциты им</w:t>
      </w:r>
      <w:r>
        <w:t>е</w:t>
      </w:r>
      <w:r>
        <w:t>ют признаки зернистой дистрофии. Интерстиций миокарда отечен. В и</w:t>
      </w:r>
      <w:r>
        <w:t>н</w:t>
      </w:r>
      <w:r>
        <w:t xml:space="preserve">терстиции по ходу волокон Пуркинье иногда обнаруживаются скопления лимфоидных, гистиоцитарных клеток. </w:t>
      </w:r>
    </w:p>
    <w:p w:rsidR="00F4654E" w:rsidRDefault="00F4654E">
      <w:pPr>
        <w:pStyle w:val="a6"/>
      </w:pPr>
      <w:r>
        <w:t>В печени балочная структура с</w:t>
      </w:r>
      <w:r>
        <w:t>о</w:t>
      </w:r>
      <w:r>
        <w:t>хранена, ядра гепатоцитов округлые. Междольковые вены, артерии, це</w:t>
      </w:r>
      <w:r>
        <w:t>н</w:t>
      </w:r>
      <w:r>
        <w:t xml:space="preserve">тральные вены спавшиеся, запустевшие. </w:t>
      </w:r>
    </w:p>
    <w:p w:rsidR="00F4654E" w:rsidRPr="00F4654E" w:rsidRDefault="00F4654E">
      <w:pPr>
        <w:pStyle w:val="a6"/>
        <w:rPr>
          <w:spacing w:val="-2"/>
        </w:rPr>
      </w:pPr>
      <w:r w:rsidRPr="00F4654E">
        <w:rPr>
          <w:spacing w:val="-2"/>
        </w:rPr>
        <w:t>В селезенке лимфатические фолликулы без светлых центров, це</w:t>
      </w:r>
      <w:r w:rsidRPr="00F4654E">
        <w:rPr>
          <w:spacing w:val="-2"/>
        </w:rPr>
        <w:t>н</w:t>
      </w:r>
      <w:r w:rsidRPr="00F4654E">
        <w:rPr>
          <w:spacing w:val="-2"/>
        </w:rPr>
        <w:t>тральные артерии сужены и запустевшие. Венозные синусоидные капилл</w:t>
      </w:r>
      <w:r w:rsidRPr="00F4654E">
        <w:rPr>
          <w:spacing w:val="-2"/>
        </w:rPr>
        <w:t>я</w:t>
      </w:r>
      <w:r w:rsidRPr="00F4654E">
        <w:rPr>
          <w:spacing w:val="-2"/>
        </w:rPr>
        <w:t>ры красной пульпы спавшиеся или в той иной мере переполнены кр</w:t>
      </w:r>
      <w:r w:rsidRPr="00F4654E">
        <w:rPr>
          <w:spacing w:val="-2"/>
        </w:rPr>
        <w:t>о</w:t>
      </w:r>
      <w:r w:rsidRPr="00F4654E">
        <w:rPr>
          <w:spacing w:val="-2"/>
        </w:rPr>
        <w:t xml:space="preserve">вью. </w:t>
      </w:r>
    </w:p>
    <w:p w:rsidR="00F4654E" w:rsidRDefault="00F4654E">
      <w:pPr>
        <w:pStyle w:val="a6"/>
      </w:pPr>
      <w:r>
        <w:t>В почках просвет проксимальных извитых канальцев расширен. Э</w:t>
      </w:r>
      <w:r>
        <w:t>н</w:t>
      </w:r>
      <w:r>
        <w:t>дотелий капилляров клубочков имеет признаки пролиферации, ядра энд</w:t>
      </w:r>
      <w:r>
        <w:t>о</w:t>
      </w:r>
      <w:r>
        <w:t>телиальных клеток содержат нежную сеточку хроматина. Кровеносные с</w:t>
      </w:r>
      <w:r>
        <w:t>о</w:t>
      </w:r>
      <w:r>
        <w:t>суды полнокровны, стенка сосудов микроциркуляции  находится в состо</w:t>
      </w:r>
      <w:r>
        <w:t>я</w:t>
      </w:r>
      <w:r>
        <w:t xml:space="preserve">нии мукоидного набухания и фиброидного некроза. </w:t>
      </w:r>
    </w:p>
    <w:p w:rsidR="00F4654E" w:rsidRDefault="00F4654E">
      <w:pPr>
        <w:pStyle w:val="a6"/>
      </w:pPr>
      <w:r>
        <w:t>В легких перибронхиальная лимфоидная ткань слабо выражена. Ме</w:t>
      </w:r>
      <w:r>
        <w:t>ж</w:t>
      </w:r>
      <w:r>
        <w:t>дольковая соединительная ткань отечна. В толстом отделе кишечника сл</w:t>
      </w:r>
      <w:r>
        <w:t>и</w:t>
      </w:r>
      <w:r>
        <w:t>зистая утолщена, инфильтрирована лимфоидными гистиоцитарными кле</w:t>
      </w:r>
      <w:r>
        <w:t>т</w:t>
      </w:r>
      <w:r>
        <w:t>ками. В подслизистой имеются инкапсулированные  участки некроза с прилегающими к нему прослойками лимфоидной ткани, образующими иногда фолликулы. Подслизистая соединительная ткань отечна, разрыхл</w:t>
      </w:r>
      <w:r>
        <w:t>е</w:t>
      </w:r>
      <w:r>
        <w:t>на, кровеносные сосуды полн</w:t>
      </w:r>
      <w:r>
        <w:t>о</w:t>
      </w:r>
      <w:r>
        <w:t xml:space="preserve">кровны, иногда  с явлениями дистрофии. </w:t>
      </w:r>
    </w:p>
    <w:p w:rsidR="00F4654E" w:rsidRDefault="00F4654E">
      <w:pPr>
        <w:pStyle w:val="a6"/>
      </w:pPr>
      <w:r>
        <w:t>Таким образом, при смешанной инвазии по сравнению с моноинваз</w:t>
      </w:r>
      <w:r>
        <w:t>и</w:t>
      </w:r>
      <w:r>
        <w:t xml:space="preserve">ей развиваются более обширные и отягчающие патологические процессы, </w:t>
      </w:r>
      <w:r>
        <w:lastRenderedPageBreak/>
        <w:t>которые по патолого-морфологической картине наиболее выражены в п</w:t>
      </w:r>
      <w:r>
        <w:t>е</w:t>
      </w:r>
      <w:r>
        <w:t>риод интенсивного развития криптоспоридий (на 5-13 день).</w:t>
      </w:r>
    </w:p>
    <w:p w:rsidR="00F4654E" w:rsidRDefault="00F4654E">
      <w:pPr>
        <w:pStyle w:val="a4"/>
      </w:pPr>
      <w:r>
        <w:t>УДК 619:616.15:636.4.053</w:t>
      </w:r>
    </w:p>
    <w:p w:rsidR="00F4654E" w:rsidRDefault="00F4654E">
      <w:pPr>
        <w:pStyle w:val="1"/>
      </w:pPr>
      <w:bookmarkStart w:id="1111" w:name="_Toc10115330"/>
      <w:bookmarkStart w:id="1112" w:name="_Toc10731147"/>
      <w:bookmarkStart w:id="1113" w:name="_Toc10731808"/>
      <w:bookmarkStart w:id="1114" w:name="_Toc10891647"/>
      <w:bookmarkStart w:id="1115" w:name="_Toc10892322"/>
      <w:bookmarkStart w:id="1116" w:name="_Toc11390189"/>
      <w:bookmarkStart w:id="1117" w:name="_Toc11839868"/>
      <w:bookmarkStart w:id="1118" w:name="_Toc11937404"/>
      <w:r>
        <w:t>КЛИНИКО-ГЕМАТОЛОГИЧЕСКИЕ ПОКАЗАТЕЛИ  ПРИ ЭКСПЕРИМЕНТАЛЬНОМ ЭЗОФАГОСТОМОЗЕ ПОРОСЯТ</w:t>
      </w:r>
      <w:bookmarkEnd w:id="1111"/>
      <w:bookmarkEnd w:id="1112"/>
      <w:bookmarkEnd w:id="1113"/>
      <w:bookmarkEnd w:id="1114"/>
      <w:bookmarkEnd w:id="1115"/>
      <w:bookmarkEnd w:id="1116"/>
      <w:bookmarkEnd w:id="1117"/>
      <w:bookmarkEnd w:id="1118"/>
    </w:p>
    <w:p w:rsidR="00F4654E" w:rsidRDefault="00F4654E">
      <w:pPr>
        <w:pStyle w:val="2"/>
      </w:pPr>
      <w:bookmarkStart w:id="1119" w:name="_Toc10115331"/>
      <w:bookmarkStart w:id="1120" w:name="_Toc10731148"/>
      <w:bookmarkStart w:id="1121" w:name="_Toc10731809"/>
      <w:bookmarkStart w:id="1122" w:name="_Toc10891648"/>
      <w:bookmarkStart w:id="1123" w:name="_Toc10892323"/>
      <w:bookmarkStart w:id="1124" w:name="_Toc11390190"/>
      <w:bookmarkStart w:id="1125" w:name="_Toc11937405"/>
      <w:r>
        <w:t>Васильева В.А.</w:t>
      </w:r>
      <w:bookmarkEnd w:id="1119"/>
      <w:bookmarkEnd w:id="1120"/>
      <w:bookmarkEnd w:id="1121"/>
      <w:bookmarkEnd w:id="1122"/>
      <w:bookmarkEnd w:id="1123"/>
      <w:bookmarkEnd w:id="1124"/>
      <w:bookmarkEnd w:id="1125"/>
    </w:p>
    <w:p w:rsidR="00F4654E" w:rsidRDefault="00F4654E">
      <w:pPr>
        <w:pStyle w:val="a5"/>
      </w:pPr>
      <w:r>
        <w:t>Мордовский государственный университет</w:t>
      </w:r>
    </w:p>
    <w:p w:rsidR="00F4654E" w:rsidRDefault="00F4654E">
      <w:pPr>
        <w:pStyle w:val="a6"/>
      </w:pPr>
      <w:r>
        <w:t>С целью изучения патогенного действия эзофагостом на поросят были поставлены опыты по экспериментальному заражению животных в возра</w:t>
      </w:r>
      <w:r>
        <w:t>с</w:t>
      </w:r>
      <w:r>
        <w:t xml:space="preserve">те от 3-х до 60-дневного возраста. </w:t>
      </w:r>
    </w:p>
    <w:p w:rsidR="00F4654E" w:rsidRDefault="00F4654E">
      <w:pPr>
        <w:pStyle w:val="a6"/>
      </w:pPr>
      <w:r>
        <w:t>У поросят, зараженных O. dentatum, первые клинические симптомы в виде беспокойства, ухудшения аппетита появились на 2-3-й день после и</w:t>
      </w:r>
      <w:r>
        <w:t>н</w:t>
      </w:r>
      <w:r>
        <w:t>вазирования. На 4-й день инвазии у всех подопытных животных зарегис</w:t>
      </w:r>
      <w:r>
        <w:t>т</w:t>
      </w:r>
      <w:r>
        <w:t>рирована  сильная диарея. Фекалии при этом были жидкие, темно-бурого цвета, зловонные. На 6-8-й день у всех подопытных поросят отмечена д</w:t>
      </w:r>
      <w:r>
        <w:t>е</w:t>
      </w:r>
      <w:r>
        <w:t>прессия, они были малоподвижными. С 10-11-го дня интенсивность диареи уменьшалась, и на 19-й день понос прекращался.</w:t>
      </w:r>
    </w:p>
    <w:p w:rsidR="00F4654E" w:rsidRDefault="00F4654E">
      <w:pPr>
        <w:pStyle w:val="a6"/>
      </w:pPr>
      <w:r>
        <w:t>На 5-й день после инвазирования поросят появилась лихорадка, кот</w:t>
      </w:r>
      <w:r>
        <w:t>о</w:t>
      </w:r>
      <w:r>
        <w:t>рая продолжалась до 13-го дня инвазии. Максимальное увеличение темп</w:t>
      </w:r>
      <w:r>
        <w:t>е</w:t>
      </w:r>
      <w:r>
        <w:t>ратуры отмечено на 9-й день инвазии.</w:t>
      </w:r>
    </w:p>
    <w:p w:rsidR="00F4654E" w:rsidRDefault="00F4654E">
      <w:pPr>
        <w:pStyle w:val="a6"/>
      </w:pPr>
      <w:r>
        <w:t>У поросят, зараженных O.dentatum, некоторые изменения в морфол</w:t>
      </w:r>
      <w:r>
        <w:t>о</w:t>
      </w:r>
      <w:r>
        <w:t>гическом составе крови наблюдалось на 6-й день после инвазирования: к</w:t>
      </w:r>
      <w:r>
        <w:t>о</w:t>
      </w:r>
      <w:r>
        <w:t>личество эритроцитов уменьшалось до 6,07</w:t>
      </w:r>
      <w:r>
        <w:sym w:font="Symbol" w:char="F0B1"/>
      </w:r>
      <w:r>
        <w:t>0,49 млн/мкл (по сравнению с контрольной группой), количество лейкоцитов возросло до 28,1</w:t>
      </w:r>
      <w:r>
        <w:sym w:font="Symbol" w:char="F0B1"/>
      </w:r>
      <w:r>
        <w:t>0,21 тыс/мкл. Максимальное уменьшение количества эритроцитов отмечено на 12-й день после заражения эзофагостомами, когда этот показатель достиг соответственно 3,1</w:t>
      </w:r>
      <w:r>
        <w:sym w:font="Symbol" w:char="F0B1"/>
      </w:r>
      <w:r>
        <w:t>0,59 млн/мкл. Количество лейкоцитов на 12-й день достигало 32,12</w:t>
      </w:r>
      <w:r>
        <w:sym w:font="Symbol" w:char="F0B1"/>
      </w:r>
      <w:r>
        <w:t>0,17 тыс/мкл. Уровень эритроцитов на 16-й день инвазии несколько повысился, а максимальное увеличение числа лейкоцитов отм</w:t>
      </w:r>
      <w:r>
        <w:t>е</w:t>
      </w:r>
      <w:r>
        <w:t>чено на 16-й день после заражения эзофагостомозом, уровень лейкоцитов повысился до 32,31</w:t>
      </w:r>
      <w:r>
        <w:sym w:font="Symbol" w:char="F0B1"/>
      </w:r>
      <w:r>
        <w:t>0,14 тыс/мкл. В последующие дни число лейкоцитов имело тенденцию к стабилизации. На 6-й день после инвазирования эзоф</w:t>
      </w:r>
      <w:r>
        <w:t>а</w:t>
      </w:r>
      <w:r>
        <w:t>гостомами относительное к</w:t>
      </w:r>
      <w:r>
        <w:t>о</w:t>
      </w:r>
      <w:r>
        <w:t>личество эозинофилов в крови подопытных поросят повысилось до 10,3</w:t>
      </w:r>
      <w:r>
        <w:sym w:font="Symbol" w:char="F0B1"/>
      </w:r>
      <w:r>
        <w:t>0,80%, а на 12-й день достигало максимума – 12,0</w:t>
      </w:r>
      <w:r>
        <w:sym w:font="Symbol" w:char="F0B1"/>
      </w:r>
      <w:r>
        <w:t>0,96%. На 16-й и 23-й день отмечено уменьшение эозинофилов до 10,1</w:t>
      </w:r>
      <w:r>
        <w:sym w:font="Symbol" w:char="F0B1"/>
      </w:r>
      <w:r>
        <w:t xml:space="preserve"> 0,62% и 8,2</w:t>
      </w:r>
      <w:r>
        <w:sym w:font="Symbol" w:char="F0B1"/>
      </w:r>
      <w:r>
        <w:t>0,58% соответственно. На 45-й день этот показатель у подопытных поросят с</w:t>
      </w:r>
      <w:r>
        <w:t>о</w:t>
      </w:r>
      <w:r>
        <w:t>ставил 7,2</w:t>
      </w:r>
      <w:r>
        <w:sym w:font="Symbol" w:char="F0B1"/>
      </w:r>
      <w:r>
        <w:t>0,32%, а у контрольных 4,0</w:t>
      </w:r>
      <w:r>
        <w:sym w:font="Symbol" w:char="F0B1"/>
      </w:r>
      <w:r>
        <w:t>0,38%.  На 60-й день инвазии кол</w:t>
      </w:r>
      <w:r>
        <w:t>и</w:t>
      </w:r>
      <w:r>
        <w:t>чество эозинофилов приблизилось к контрольным показателям.</w:t>
      </w:r>
    </w:p>
    <w:p w:rsidR="00F4654E" w:rsidRDefault="00F4654E">
      <w:pPr>
        <w:pStyle w:val="a6"/>
      </w:pPr>
    </w:p>
    <w:p w:rsidR="00F4654E" w:rsidRDefault="00F4654E">
      <w:pPr>
        <w:pStyle w:val="a4"/>
      </w:pPr>
      <w:r>
        <w:lastRenderedPageBreak/>
        <w:t>УДК 619:616.34:636.4</w:t>
      </w:r>
    </w:p>
    <w:p w:rsidR="00F4654E" w:rsidRDefault="00F4654E">
      <w:pPr>
        <w:pStyle w:val="1"/>
      </w:pPr>
      <w:bookmarkStart w:id="1126" w:name="_Toc10115332"/>
      <w:bookmarkStart w:id="1127" w:name="_Toc10731149"/>
      <w:bookmarkStart w:id="1128" w:name="_Toc10731810"/>
      <w:bookmarkStart w:id="1129" w:name="_Toc10891649"/>
      <w:bookmarkStart w:id="1130" w:name="_Toc10892324"/>
      <w:bookmarkStart w:id="1131" w:name="_Toc11390191"/>
      <w:bookmarkStart w:id="1132" w:name="_Toc11839870"/>
      <w:bookmarkStart w:id="1133" w:name="_Toc11937406"/>
      <w:r>
        <w:t xml:space="preserve">ПАТОМОРФОЛОГИЧЕСКИЕ ИЗМЕНЕНИЯ В КИШЕЧНИКЕ </w:t>
      </w:r>
      <w:r>
        <w:br/>
        <w:t>ПОРОСЯТ ПРИ  ЭКСПЕРИМЕНТАЛЬНОМ КРИПТОСПОРИДИОЗЕ</w:t>
      </w:r>
      <w:bookmarkEnd w:id="1126"/>
      <w:bookmarkEnd w:id="1127"/>
      <w:bookmarkEnd w:id="1128"/>
      <w:bookmarkEnd w:id="1129"/>
      <w:bookmarkEnd w:id="1130"/>
      <w:bookmarkEnd w:id="1131"/>
      <w:bookmarkEnd w:id="1132"/>
      <w:bookmarkEnd w:id="1133"/>
    </w:p>
    <w:p w:rsidR="00F4654E" w:rsidRDefault="00F4654E">
      <w:pPr>
        <w:pStyle w:val="2"/>
      </w:pPr>
      <w:bookmarkStart w:id="1134" w:name="_Toc10115333"/>
      <w:bookmarkStart w:id="1135" w:name="_Toc10731150"/>
      <w:bookmarkStart w:id="1136" w:name="_Toc10731811"/>
      <w:bookmarkStart w:id="1137" w:name="_Toc10891650"/>
      <w:bookmarkStart w:id="1138" w:name="_Toc10892325"/>
      <w:bookmarkStart w:id="1139" w:name="_Toc11390192"/>
      <w:bookmarkStart w:id="1140" w:name="_Toc11937407"/>
      <w:r>
        <w:t>Васильева В.А., Родькин А.М.</w:t>
      </w:r>
      <w:bookmarkEnd w:id="1134"/>
      <w:bookmarkEnd w:id="1135"/>
      <w:bookmarkEnd w:id="1136"/>
      <w:bookmarkEnd w:id="1137"/>
      <w:bookmarkEnd w:id="1138"/>
      <w:bookmarkEnd w:id="1139"/>
      <w:bookmarkEnd w:id="1140"/>
    </w:p>
    <w:p w:rsidR="00F4654E" w:rsidRDefault="00F4654E">
      <w:pPr>
        <w:pStyle w:val="a5"/>
      </w:pPr>
      <w:r>
        <w:t>Мордовский государственный университет</w:t>
      </w:r>
    </w:p>
    <w:p w:rsidR="00B6037B" w:rsidRDefault="00F4654E">
      <w:pPr>
        <w:pStyle w:val="a6"/>
      </w:pPr>
      <w:r>
        <w:t>Экспериментальным путем мы доказали, что основные патоморфол</w:t>
      </w:r>
      <w:r>
        <w:t>о</w:t>
      </w:r>
      <w:r>
        <w:t xml:space="preserve">гические изменения обнаруживали у зараженных поросят в тонком отделе кишечника. </w:t>
      </w:r>
    </w:p>
    <w:p w:rsidR="00F4654E" w:rsidRDefault="00F4654E">
      <w:pPr>
        <w:pStyle w:val="a6"/>
      </w:pPr>
      <w:r>
        <w:t>Через 5 дней после заражения в дозе 400 тыс. ооцист  C. parvum на г</w:t>
      </w:r>
      <w:r>
        <w:t>о</w:t>
      </w:r>
      <w:r>
        <w:t>лову отмечали набухание слизистой оболочки тонкой и подвздошной к</w:t>
      </w:r>
      <w:r>
        <w:t>и</w:t>
      </w:r>
      <w:r>
        <w:t>шок, обусловленные выраженной в различной степени инфильтрацией собственной пластинки слизистой оболочки лимфоцитами и эозинофил</w:t>
      </w:r>
      <w:r>
        <w:t>а</w:t>
      </w:r>
      <w:r>
        <w:t>ми, с преобладанием последних. В энтероцитах некоторых ворсинок им</w:t>
      </w:r>
      <w:r>
        <w:t>е</w:t>
      </w:r>
      <w:r>
        <w:t>лись эндогенные стадии криптоспоридий.</w:t>
      </w:r>
    </w:p>
    <w:p w:rsidR="00F4654E" w:rsidRDefault="00F4654E">
      <w:pPr>
        <w:pStyle w:val="a6"/>
      </w:pPr>
      <w:r>
        <w:t>В последующем (через 6-8 суток) клеточная реакция усиливалась, Пейеровы бляшки – гиперплазированы. Просветы крипт были нередко расширены, со скоплением распадающихся клеток. Эндогенные стадии криптоспоридий выявляли в ворсинках кишечника. В млечных сосудах ворсинок и  между железами находили шизонты и мерозоиты.</w:t>
      </w:r>
    </w:p>
    <w:p w:rsidR="00F4654E" w:rsidRDefault="00F4654E">
      <w:pPr>
        <w:pStyle w:val="a6"/>
      </w:pPr>
      <w:r>
        <w:t>К 12 дню после заражения утолщение слизистой оболочки подвздо</w:t>
      </w:r>
      <w:r>
        <w:t>ш</w:t>
      </w:r>
      <w:r>
        <w:t>ной кишки было более выражено, просвет кишечника значительно сужа</w:t>
      </w:r>
      <w:r>
        <w:t>л</w:t>
      </w:r>
      <w:r>
        <w:t>ся. Отмечали деформацию ворсинок и гибель желез с замещением их ск</w:t>
      </w:r>
      <w:r>
        <w:t>о</w:t>
      </w:r>
      <w:r>
        <w:t>плениями из эозинофилов и лимфоцитов. Отмечали также массовое пор</w:t>
      </w:r>
      <w:r>
        <w:t>а</w:t>
      </w:r>
      <w:r>
        <w:t>жение эпителия ворсинок и желез макро-, микрогаметами и ооцистами.</w:t>
      </w:r>
    </w:p>
    <w:p w:rsidR="00F4654E" w:rsidRDefault="00F4654E">
      <w:pPr>
        <w:pStyle w:val="a6"/>
      </w:pPr>
      <w:r>
        <w:t>При исследовании экспериментальных образцов методом сканиру</w:t>
      </w:r>
      <w:r>
        <w:t>ю</w:t>
      </w:r>
      <w:r>
        <w:t>щей электронной микроскопии на поверхности различных отделов кише</w:t>
      </w:r>
      <w:r>
        <w:t>ч</w:t>
      </w:r>
      <w:r>
        <w:t>ника поросят опытных групп обнаруживали многочисленных развившихся паразитов и атрофию ворсинок слизистой оболочки кишечника.</w:t>
      </w:r>
    </w:p>
    <w:p w:rsidR="00F4654E" w:rsidRDefault="00F4654E">
      <w:pPr>
        <w:pStyle w:val="a6"/>
      </w:pPr>
      <w:r>
        <w:t>С помощью трансмиссивного микроскопа на электроннограммах эк</w:t>
      </w:r>
      <w:r>
        <w:t>с</w:t>
      </w:r>
      <w:r>
        <w:t>периментального материала установили все эндогенные стадии развива</w:t>
      </w:r>
      <w:r>
        <w:t>ю</w:t>
      </w:r>
      <w:r>
        <w:t>щегося паразита: трофозоиты, меронты, макро- и микрогамонты, зиготы, ооцисты, включая спорулированную ооцисту. Все развившиеся стадии н</w:t>
      </w:r>
      <w:r>
        <w:t>а</w:t>
      </w:r>
      <w:r>
        <w:t>ходились в зоне щеточной каемки энтероцитов. Они не были внедрены в клетку хозяина, а находились в контакте с энтероцитами, у основания ми</w:t>
      </w:r>
      <w:r>
        <w:t>к</w:t>
      </w:r>
      <w:r>
        <w:t>роворсинок. В процессе развития эндогенные стадии криптоспоридий н</w:t>
      </w:r>
      <w:r>
        <w:t>а</w:t>
      </w:r>
      <w:r>
        <w:t>ходились внутри паразитоформной вакуоли.</w:t>
      </w:r>
    </w:p>
    <w:p w:rsidR="00F4654E" w:rsidRDefault="00F4654E">
      <w:pPr>
        <w:pStyle w:val="a6"/>
      </w:pPr>
      <w:r>
        <w:t>У поросят, убитых через 16 дней после инвазирования, отмечали н</w:t>
      </w:r>
      <w:r>
        <w:t>е</w:t>
      </w:r>
      <w:r>
        <w:t>значительное восстановление структуры слизистой оболочки кишечника с сохранением в ее отдельных участках небольшого количества укороче</w:t>
      </w:r>
      <w:r>
        <w:t>н</w:t>
      </w:r>
      <w:r>
        <w:t>ных ворсинок и атрофированных желез.</w:t>
      </w:r>
    </w:p>
    <w:p w:rsidR="00B6037B" w:rsidRDefault="00B6037B">
      <w:pPr>
        <w:pStyle w:val="a6"/>
      </w:pPr>
    </w:p>
    <w:p w:rsidR="00F4654E" w:rsidRDefault="00F4654E">
      <w:pPr>
        <w:pStyle w:val="a4"/>
      </w:pPr>
      <w:r>
        <w:lastRenderedPageBreak/>
        <w:t>УДК 619:636:611+616.43</w:t>
      </w:r>
    </w:p>
    <w:p w:rsidR="00F4654E" w:rsidRDefault="00F4654E">
      <w:pPr>
        <w:pStyle w:val="1"/>
      </w:pPr>
      <w:bookmarkStart w:id="1141" w:name="_Toc10115334"/>
      <w:bookmarkStart w:id="1142" w:name="_Toc10731151"/>
      <w:bookmarkStart w:id="1143" w:name="_Toc10731812"/>
      <w:bookmarkStart w:id="1144" w:name="_Toc10891651"/>
      <w:bookmarkStart w:id="1145" w:name="_Toc10892326"/>
      <w:bookmarkStart w:id="1146" w:name="_Toc11390193"/>
      <w:bookmarkStart w:id="1147" w:name="_Toc11839872"/>
      <w:bookmarkStart w:id="1148" w:name="_Toc11937408"/>
      <w:r>
        <w:t xml:space="preserve">ПРОБЛЕМЫ ИЗУЧЕНИЯ ФЕТОПЛАЦЕНТАРНОЙ НЕДОСТАТОЧНОСТИ </w:t>
      </w:r>
      <w:r>
        <w:br/>
        <w:t>У КРУПНОГО РОГАТОГО СКОТА</w:t>
      </w:r>
      <w:bookmarkEnd w:id="1141"/>
      <w:bookmarkEnd w:id="1142"/>
      <w:bookmarkEnd w:id="1143"/>
      <w:bookmarkEnd w:id="1144"/>
      <w:bookmarkEnd w:id="1145"/>
      <w:bookmarkEnd w:id="1146"/>
      <w:bookmarkEnd w:id="1147"/>
      <w:bookmarkEnd w:id="1148"/>
    </w:p>
    <w:p w:rsidR="00F4654E" w:rsidRDefault="00F4654E">
      <w:pPr>
        <w:pStyle w:val="2"/>
      </w:pPr>
      <w:bookmarkStart w:id="1149" w:name="_Toc10115335"/>
      <w:bookmarkStart w:id="1150" w:name="_Toc10731152"/>
      <w:bookmarkStart w:id="1151" w:name="_Toc10731813"/>
      <w:bookmarkStart w:id="1152" w:name="_Toc10891652"/>
      <w:bookmarkStart w:id="1153" w:name="_Toc10892327"/>
      <w:bookmarkStart w:id="1154" w:name="_Toc11390194"/>
      <w:bookmarkStart w:id="1155" w:name="_Toc11937409"/>
      <w:r>
        <w:t>Власов С. А.</w:t>
      </w:r>
      <w:bookmarkEnd w:id="1149"/>
      <w:bookmarkEnd w:id="1150"/>
      <w:bookmarkEnd w:id="1151"/>
      <w:bookmarkEnd w:id="1152"/>
      <w:bookmarkEnd w:id="1153"/>
      <w:bookmarkEnd w:id="1154"/>
      <w:bookmarkEnd w:id="1155"/>
    </w:p>
    <w:p w:rsidR="00F4654E" w:rsidRDefault="00F4654E">
      <w:pPr>
        <w:pStyle w:val="a5"/>
      </w:pPr>
      <w:r>
        <w:t xml:space="preserve"> Воронежский государственный аграрный университет им. К.Д. Глинки</w:t>
      </w:r>
    </w:p>
    <w:p w:rsidR="00F4654E" w:rsidRDefault="00F4654E">
      <w:pPr>
        <w:pStyle w:val="a6"/>
      </w:pPr>
      <w:r>
        <w:t>Надежное снабжение населения продуктами питания отечественного производства является одной из  главных задач экономики нашей страны. Особое значение  в современных условиях  приобретает повышение кач</w:t>
      </w:r>
      <w:r>
        <w:t>е</w:t>
      </w:r>
      <w:r>
        <w:t>ства, снижение себестоимости и обеспечение конкурентноспособности продукции животноводства. Реализация этой цели возможна только при интенсивном ведении животноводства и повышении продуктивности сел</w:t>
      </w:r>
      <w:r>
        <w:t>ь</w:t>
      </w:r>
      <w:r>
        <w:t>скох</w:t>
      </w:r>
      <w:r>
        <w:t>о</w:t>
      </w:r>
      <w:r>
        <w:t xml:space="preserve">зяйственных животных. </w:t>
      </w:r>
    </w:p>
    <w:p w:rsidR="00F4654E" w:rsidRDefault="00F4654E">
      <w:pPr>
        <w:pStyle w:val="a6"/>
      </w:pPr>
      <w:r>
        <w:t>Для успешного развития молочного скота во все времена, начиная с момента приручения животных и по настоящее время, большое внимание уделялось воспроизводству стада. Сегодня в сложный период  экономич</w:t>
      </w:r>
      <w:r>
        <w:t>е</w:t>
      </w:r>
      <w:r>
        <w:t>ских и политических  преобразований, происходящих в нашей стране, пр</w:t>
      </w:r>
      <w:r>
        <w:t>о</w:t>
      </w:r>
      <w:r>
        <w:t>блема улучшения воспроизводства сельскохозяйственных животных явл</w:t>
      </w:r>
      <w:r>
        <w:t>я</w:t>
      </w:r>
      <w:r>
        <w:t>ется первостепенной задачей. Во-первых, это связано с восстановлением численности поголовья молочного скота, которое за последние годы с</w:t>
      </w:r>
      <w:r>
        <w:t>о</w:t>
      </w:r>
      <w:r>
        <w:t>кратилось в 1,7 раза,  во-вторых – обеспечением населения сырьем, моло</w:t>
      </w:r>
      <w:r>
        <w:t>ч</w:t>
      </w:r>
      <w:r>
        <w:t>ными и мясными продуктами отечественного производства и в-третьих высоким процентом заболеваемости маточного поголовья скота и низким уровнем нарождающегося молодняка. При этом наряду с неблагоприятн</w:t>
      </w:r>
      <w:r>
        <w:t>ы</w:t>
      </w:r>
      <w:r>
        <w:t>ми хозяйственно-экономическими условиями, существенным препятств</w:t>
      </w:r>
      <w:r>
        <w:t>и</w:t>
      </w:r>
      <w:r>
        <w:t>ем интенсивного ведения животноводства являются многочисленные о</w:t>
      </w:r>
      <w:r>
        <w:t>т</w:t>
      </w:r>
      <w:r>
        <w:t>рицательные факторы внешней и внутренней среды, вызывающие у ж</w:t>
      </w:r>
      <w:r>
        <w:t>и</w:t>
      </w:r>
      <w:r>
        <w:t>вотных стрессы. Они в свою очередь посредством сложной многоуровн</w:t>
      </w:r>
      <w:r>
        <w:t>е</w:t>
      </w:r>
      <w:r>
        <w:t>вой  системы регуляции организма приводят к переориентации работы н</w:t>
      </w:r>
      <w:r>
        <w:t>е</w:t>
      </w:r>
      <w:r>
        <w:t>которых функциональных систем, сопровождающихся впоследствии о</w:t>
      </w:r>
      <w:r>
        <w:t>с</w:t>
      </w:r>
      <w:r>
        <w:t>ложнением течения беременности и развитием акушерской патологии, среди которых наиболее часто встречаются задержание последа (7-17%), послеродовые эндометриты (13-25%), субинволюция матки (15-32%), функциональные нарушения яи</w:t>
      </w:r>
      <w:r>
        <w:t>ч</w:t>
      </w:r>
      <w:r>
        <w:t>ников (12-22%).</w:t>
      </w:r>
    </w:p>
    <w:p w:rsidR="00F4654E" w:rsidRDefault="00F4654E">
      <w:pPr>
        <w:pStyle w:val="a6"/>
      </w:pPr>
      <w:r>
        <w:t>Многочисленные исследования ученых, направленные на изучение  характеристики течения родов, состояния новорожденных телят, послер</w:t>
      </w:r>
      <w:r>
        <w:t>о</w:t>
      </w:r>
      <w:r>
        <w:t>дового периода у коров, их лечения и профилактику, восстановление функциональной активности яичников убедительно показывают, что теч</w:t>
      </w:r>
      <w:r>
        <w:t>е</w:t>
      </w:r>
      <w:r>
        <w:t>ние этих процессов обусловлено и во многом определяется  состоянием фетоплацентарной системы: мать-плацента-плод. Именно при изменении морфофункционального состояния этой системы, сопровождающегося н</w:t>
      </w:r>
      <w:r>
        <w:t>а</w:t>
      </w:r>
      <w:r>
        <w:t>рушением оптимального уровня обменных процессов, происходит ра</w:t>
      </w:r>
      <w:r>
        <w:t>с</w:t>
      </w:r>
      <w:r>
        <w:t xml:space="preserve">стройство регуляторного обеспечения компенсаторных механизмов целого </w:t>
      </w:r>
      <w:r>
        <w:lastRenderedPageBreak/>
        <w:t>ряда других функциональных систем организма, и создаются условия для развития патологических процессов. На сегодняшний день в ветеринарии фетоплацентарная недостаточность как нозологическая единица, находи</w:t>
      </w:r>
      <w:r>
        <w:t>т</w:t>
      </w:r>
      <w:r>
        <w:t>ся на начальном этапе ее изучения, несмотря на то, что этой проблемой отечественные ученые занимаются уже около 20 лет. И ученые и практ</w:t>
      </w:r>
      <w:r>
        <w:t>и</w:t>
      </w:r>
      <w:r>
        <w:t xml:space="preserve">ческие работники фетоплацентарную недостаточность у коров чаще всего устанавливают ретроспективно по характеру течения родов, послеродового периода и массы тела теленка при рождении, что не дает возможности своевременно диагностировать состояние фетоплацентарной системы и проводить коррекцию данной патологии у стельных животных. </w:t>
      </w:r>
    </w:p>
    <w:p w:rsidR="00F4654E" w:rsidRDefault="00F4654E">
      <w:pPr>
        <w:pStyle w:val="a6"/>
      </w:pPr>
      <w:r>
        <w:t>Разработанные учеными  методы диагностики фетоплацентарной н</w:t>
      </w:r>
      <w:r>
        <w:t>е</w:t>
      </w:r>
      <w:r>
        <w:t>достаточности у коров по показателям соотношения половых гормонов (Власов, Лободин), установлению гестозов (Авдеенко), изменению эле</w:t>
      </w:r>
      <w:r>
        <w:t>к</w:t>
      </w:r>
      <w:r>
        <w:t>тропроводности в биологически активных точках яичников и матки у стельных коров (Хижняк) и изменению показателей электрокардиографии у плода в определенные сроки беременности у животных (Скрипицин А. Ю.) не нашли широкого применения в практике из-за низкого уровня обеспеченности материально-технической базы в животноводстве и сло</w:t>
      </w:r>
      <w:r>
        <w:t>ж</w:t>
      </w:r>
      <w:r>
        <w:t>ности проведения исследований. Поэтому разработка простых, надежных и доступных диагностических методов оценки состояния фетоплацентарной системы должна занимать главенствующее место при изучении фетопл</w:t>
      </w:r>
      <w:r>
        <w:t>а</w:t>
      </w:r>
      <w:r>
        <w:t>центарной недостаточности.</w:t>
      </w:r>
    </w:p>
    <w:p w:rsidR="00F4654E" w:rsidRDefault="00F4654E">
      <w:pPr>
        <w:pStyle w:val="a6"/>
      </w:pPr>
      <w:r>
        <w:t>Путь познания всегда сложен и неизбежно сопровождается ошибками, обусловленными часто инерцией увлечения отдельными концепциями, особо претендующими на абсолютизирование какого-либо компонента в познавательном расчленении целостного организма. Поэтому постановка этой проблемы требует комплексного подхода к ее решению и предполаг</w:t>
      </w:r>
      <w:r>
        <w:t>а</w:t>
      </w:r>
      <w:r>
        <w:t>ет изучение влияния условий внешней среды на организм путем оценки функционального состояния и морфологической организации органов и тканей фетоплацентарной системы. Выявление клинических признаков, особенностей эндокринологических и биохимических показателей обмена веществ, характеризующих фетоплацентарную недостаточность, немы</w:t>
      </w:r>
      <w:r>
        <w:t>с</w:t>
      </w:r>
      <w:r>
        <w:t>лимо без изучения структурных образований плаценты, которые носят временный характер. При этом системное проведение гормональных, би</w:t>
      </w:r>
      <w:r>
        <w:t>о</w:t>
      </w:r>
      <w:r>
        <w:t>химических и морфологических исследований на высоком методическом уровне, возможно лишь при участии специалистов смежных наук. Таким образом, для изучения проблемы фетоплацентарной недостаточности н</w:t>
      </w:r>
      <w:r>
        <w:t>е</w:t>
      </w:r>
      <w:r>
        <w:t>обходимо объединение усилий большого количества ученых различного профиля.</w:t>
      </w:r>
    </w:p>
    <w:p w:rsidR="00F4654E" w:rsidRDefault="00F4654E">
      <w:pPr>
        <w:pStyle w:val="a6"/>
      </w:pPr>
      <w:r>
        <w:t>Так как фетоплацентарная недостаточность у  коров может проявлят</w:t>
      </w:r>
      <w:r>
        <w:t>ь</w:t>
      </w:r>
      <w:r>
        <w:t>ся в различные сроки стельности, то необходимо более глубоко и всест</w:t>
      </w:r>
      <w:r>
        <w:t>о</w:t>
      </w:r>
      <w:r>
        <w:t>ронне изучить физиологию беременности с использованием биохимич</w:t>
      </w:r>
      <w:r>
        <w:t>е</w:t>
      </w:r>
      <w:r>
        <w:t>ских, гормональных и морфологических  методов исследования. К сожал</w:t>
      </w:r>
      <w:r>
        <w:t>е</w:t>
      </w:r>
      <w:r>
        <w:lastRenderedPageBreak/>
        <w:t>нию, в ветеринарном акушерстве беременность у сельскохозяйственных животных, с позиций фундаментальных исследований, остается малоиз</w:t>
      </w:r>
      <w:r>
        <w:t>у</w:t>
      </w:r>
      <w:r>
        <w:t>ченной. Большинство сведений о строении и функции плаценты, предста</w:t>
      </w:r>
      <w:r>
        <w:t>в</w:t>
      </w:r>
      <w:r>
        <w:t>ленные в литературе прошлых лет в известной степени устарели. Испол</w:t>
      </w:r>
      <w:r>
        <w:t>ь</w:t>
      </w:r>
      <w:r>
        <w:t>зование современных методов исследования дает возможность более по</w:t>
      </w:r>
      <w:r>
        <w:t>л</w:t>
      </w:r>
      <w:r>
        <w:t xml:space="preserve">но осветить морфофункциональные особенности плаценты в различные сроки беременности, в том числе ее компенсаторно-приспособительные реакции в процессе роста плода и при патологических состояниях. </w:t>
      </w:r>
    </w:p>
    <w:p w:rsidR="00F4654E" w:rsidRDefault="00F4654E">
      <w:pPr>
        <w:pStyle w:val="a6"/>
      </w:pPr>
      <w:r>
        <w:t>Поскольку организм является сложноорганизованной системой, то для него характерна множественность регуляторного обеспечения компенс</w:t>
      </w:r>
      <w:r>
        <w:t>а</w:t>
      </w:r>
      <w:r>
        <w:t>торных реакций. Однако любое компенсаторное замещение функций нео</w:t>
      </w:r>
      <w:r>
        <w:t>д</w:t>
      </w:r>
      <w:r>
        <w:t>нозначно активизации интактной структуры. Именно этот вопрос является наиболее важным и сложным в изучении морфофункциональных особе</w:t>
      </w:r>
      <w:r>
        <w:t>н</w:t>
      </w:r>
      <w:r>
        <w:t>ностей плаценты и раскрытия патогенеза фетоплацентарной недостаточн</w:t>
      </w:r>
      <w:r>
        <w:t>о</w:t>
      </w:r>
      <w:r>
        <w:t>сти.</w:t>
      </w:r>
    </w:p>
    <w:p w:rsidR="00F4654E" w:rsidRDefault="00F4654E">
      <w:pPr>
        <w:pStyle w:val="a6"/>
      </w:pPr>
      <w:r>
        <w:t>Обычно при изучении того или иного процесса в организме стельных животных исследователи используют соответствующие методы и чаще всего произвольные схемы проведения опытов. Как научными подраздел</w:t>
      </w:r>
      <w:r>
        <w:t>е</w:t>
      </w:r>
      <w:r>
        <w:t>ниями, так и отдельными экспериментаторами накоплена громадная и</w:t>
      </w:r>
      <w:r>
        <w:t>н</w:t>
      </w:r>
      <w:r>
        <w:t>формация при беременности коров, которая далеко не всегда  может и</w:t>
      </w:r>
      <w:r>
        <w:t>с</w:t>
      </w:r>
      <w:r>
        <w:t>пользоваться учеными в системной оценке состояния организма. Это св</w:t>
      </w:r>
      <w:r>
        <w:t>я</w:t>
      </w:r>
      <w:r>
        <w:t>зано с тем, что отсутствуют четкие показатели критериев функциональных систем организма.</w:t>
      </w:r>
    </w:p>
    <w:p w:rsidR="00F4654E" w:rsidRPr="00B6037B" w:rsidRDefault="00F4654E">
      <w:pPr>
        <w:pStyle w:val="a6"/>
        <w:rPr>
          <w:spacing w:val="-2"/>
        </w:rPr>
      </w:pPr>
      <w:r w:rsidRPr="00B6037B">
        <w:rPr>
          <w:spacing w:val="-2"/>
        </w:rPr>
        <w:t>Известно, что биологическим системам присущи биоритмы, а ритмич</w:t>
      </w:r>
      <w:r w:rsidRPr="00B6037B">
        <w:rPr>
          <w:spacing w:val="-2"/>
        </w:rPr>
        <w:t>е</w:t>
      </w:r>
      <w:r w:rsidRPr="00B6037B">
        <w:rPr>
          <w:spacing w:val="-2"/>
        </w:rPr>
        <w:t>ский характер свойствен многим физиологическим процессам. Экспериме</w:t>
      </w:r>
      <w:r w:rsidRPr="00B6037B">
        <w:rPr>
          <w:spacing w:val="-2"/>
        </w:rPr>
        <w:t>н</w:t>
      </w:r>
      <w:r w:rsidRPr="00B6037B">
        <w:rPr>
          <w:spacing w:val="-2"/>
        </w:rPr>
        <w:t>тальными исследованиями у стельных коров установлено, что динамика п</w:t>
      </w:r>
      <w:r w:rsidRPr="00B6037B">
        <w:rPr>
          <w:spacing w:val="-2"/>
        </w:rPr>
        <w:t>о</w:t>
      </w:r>
      <w:r w:rsidRPr="00B6037B">
        <w:rPr>
          <w:spacing w:val="-2"/>
        </w:rPr>
        <w:t>ловых гормонов (эстрадиол, прогестерон), независимо от их абсолю</w:t>
      </w:r>
      <w:r w:rsidRPr="00B6037B">
        <w:rPr>
          <w:spacing w:val="-2"/>
        </w:rPr>
        <w:t>т</w:t>
      </w:r>
      <w:r w:rsidRPr="00B6037B">
        <w:rPr>
          <w:spacing w:val="-2"/>
        </w:rPr>
        <w:t>ного содержания в крови, подчинена ритму полового цикла. Так как гормоны я</w:t>
      </w:r>
      <w:r w:rsidRPr="00B6037B">
        <w:rPr>
          <w:spacing w:val="-2"/>
        </w:rPr>
        <w:t>в</w:t>
      </w:r>
      <w:r w:rsidRPr="00B6037B">
        <w:rPr>
          <w:spacing w:val="-2"/>
        </w:rPr>
        <w:t>ляются основными регуляторными факторами, обеспечивающими гарм</w:t>
      </w:r>
      <w:r w:rsidRPr="00B6037B">
        <w:rPr>
          <w:spacing w:val="-2"/>
        </w:rPr>
        <w:t>о</w:t>
      </w:r>
      <w:r w:rsidRPr="00B6037B">
        <w:rPr>
          <w:spacing w:val="-2"/>
        </w:rPr>
        <w:t>нию и интеграцию организма, то все исследования по изучению функци</w:t>
      </w:r>
      <w:r w:rsidRPr="00B6037B">
        <w:rPr>
          <w:spacing w:val="-2"/>
        </w:rPr>
        <w:t>о</w:t>
      </w:r>
      <w:r w:rsidRPr="00B6037B">
        <w:rPr>
          <w:spacing w:val="-2"/>
        </w:rPr>
        <w:t>нальных особенностей фетоплацентарной системы в течение б</w:t>
      </w:r>
      <w:r w:rsidRPr="00B6037B">
        <w:rPr>
          <w:spacing w:val="-2"/>
        </w:rPr>
        <w:t>е</w:t>
      </w:r>
      <w:r w:rsidRPr="00B6037B">
        <w:rPr>
          <w:spacing w:val="-2"/>
        </w:rPr>
        <w:t>ременности целесообразно проводить в режиме ритма полового цикла, что имеет не только теор</w:t>
      </w:r>
      <w:r w:rsidRPr="00B6037B">
        <w:rPr>
          <w:spacing w:val="-2"/>
        </w:rPr>
        <w:t>е</w:t>
      </w:r>
      <w:r w:rsidRPr="00B6037B">
        <w:rPr>
          <w:spacing w:val="-2"/>
        </w:rPr>
        <w:t>тическое значение для понимания функциональных сдвигов и раскрытия механизмов течения беременности, но и практическую знач</w:t>
      </w:r>
      <w:r w:rsidRPr="00B6037B">
        <w:rPr>
          <w:spacing w:val="-2"/>
        </w:rPr>
        <w:t>и</w:t>
      </w:r>
      <w:r w:rsidRPr="00B6037B">
        <w:rPr>
          <w:spacing w:val="-2"/>
        </w:rPr>
        <w:t>мость в деле профилактики и лечения не только фетоплацентарной недост</w:t>
      </w:r>
      <w:r w:rsidRPr="00B6037B">
        <w:rPr>
          <w:spacing w:val="-2"/>
        </w:rPr>
        <w:t>а</w:t>
      </w:r>
      <w:r w:rsidRPr="00B6037B">
        <w:rPr>
          <w:spacing w:val="-2"/>
        </w:rPr>
        <w:t>точности, но и н</w:t>
      </w:r>
      <w:r w:rsidRPr="00B6037B">
        <w:rPr>
          <w:spacing w:val="-2"/>
        </w:rPr>
        <w:t>о</w:t>
      </w:r>
      <w:r w:rsidRPr="00B6037B">
        <w:rPr>
          <w:spacing w:val="-2"/>
        </w:rPr>
        <w:t>ворожденных телят. С целью повышения эффективности работы над этой проблемой и сокращения сроков ее изуч</w:t>
      </w:r>
      <w:r w:rsidRPr="00B6037B">
        <w:rPr>
          <w:spacing w:val="-2"/>
        </w:rPr>
        <w:t>е</w:t>
      </w:r>
      <w:r w:rsidRPr="00B6037B">
        <w:rPr>
          <w:spacing w:val="-2"/>
        </w:rPr>
        <w:t>ния, необходимо создать при нау</w:t>
      </w:r>
      <w:r w:rsidRPr="00B6037B">
        <w:rPr>
          <w:spacing w:val="-2"/>
        </w:rPr>
        <w:t>ч</w:t>
      </w:r>
      <w:r w:rsidRPr="00B6037B">
        <w:rPr>
          <w:spacing w:val="-2"/>
        </w:rPr>
        <w:t>но-исследовательском институте или учебном учреждении координационный центр, который бы мог координ</w:t>
      </w:r>
      <w:r w:rsidRPr="00B6037B">
        <w:rPr>
          <w:spacing w:val="-2"/>
        </w:rPr>
        <w:t>и</w:t>
      </w:r>
      <w:r w:rsidRPr="00B6037B">
        <w:rPr>
          <w:spacing w:val="-2"/>
        </w:rPr>
        <w:t>ровать все работы в этой области, концентрировать и объединять усилия научных работников на о</w:t>
      </w:r>
      <w:r w:rsidRPr="00B6037B">
        <w:rPr>
          <w:spacing w:val="-2"/>
        </w:rPr>
        <w:t>с</w:t>
      </w:r>
      <w:r w:rsidRPr="00B6037B">
        <w:rPr>
          <w:spacing w:val="-2"/>
        </w:rPr>
        <w:t>новных направлениях, а также избегать непродуктивных дублирующих и</w:t>
      </w:r>
      <w:r w:rsidRPr="00B6037B">
        <w:rPr>
          <w:spacing w:val="-2"/>
        </w:rPr>
        <w:t>с</w:t>
      </w:r>
      <w:r w:rsidRPr="00B6037B">
        <w:rPr>
          <w:spacing w:val="-2"/>
        </w:rPr>
        <w:t>следований и работ компилятивного характ</w:t>
      </w:r>
      <w:r w:rsidRPr="00B6037B">
        <w:rPr>
          <w:spacing w:val="-2"/>
        </w:rPr>
        <w:t>е</w:t>
      </w:r>
      <w:r w:rsidRPr="00B6037B">
        <w:rPr>
          <w:spacing w:val="-2"/>
        </w:rPr>
        <w:t>ра.</w:t>
      </w:r>
    </w:p>
    <w:p w:rsidR="00F4654E" w:rsidRDefault="00F4654E">
      <w:pPr>
        <w:pStyle w:val="a6"/>
      </w:pPr>
      <w:r>
        <w:lastRenderedPageBreak/>
        <w:t>Таким образом, только комплексное проведение клинических иссл</w:t>
      </w:r>
      <w:r>
        <w:t>е</w:t>
      </w:r>
      <w:r>
        <w:t>дований, изучение функциональных и морфологических особенностей и системный подход к изучению фетоплацентарного комплекса  позволит вскрыть патогенез фетоплацентарной недостаточности и разработать э</w:t>
      </w:r>
      <w:r>
        <w:t>ф</w:t>
      </w:r>
      <w:r>
        <w:t>фективные способы ее профилактики. В связи с этим ученым и практикам необходимо более полно изучить биохимический и эндокринологический профиль в периферической крови здоровых животных и с фетоплацента</w:t>
      </w:r>
      <w:r>
        <w:t>р</w:t>
      </w:r>
      <w:r>
        <w:t>ной недостаточностью, выявить  морфофункциональные особенности пл</w:t>
      </w:r>
      <w:r>
        <w:t>а</w:t>
      </w:r>
      <w:r>
        <w:t>центы в критические периоды развития беременности, что позволит разр</w:t>
      </w:r>
      <w:r>
        <w:t>а</w:t>
      </w:r>
      <w:r>
        <w:t>ботать надежные и доступные методы оценки состояния фетоплацента</w:t>
      </w:r>
      <w:r>
        <w:t>р</w:t>
      </w:r>
      <w:r>
        <w:t>ной системы, вскрыть патогенез ее недостаточности и изыскать высокоэ</w:t>
      </w:r>
      <w:r>
        <w:t>ф</w:t>
      </w:r>
      <w:r>
        <w:t>фективные технологические способы ее профилактики и лечения.</w:t>
      </w:r>
    </w:p>
    <w:p w:rsidR="00F4654E" w:rsidRDefault="00F4654E">
      <w:pPr>
        <w:pStyle w:val="a4"/>
      </w:pPr>
      <w:r>
        <w:t>УДК 619:614.9:636.2</w:t>
      </w:r>
    </w:p>
    <w:p w:rsidR="00F4654E" w:rsidRDefault="00F4654E">
      <w:pPr>
        <w:pStyle w:val="1"/>
      </w:pPr>
      <w:bookmarkStart w:id="1156" w:name="_Toc10115338"/>
      <w:bookmarkStart w:id="1157" w:name="_Toc10731155"/>
      <w:bookmarkStart w:id="1158" w:name="_Toc10731816"/>
      <w:bookmarkStart w:id="1159" w:name="_Toc10891655"/>
      <w:bookmarkStart w:id="1160" w:name="_Toc10892330"/>
      <w:bookmarkStart w:id="1161" w:name="_Toc11390197"/>
      <w:bookmarkStart w:id="1162" w:name="_Toc11839874"/>
      <w:bookmarkStart w:id="1163" w:name="_Toc11937410"/>
      <w:r>
        <w:t>ПРОГНОЗИРОВАНИЕ СТРЕССОВОЙ СИТУАЦИИ У ТЕЛЯТ</w:t>
      </w:r>
      <w:bookmarkEnd w:id="1156"/>
      <w:bookmarkEnd w:id="1157"/>
      <w:bookmarkEnd w:id="1158"/>
      <w:bookmarkEnd w:id="1159"/>
      <w:bookmarkEnd w:id="1160"/>
      <w:bookmarkEnd w:id="1161"/>
      <w:bookmarkEnd w:id="1162"/>
      <w:bookmarkEnd w:id="1163"/>
    </w:p>
    <w:p w:rsidR="00F4654E" w:rsidRDefault="00F4654E">
      <w:pPr>
        <w:pStyle w:val="2"/>
      </w:pPr>
      <w:bookmarkStart w:id="1164" w:name="_Toc10115339"/>
      <w:bookmarkStart w:id="1165" w:name="_Toc10731156"/>
      <w:bookmarkStart w:id="1166" w:name="_Toc10731817"/>
      <w:bookmarkStart w:id="1167" w:name="_Toc10891656"/>
      <w:bookmarkStart w:id="1168" w:name="_Toc10892331"/>
      <w:bookmarkStart w:id="1169" w:name="_Toc11390198"/>
      <w:bookmarkStart w:id="1170" w:name="_Toc11937411"/>
      <w:r>
        <w:t>Ворошилова Т.Г., Семина Л.К., Маринин Е.А.</w:t>
      </w:r>
      <w:bookmarkEnd w:id="1164"/>
      <w:bookmarkEnd w:id="1165"/>
      <w:bookmarkEnd w:id="1166"/>
      <w:bookmarkEnd w:id="1167"/>
      <w:bookmarkEnd w:id="1168"/>
      <w:bookmarkEnd w:id="1169"/>
      <w:bookmarkEnd w:id="1170"/>
    </w:p>
    <w:p w:rsidR="00F4654E" w:rsidRDefault="00F4654E">
      <w:pPr>
        <w:pStyle w:val="a5"/>
      </w:pPr>
      <w:r>
        <w:t>Вологодская научно-исследовательская ветеринарная станция</w:t>
      </w:r>
    </w:p>
    <w:p w:rsidR="00F4654E" w:rsidRDefault="00F4654E">
      <w:pPr>
        <w:pStyle w:val="a6"/>
      </w:pPr>
      <w:r>
        <w:t>Для разработки этого метода в 30 телятниках молочных ферм и ко</w:t>
      </w:r>
      <w:r>
        <w:t>м</w:t>
      </w:r>
      <w:r>
        <w:t>плексов определены значения девяти факторов внешней среды и с пом</w:t>
      </w:r>
      <w:r>
        <w:t>о</w:t>
      </w:r>
      <w:r>
        <w:t>щью лейкоцитарного индекса количество телят в них со стрессовыми р</w:t>
      </w:r>
      <w:r>
        <w:t>е</w:t>
      </w:r>
      <w:r>
        <w:t>акциями. Полученные данные обработали методами корреляционного и многофакторного регрессионного анализа на персональном компьютере.</w:t>
      </w:r>
    </w:p>
    <w:p w:rsidR="00F4654E" w:rsidRDefault="00F4654E">
      <w:pPr>
        <w:pStyle w:val="a6"/>
      </w:pPr>
      <w:r>
        <w:t>Из всех учтенных факторов для построения вероятностной регресс</w:t>
      </w:r>
      <w:r>
        <w:t>и</w:t>
      </w:r>
      <w:r>
        <w:t>он</w:t>
      </w:r>
      <w:r>
        <w:softHyphen/>
        <w:t>ной модели стрессовой ситуации отобрали три фактора, оказывающие наиболь</w:t>
      </w:r>
      <w:r>
        <w:softHyphen/>
        <w:t>шее влияние на возникновение стресса и не требующих в прои</w:t>
      </w:r>
      <w:r>
        <w:t>з</w:t>
      </w:r>
      <w:r>
        <w:t>водственных условиях специальных приборов для их измерения. Это - к</w:t>
      </w:r>
      <w:r>
        <w:t>о</w:t>
      </w:r>
      <w:r>
        <w:t>личество ферм, участвующих в комплектовании телятника молодняком, удельная кубатура помещений и температура воздуха в них.</w:t>
      </w:r>
    </w:p>
    <w:p w:rsidR="00F4654E" w:rsidRDefault="00F4654E">
      <w:pPr>
        <w:pStyle w:val="a6"/>
      </w:pPr>
      <w:r>
        <w:t>Установлено, что влияние указанных трех факторов на возникновение стресса у телят довольно высокое и составляет 51,4 % (Р&gt;0,999), коэффи</w:t>
      </w:r>
      <w:r>
        <w:softHyphen/>
        <w:t>циент множественной корреляции равен 0,717 (Р&gt;0,999).  Из них более сильное влияние оказывает удельная кубатура помещения (r = –0,489, ст</w:t>
      </w:r>
      <w:r>
        <w:t>е</w:t>
      </w:r>
      <w:r>
        <w:t>пень влияния 23,9%), менее - температура воздуха в них (r = –0,403, 18,5%) и спо</w:t>
      </w:r>
      <w:r>
        <w:softHyphen/>
        <w:t>соб комплектования телятников (r = 0,367, 9,0 %).</w:t>
      </w:r>
    </w:p>
    <w:p w:rsidR="00F4654E" w:rsidRDefault="00F4654E">
      <w:pPr>
        <w:pStyle w:val="a6"/>
      </w:pPr>
      <w:r>
        <w:rPr>
          <w:color w:val="000000"/>
        </w:rPr>
        <w:t>Выявлена также связь стрессовой ситуации с микробным загрязнени</w:t>
      </w:r>
      <w:r>
        <w:rPr>
          <w:color w:val="000000"/>
        </w:rPr>
        <w:softHyphen/>
        <w:t>ем воздуха, концентрацией аммиака, относительной влажностью и по</w:t>
      </w:r>
      <w:r>
        <w:rPr>
          <w:color w:val="000000"/>
        </w:rPr>
        <w:t>д</w:t>
      </w:r>
      <w:r>
        <w:rPr>
          <w:color w:val="000000"/>
        </w:rPr>
        <w:t>виж</w:t>
      </w:r>
      <w:r>
        <w:rPr>
          <w:color w:val="000000"/>
        </w:rPr>
        <w:softHyphen/>
        <w:t>ностью воздуха. Однако эти факторы в модель не вошли, так как вли</w:t>
      </w:r>
      <w:r>
        <w:rPr>
          <w:color w:val="000000"/>
        </w:rPr>
        <w:t>я</w:t>
      </w:r>
      <w:r>
        <w:rPr>
          <w:color w:val="000000"/>
        </w:rPr>
        <w:t>ние их на стрессовую ситуацию менее выражено, а измерение их для пра</w:t>
      </w:r>
      <w:r>
        <w:rPr>
          <w:color w:val="000000"/>
        </w:rPr>
        <w:t>к</w:t>
      </w:r>
      <w:r>
        <w:rPr>
          <w:color w:val="000000"/>
        </w:rPr>
        <w:t>тических</w:t>
      </w:r>
      <w:r>
        <w:t xml:space="preserve"> </w:t>
      </w:r>
      <w:r>
        <w:rPr>
          <w:color w:val="000000"/>
        </w:rPr>
        <w:t>специалистов представляет определенные трудности.</w:t>
      </w:r>
    </w:p>
    <w:p w:rsidR="00F4654E" w:rsidRDefault="00F4654E">
      <w:pPr>
        <w:pStyle w:val="a6"/>
      </w:pPr>
      <w:r>
        <w:rPr>
          <w:color w:val="000000"/>
        </w:rPr>
        <w:t>Полученные при регрессионном анализе коэффициенты регрессии д</w:t>
      </w:r>
      <w:r>
        <w:rPr>
          <w:color w:val="000000"/>
        </w:rPr>
        <w:t>а</w:t>
      </w:r>
      <w:r>
        <w:rPr>
          <w:color w:val="000000"/>
        </w:rPr>
        <w:t>ли возможность</w:t>
      </w:r>
      <w:r>
        <w:t xml:space="preserve"> </w:t>
      </w:r>
      <w:r>
        <w:rPr>
          <w:color w:val="000000"/>
        </w:rPr>
        <w:t xml:space="preserve">построить модель стрессовой ситуации в виде уравнения прямой регрессии: </w:t>
      </w:r>
      <w:r>
        <w:rPr>
          <w:i/>
          <w:color w:val="000000"/>
        </w:rPr>
        <w:t>y</w:t>
      </w:r>
      <w:r>
        <w:rPr>
          <w:color w:val="000000"/>
        </w:rPr>
        <w:t xml:space="preserve"> = 124,68 +6,16</w:t>
      </w:r>
      <w:r>
        <w:rPr>
          <w:i/>
          <w:color w:val="000000"/>
        </w:rPr>
        <w:t>х</w:t>
      </w:r>
      <w:r>
        <w:rPr>
          <w:color w:val="000000"/>
          <w:vertAlign w:val="subscript"/>
        </w:rPr>
        <w:t>1</w:t>
      </w:r>
      <w:r>
        <w:rPr>
          <w:color w:val="000000"/>
        </w:rPr>
        <w:t>-1,50</w:t>
      </w:r>
      <w:r>
        <w:rPr>
          <w:i/>
          <w:color w:val="000000"/>
        </w:rPr>
        <w:t>х</w:t>
      </w:r>
      <w:r>
        <w:rPr>
          <w:i/>
          <w:color w:val="000000"/>
          <w:vertAlign w:val="subscript"/>
        </w:rPr>
        <w:t>2</w:t>
      </w:r>
      <w:r>
        <w:rPr>
          <w:i/>
          <w:color w:val="000000"/>
        </w:rPr>
        <w:t xml:space="preserve"> </w:t>
      </w:r>
      <w:r>
        <w:rPr>
          <w:color w:val="000000"/>
        </w:rPr>
        <w:t>-5,12</w:t>
      </w:r>
      <w:r>
        <w:rPr>
          <w:i/>
          <w:color w:val="000000"/>
        </w:rPr>
        <w:t>х</w:t>
      </w:r>
      <w:r>
        <w:rPr>
          <w:color w:val="000000"/>
          <w:vertAlign w:val="subscript"/>
        </w:rPr>
        <w:t>3</w:t>
      </w:r>
      <w:r>
        <w:rPr>
          <w:color w:val="000000"/>
        </w:rPr>
        <w:t xml:space="preserve">, где </w:t>
      </w:r>
      <w:r>
        <w:rPr>
          <w:i/>
          <w:color w:val="000000"/>
        </w:rPr>
        <w:t>у</w:t>
      </w:r>
      <w:r>
        <w:rPr>
          <w:color w:val="000000"/>
        </w:rPr>
        <w:t xml:space="preserve">-процент телят в </w:t>
      </w:r>
      <w:r>
        <w:rPr>
          <w:color w:val="000000"/>
        </w:rPr>
        <w:lastRenderedPageBreak/>
        <w:t>стрессе, 124,68 - свободный член уравнения, 6,16; -1,50; -5,12 - коэффиц</w:t>
      </w:r>
      <w:r>
        <w:rPr>
          <w:color w:val="000000"/>
        </w:rPr>
        <w:t>и</w:t>
      </w:r>
      <w:r>
        <w:rPr>
          <w:color w:val="000000"/>
        </w:rPr>
        <w:t xml:space="preserve">енты регрессии, </w:t>
      </w:r>
      <w:r>
        <w:rPr>
          <w:i/>
          <w:color w:val="000000"/>
        </w:rPr>
        <w:t>х</w:t>
      </w:r>
      <w:r>
        <w:rPr>
          <w:color w:val="000000"/>
          <w:vertAlign w:val="subscript"/>
        </w:rPr>
        <w:t>1</w:t>
      </w:r>
      <w:r>
        <w:rPr>
          <w:color w:val="000000"/>
        </w:rPr>
        <w:t xml:space="preserve"> - количество ферм, участвующих в комплектовании т</w:t>
      </w:r>
      <w:r>
        <w:rPr>
          <w:color w:val="000000"/>
        </w:rPr>
        <w:t>е</w:t>
      </w:r>
      <w:r>
        <w:rPr>
          <w:color w:val="000000"/>
        </w:rPr>
        <w:t>лятника</w:t>
      </w:r>
      <w:r>
        <w:t xml:space="preserve"> </w:t>
      </w:r>
      <w:r>
        <w:rPr>
          <w:color w:val="000000"/>
        </w:rPr>
        <w:t xml:space="preserve">молодняком, </w:t>
      </w:r>
      <w:r>
        <w:rPr>
          <w:i/>
          <w:color w:val="000000"/>
        </w:rPr>
        <w:t>х</w:t>
      </w:r>
      <w:r>
        <w:rPr>
          <w:color w:val="000000"/>
          <w:vertAlign w:val="subscript"/>
        </w:rPr>
        <w:t>2</w:t>
      </w:r>
      <w:r>
        <w:rPr>
          <w:color w:val="000000"/>
        </w:rPr>
        <w:t xml:space="preserve"> - удельная кубатура помещения, м³/гол., </w:t>
      </w:r>
      <w:r>
        <w:rPr>
          <w:i/>
          <w:color w:val="000000"/>
        </w:rPr>
        <w:t>х</w:t>
      </w:r>
      <w:r>
        <w:rPr>
          <w:color w:val="000000"/>
          <w:vertAlign w:val="subscript"/>
        </w:rPr>
        <w:t>3</w:t>
      </w:r>
      <w:r>
        <w:rPr>
          <w:color w:val="000000"/>
        </w:rPr>
        <w:t xml:space="preserve"> - те</w:t>
      </w:r>
      <w:r>
        <w:rPr>
          <w:color w:val="000000"/>
        </w:rPr>
        <w:t>м</w:t>
      </w:r>
      <w:r>
        <w:rPr>
          <w:color w:val="000000"/>
        </w:rPr>
        <w:t>пература воздуха в нем, °С.</w:t>
      </w:r>
    </w:p>
    <w:p w:rsidR="00F4654E" w:rsidRDefault="00F4654E">
      <w:pPr>
        <w:pStyle w:val="a6"/>
      </w:pPr>
      <w:r>
        <w:rPr>
          <w:color w:val="000000"/>
        </w:rPr>
        <w:t>Модель достаточно информативна и статистически достоверна, так как влияние факторов на стрессовую ситуацию составляет 51,4 % при в</w:t>
      </w:r>
      <w:r>
        <w:rPr>
          <w:color w:val="000000"/>
        </w:rPr>
        <w:t>ы</w:t>
      </w:r>
      <w:r>
        <w:rPr>
          <w:color w:val="000000"/>
        </w:rPr>
        <w:t>соком уровне вероятности (Р&gt;0,999). Следовательно, модель может быть использо</w:t>
      </w:r>
      <w:r>
        <w:rPr>
          <w:color w:val="000000"/>
        </w:rPr>
        <w:softHyphen/>
        <w:t xml:space="preserve">вана для прогноза стрессовой ситуации при задаваемых факторах </w:t>
      </w:r>
      <w:r>
        <w:rPr>
          <w:i/>
          <w:color w:val="000000"/>
        </w:rPr>
        <w:t>x</w:t>
      </w:r>
      <w:r>
        <w:rPr>
          <w:color w:val="000000"/>
          <w:vertAlign w:val="subscript"/>
        </w:rPr>
        <w:t>1</w:t>
      </w:r>
      <w:r>
        <w:rPr>
          <w:color w:val="000000"/>
        </w:rPr>
        <w:t xml:space="preserve">, </w:t>
      </w:r>
      <w:r>
        <w:rPr>
          <w:i/>
          <w:color w:val="000000"/>
        </w:rPr>
        <w:t>х</w:t>
      </w:r>
      <w:r>
        <w:rPr>
          <w:color w:val="000000"/>
          <w:vertAlign w:val="subscript"/>
        </w:rPr>
        <w:t>2</w:t>
      </w:r>
      <w:r>
        <w:rPr>
          <w:color w:val="000000"/>
        </w:rPr>
        <w:t xml:space="preserve">, </w:t>
      </w:r>
      <w:r>
        <w:rPr>
          <w:i/>
          <w:color w:val="000000"/>
        </w:rPr>
        <w:t>x</w:t>
      </w:r>
      <w:r>
        <w:rPr>
          <w:color w:val="000000"/>
          <w:vertAlign w:val="subscript"/>
        </w:rPr>
        <w:t>3</w:t>
      </w:r>
      <w:r>
        <w:rPr>
          <w:color w:val="000000"/>
        </w:rPr>
        <w:t>.</w:t>
      </w:r>
      <w:r>
        <w:t xml:space="preserve"> </w:t>
      </w:r>
      <w:r>
        <w:rPr>
          <w:color w:val="000000"/>
        </w:rPr>
        <w:t>Если вместо "</w:t>
      </w:r>
      <w:r>
        <w:rPr>
          <w:i/>
          <w:color w:val="000000"/>
        </w:rPr>
        <w:t>х</w:t>
      </w:r>
      <w:r>
        <w:rPr>
          <w:color w:val="000000"/>
        </w:rPr>
        <w:t>" поставить в уравнение значения факторов, имеющихся в том или ином телятнике, и решить его, то можно судить в среднем о вероятной стрессовой ситуации в данных условиях.</w:t>
      </w:r>
    </w:p>
    <w:p w:rsidR="00F4654E" w:rsidRDefault="00F4654E">
      <w:pPr>
        <w:pStyle w:val="a6"/>
      </w:pPr>
      <w:r>
        <w:t>Учитывая значительное влияние удельной кубатуры на формирование многих параметров внутренней среды телятников и возникновению стре</w:t>
      </w:r>
      <w:r>
        <w:t>с</w:t>
      </w:r>
      <w:r>
        <w:t>са у молодняка, можно построить упрощенную модель стрессовой ситу</w:t>
      </w:r>
      <w:r>
        <w:t>а</w:t>
      </w:r>
      <w:r>
        <w:t xml:space="preserve">ции: </w:t>
      </w:r>
      <w:r>
        <w:rPr>
          <w:i/>
        </w:rPr>
        <w:t>у</w:t>
      </w:r>
      <w:r>
        <w:t xml:space="preserve"> = 71,8-2,19</w:t>
      </w:r>
      <w:r>
        <w:rPr>
          <w:i/>
        </w:rPr>
        <w:t>х</w:t>
      </w:r>
      <w:r>
        <w:t xml:space="preserve">, где </w:t>
      </w:r>
      <w:r>
        <w:rPr>
          <w:i/>
        </w:rPr>
        <w:t>у</w:t>
      </w:r>
      <w:r>
        <w:t xml:space="preserve"> - процент телят в стрессе, 71,8 – свободный член, 2,19 - коэффициент регрессии, </w:t>
      </w:r>
      <w:r>
        <w:rPr>
          <w:i/>
        </w:rPr>
        <w:t>х</w:t>
      </w:r>
      <w:r>
        <w:t xml:space="preserve"> - удельная кубатура в м</w:t>
      </w:r>
      <w:r>
        <w:rPr>
          <w:vertAlign w:val="superscript"/>
        </w:rPr>
        <w:t>3</w:t>
      </w:r>
      <w:r>
        <w:t>/ гол.</w:t>
      </w:r>
    </w:p>
    <w:p w:rsidR="00F4654E" w:rsidRDefault="00F4654E">
      <w:pPr>
        <w:pStyle w:val="a6"/>
      </w:pPr>
      <w:r>
        <w:t>Если вместо "</w:t>
      </w:r>
      <w:r>
        <w:rPr>
          <w:i/>
        </w:rPr>
        <w:t>х</w:t>
      </w:r>
      <w:r>
        <w:t>" подставить значение удельной кубатуры конкретного телят</w:t>
      </w:r>
      <w:r>
        <w:softHyphen/>
        <w:t>ника и решить уравнение, то ориентировочно можно судить об ож</w:t>
      </w:r>
      <w:r>
        <w:t>и</w:t>
      </w:r>
      <w:r>
        <w:t>даемой стрессовой ситуации в этих условиях.</w:t>
      </w:r>
    </w:p>
    <w:p w:rsidR="00F4654E" w:rsidRDefault="00F4654E">
      <w:pPr>
        <w:pStyle w:val="a6"/>
      </w:pPr>
      <w:r>
        <w:t>При прогнозировании стрессовой ситуации предлагаемым методом не</w:t>
      </w:r>
      <w:r>
        <w:softHyphen/>
        <w:t>обходимо иметь в виду и наличие других неучтенных в рассматриваемой мо</w:t>
      </w:r>
      <w:r>
        <w:softHyphen/>
        <w:t>дели стресс-факторов (высокие влажность, концентрация аммиака и микробное загрязнение воздуха, низкая естественная освещенность, чре</w:t>
      </w:r>
      <w:r>
        <w:t>з</w:t>
      </w:r>
      <w:r>
        <w:t>мерный шум, недостаточный фронт кормления, частые перегруппировки и т.д.).  Когда выявляется действие дополнительных стресс-факторов, нео</w:t>
      </w:r>
      <w:r>
        <w:t>б</w:t>
      </w:r>
      <w:r>
        <w:t>ходимо в полу</w:t>
      </w:r>
      <w:r>
        <w:softHyphen/>
        <w:t>ченный прогноз внести некоторые коррективы в сторону увеличения пока</w:t>
      </w:r>
      <w:r>
        <w:softHyphen/>
        <w:t>зателя стрессовой ситуации.</w:t>
      </w:r>
    </w:p>
    <w:p w:rsidR="00F4654E" w:rsidRDefault="00F4654E">
      <w:pPr>
        <w:pStyle w:val="a6"/>
      </w:pPr>
      <w:r>
        <w:t>Прогнозирование стрессовой ситуации окажет помощь специалистам при эпизоотологическом обследовании ферм в связи с массовым заболева</w:t>
      </w:r>
      <w:r>
        <w:softHyphen/>
        <w:t>нием молодняка и низкой эффективностью вакцинопрофилактики. Поле</w:t>
      </w:r>
      <w:r>
        <w:t>з</w:t>
      </w:r>
      <w:r>
        <w:t>но также оценить стрессовую ситуацию во всех случаях перед проведен</w:t>
      </w:r>
      <w:r>
        <w:t>и</w:t>
      </w:r>
      <w:r>
        <w:t>ем вакцина</w:t>
      </w:r>
      <w:r>
        <w:softHyphen/>
        <w:t>ции молодняка.</w:t>
      </w:r>
    </w:p>
    <w:p w:rsidR="00F4654E" w:rsidRDefault="00F4654E">
      <w:pPr>
        <w:pStyle w:val="a4"/>
      </w:pPr>
      <w:r>
        <w:t>УДК 619:616-008.9:636.32/.38</w:t>
      </w:r>
    </w:p>
    <w:p w:rsidR="00F4654E" w:rsidRDefault="00F4654E">
      <w:pPr>
        <w:pStyle w:val="1"/>
      </w:pPr>
      <w:bookmarkStart w:id="1171" w:name="_Toc10115336"/>
      <w:bookmarkStart w:id="1172" w:name="_Toc10731153"/>
      <w:bookmarkStart w:id="1173" w:name="_Toc10731814"/>
      <w:bookmarkStart w:id="1174" w:name="_Toc10891653"/>
      <w:bookmarkStart w:id="1175" w:name="_Toc10892328"/>
      <w:bookmarkStart w:id="1176" w:name="_Toc11390195"/>
      <w:bookmarkStart w:id="1177" w:name="_Toc11839876"/>
      <w:bookmarkStart w:id="1178" w:name="_Toc11937412"/>
      <w:r>
        <w:t>ТЕЧЕНИЕ ЭНЗООТИЧЕСКОЙ АТАКСИИ ЯГНЯТ В СОВРЕМЕННЫХ УСЛОВИЯХ ВЕДЕНИЯ ОВЦЕВОДСТВА</w:t>
      </w:r>
      <w:bookmarkEnd w:id="1171"/>
      <w:bookmarkEnd w:id="1172"/>
      <w:bookmarkEnd w:id="1173"/>
      <w:bookmarkEnd w:id="1174"/>
      <w:bookmarkEnd w:id="1175"/>
      <w:bookmarkEnd w:id="1176"/>
      <w:bookmarkEnd w:id="1177"/>
      <w:bookmarkEnd w:id="1178"/>
    </w:p>
    <w:p w:rsidR="00F4654E" w:rsidRDefault="00F4654E">
      <w:pPr>
        <w:pStyle w:val="2"/>
      </w:pPr>
      <w:bookmarkStart w:id="1179" w:name="_Toc10115337"/>
      <w:bookmarkStart w:id="1180" w:name="_Toc10731154"/>
      <w:bookmarkStart w:id="1181" w:name="_Toc10731815"/>
      <w:bookmarkStart w:id="1182" w:name="_Toc10891654"/>
      <w:bookmarkStart w:id="1183" w:name="_Toc10892329"/>
      <w:bookmarkStart w:id="1184" w:name="_Toc11390196"/>
      <w:bookmarkStart w:id="1185" w:name="_Toc11937413"/>
      <w:r>
        <w:t>Водолазский М.Г., Шкурин А.И.*</w:t>
      </w:r>
      <w:bookmarkEnd w:id="1179"/>
      <w:bookmarkEnd w:id="1180"/>
      <w:bookmarkEnd w:id="1181"/>
      <w:bookmarkEnd w:id="1182"/>
      <w:bookmarkEnd w:id="1183"/>
      <w:bookmarkEnd w:id="1184"/>
      <w:bookmarkEnd w:id="1185"/>
    </w:p>
    <w:p w:rsidR="00F4654E" w:rsidRDefault="00F4654E">
      <w:pPr>
        <w:pStyle w:val="a5"/>
      </w:pPr>
      <w:r>
        <w:t>Ставропольский НИИЖК</w:t>
      </w:r>
      <w:r>
        <w:br/>
        <w:t>*Ставропольский государственный аграрный университет</w:t>
      </w:r>
    </w:p>
    <w:p w:rsidR="00F4654E" w:rsidRDefault="00F4654E">
      <w:pPr>
        <w:pStyle w:val="a6"/>
      </w:pPr>
      <w:r>
        <w:t>С середины 80-х гг. прошлого столетия в колхозе им. «1 Мая» Нов</w:t>
      </w:r>
      <w:r>
        <w:t>о</w:t>
      </w:r>
      <w:r>
        <w:t>селецкого района Ставропольского края периодически регистрируется з</w:t>
      </w:r>
      <w:r>
        <w:t>а</w:t>
      </w:r>
      <w:r>
        <w:t xml:space="preserve">болевание молодняка овец, приводящее к их массовому падежу. В 1987 г. </w:t>
      </w:r>
      <w:r>
        <w:lastRenderedPageBreak/>
        <w:t>во время острой вспышки заболевания ягнят комиссия, созданная для ра</w:t>
      </w:r>
      <w:r>
        <w:t>с</w:t>
      </w:r>
      <w:r>
        <w:t>следования причин падежа, пришла к заключению, что данное заболевание является беломышечной болезнью. Диагноз был поставлен, несмотря на тот факт, что в органах павших животных содержание селена было в пр</w:t>
      </w:r>
      <w:r>
        <w:t>е</w:t>
      </w:r>
      <w:r>
        <w:t>делах нормы. Специалисты сельхозпредприятия проводили мероприятия по профилактике и лечению данного заболевания, однако, применение с</w:t>
      </w:r>
      <w:r>
        <w:t>е</w:t>
      </w:r>
      <w:r>
        <w:t xml:space="preserve">ленита натрия не давало терапевтического эффекта. </w:t>
      </w:r>
    </w:p>
    <w:p w:rsidR="00F4654E" w:rsidRDefault="00F4654E">
      <w:pPr>
        <w:pStyle w:val="a6"/>
      </w:pPr>
      <w:r>
        <w:t>С марта 2002 г. отмечается очередная вспышка массового заболевания ягнят. Болезнь проявляется в двух маточных отарах овец из трех име</w:t>
      </w:r>
      <w:r>
        <w:t>ю</w:t>
      </w:r>
      <w:r>
        <w:t>щихся в хозяйстве. В одной отаре заболеваемость ягнят составляет более 90 %, в другой – заболевает около 20-30 % нарождающегося поголовья, в то время как в третьей отаре – заболевание молодняка овец не регистрир</w:t>
      </w:r>
      <w:r>
        <w:t>у</w:t>
      </w:r>
      <w:r>
        <w:t>ется. Особенностью течения заболевания в текущем году является то, что болезнь проявляется с первых дней жизни ягнят, в то время как в прошлые годы вспышки заболевания возникали, главным образом, при выгоне ж</w:t>
      </w:r>
      <w:r>
        <w:t>и</w:t>
      </w:r>
      <w:r>
        <w:t xml:space="preserve">вотных на пастбище в теплые солнечные дни. </w:t>
      </w:r>
    </w:p>
    <w:p w:rsidR="00F4654E" w:rsidRDefault="00F4654E">
      <w:pPr>
        <w:pStyle w:val="a6"/>
      </w:pPr>
      <w:r>
        <w:t>При клиническом исследовании больных ягнят первых дней жизни выявляется характерная «быкообразная поза» животных: больной ягненок выгибает вверх спину, вытягивает вниз шею, широко расставляет конечн</w:t>
      </w:r>
      <w:r>
        <w:t>о</w:t>
      </w:r>
      <w:r>
        <w:t>сти. В этот момент можно наблюдать пучеглазие и движение назад. Уст</w:t>
      </w:r>
      <w:r>
        <w:t>а</w:t>
      </w:r>
      <w:r>
        <w:t>навливается сильная мышечная дрожь. При движении наблюдается ата</w:t>
      </w:r>
      <w:r>
        <w:t>к</w:t>
      </w:r>
      <w:r>
        <w:t>сия, ходульная походка. У лежащих животных отмечается маятникообра</w:t>
      </w:r>
      <w:r>
        <w:t>з</w:t>
      </w:r>
      <w:r>
        <w:t xml:space="preserve">ное покачивание головы. </w:t>
      </w:r>
    </w:p>
    <w:p w:rsidR="00F4654E" w:rsidRDefault="00F4654E">
      <w:pPr>
        <w:pStyle w:val="a6"/>
      </w:pPr>
      <w:r>
        <w:t>Особенностью заболевания является высокая возбудимость больных животных. Вспугнутые ягнята резко вскакивают, пробегают небольшое расстояние и падают из-за выраженных клонических резких непроизвол</w:t>
      </w:r>
      <w:r>
        <w:t>ь</w:t>
      </w:r>
      <w:r>
        <w:t xml:space="preserve">ных сокращений мышц, переходящих затем в тонические судороги. Во время приступов у животных частота дыхания достигает 70-90 движений в минуту, пульса – 200 ударов в минуту. Температура тела ягнят находится в пределах нормы. У всех больных животных отмечается диарея. </w:t>
      </w:r>
    </w:p>
    <w:p w:rsidR="00F4654E" w:rsidRDefault="00F4654E">
      <w:pPr>
        <w:pStyle w:val="a6"/>
      </w:pPr>
      <w:r>
        <w:t>После незначительной прогонки симптомы заболевания резко усил</w:t>
      </w:r>
      <w:r>
        <w:t>и</w:t>
      </w:r>
      <w:r>
        <w:t>ваются: развивается резко выраженная атаксия, больные ягнята широко расставляют конечности, выгибают спину, при этом блеют, а затем падают в результате появления клонических и тонических судорог. Пролежав н</w:t>
      </w:r>
      <w:r>
        <w:t>е</w:t>
      </w:r>
      <w:r>
        <w:t xml:space="preserve">сколько минут, животные поднимаются и, часто, внешне не проявляют признаков заболевания. </w:t>
      </w:r>
    </w:p>
    <w:p w:rsidR="00F4654E" w:rsidRDefault="00F4654E">
      <w:pPr>
        <w:pStyle w:val="a6"/>
      </w:pPr>
      <w:r>
        <w:t>К месячному возрасту в клинической картине преобладают признаки атаксии, развиваются парезы конечностей, мышц шеи. После прогонки о</w:t>
      </w:r>
      <w:r>
        <w:t>т</w:t>
      </w:r>
      <w:r>
        <w:t xml:space="preserve">мечается выраженная одышка и тахикардия. </w:t>
      </w:r>
    </w:p>
    <w:p w:rsidR="00F4654E" w:rsidRDefault="00F4654E">
      <w:pPr>
        <w:pStyle w:val="a6"/>
      </w:pPr>
      <w:r>
        <w:t>Гибнут животные в боковом положении тела при явлениях клонич</w:t>
      </w:r>
      <w:r>
        <w:t>е</w:t>
      </w:r>
      <w:r>
        <w:t>ских и тонических судорог, с запрокинутой на спину головой, совершая плавательные движения конечностями.</w:t>
      </w:r>
    </w:p>
    <w:p w:rsidR="00F4654E" w:rsidRDefault="00F4654E">
      <w:pPr>
        <w:pStyle w:val="a6"/>
      </w:pPr>
      <w:r>
        <w:lastRenderedPageBreak/>
        <w:t>В процессе патологоанатомического вскрытия трупов погибших ягнят регистрируются отек и дистрофические изменения в головном мозге, ги</w:t>
      </w:r>
      <w:r>
        <w:t>д</w:t>
      </w:r>
      <w:r>
        <w:t>роперикардит, дряблость мышц, застойные явления во внутренних орг</w:t>
      </w:r>
      <w:r>
        <w:t>а</w:t>
      </w:r>
      <w:r>
        <w:t>нах. Отмечаются воспалительные или дистрофические процессы в печени, почках, атрофия селезенки и гастроэнтериты.</w:t>
      </w:r>
    </w:p>
    <w:p w:rsidR="00F4654E" w:rsidRDefault="00F4654E">
      <w:pPr>
        <w:pStyle w:val="a6"/>
      </w:pPr>
      <w:r>
        <w:t>Анализ рационов кормления лактирующих овцематок, после опред</w:t>
      </w:r>
      <w:r>
        <w:t>е</w:t>
      </w:r>
      <w:r>
        <w:t>ления фактического содержания элементов питания в кормах, показал, что потребность маток всех ферм не обеспечена по уровню обменной энергии и переваримого протеина, однако, в суточном количестве корма овец н</w:t>
      </w:r>
      <w:r>
        <w:t>е</w:t>
      </w:r>
      <w:r>
        <w:t xml:space="preserve">благополучной отары эти показатели выше, чем у других животных. Это способствовало тому, что в расчете на одну кормовую единицу овцематки, у которых потомство проявляет признаки заболевания, оказались меньше обеспечены кальцием, фосфором и медью. </w:t>
      </w:r>
    </w:p>
    <w:p w:rsidR="00F4654E" w:rsidRDefault="00F4654E">
      <w:pPr>
        <w:pStyle w:val="a6"/>
      </w:pPr>
      <w:r>
        <w:t>Кальциево-фосфорное отношение рациона маток всех ферм нарушено за счет большого недостатка фосфора в суточном количестве корма овец (в 3,8-4,7 раз ниже потребности). К тому же в рационе овцематок неблагоп</w:t>
      </w:r>
      <w:r>
        <w:t>о</w:t>
      </w:r>
      <w:r>
        <w:t xml:space="preserve">лучной отары установлен и значительный избыток антагонистов фосфора - калия (на 85%) и марганца (на 71%). </w:t>
      </w:r>
    </w:p>
    <w:p w:rsidR="00F4654E" w:rsidRDefault="00F4654E">
      <w:pPr>
        <w:pStyle w:val="a6"/>
      </w:pPr>
      <w:r>
        <w:t>В суточном количестве корма животных всех ферм определенно н</w:t>
      </w:r>
      <w:r>
        <w:t>е</w:t>
      </w:r>
      <w:r>
        <w:t>достаточное содержание меди. В меньшей степени обеспечены медью р</w:t>
      </w:r>
      <w:r>
        <w:t>а</w:t>
      </w:r>
      <w:r>
        <w:t xml:space="preserve">ционы маток неблагополучных отар (32 - 40% от потребности), против 70% у овцематок благополучной фермы. </w:t>
      </w:r>
    </w:p>
    <w:p w:rsidR="00F4654E" w:rsidRDefault="00F4654E">
      <w:pPr>
        <w:pStyle w:val="a6"/>
      </w:pPr>
      <w:r>
        <w:t>По содержанию каротина беден только рацион овцематок, у которых потомство массово проявляет признаки заболевания. В рационе маток всех ферм, и, особенно, в неблагополучной отаре установлен значительный и</w:t>
      </w:r>
      <w:r>
        <w:t>з</w:t>
      </w:r>
      <w:r>
        <w:t xml:space="preserve">быток витамина Е. </w:t>
      </w:r>
    </w:p>
    <w:p w:rsidR="00F4654E" w:rsidRPr="00B6037B" w:rsidRDefault="00F4654E">
      <w:pPr>
        <w:pStyle w:val="a6"/>
        <w:rPr>
          <w:spacing w:val="-2"/>
        </w:rPr>
      </w:pPr>
      <w:r w:rsidRPr="00B6037B">
        <w:rPr>
          <w:spacing w:val="-2"/>
        </w:rPr>
        <w:t>Особенность показателей крови больных ягнят в отличие от здоровых заключается в гипергликемии, чем они достоверно отличаются между с</w:t>
      </w:r>
      <w:r w:rsidRPr="00B6037B">
        <w:rPr>
          <w:spacing w:val="-2"/>
        </w:rPr>
        <w:t>о</w:t>
      </w:r>
      <w:r w:rsidRPr="00B6037B">
        <w:rPr>
          <w:spacing w:val="-2"/>
        </w:rPr>
        <w:t>бой, и гипогаммаглобулинемией в крови 60 % больных животных. Пон</w:t>
      </w:r>
      <w:r w:rsidRPr="00B6037B">
        <w:rPr>
          <w:spacing w:val="-2"/>
        </w:rPr>
        <w:t>и</w:t>
      </w:r>
      <w:r w:rsidRPr="00B6037B">
        <w:rPr>
          <w:spacing w:val="-2"/>
        </w:rPr>
        <w:t>женное содержание γ - глобулинов в крови ягнят неблагополучной отары свидетельствует о состоянии иммунодефицита в их организме. Повыше</w:t>
      </w:r>
      <w:r w:rsidRPr="00B6037B">
        <w:rPr>
          <w:spacing w:val="-2"/>
        </w:rPr>
        <w:t>н</w:t>
      </w:r>
      <w:r w:rsidRPr="00B6037B">
        <w:rPr>
          <w:spacing w:val="-2"/>
        </w:rPr>
        <w:t>ное содержание глюкозы в крови больного поголовья молодняка овец я</w:t>
      </w:r>
      <w:r w:rsidRPr="00B6037B">
        <w:rPr>
          <w:spacing w:val="-2"/>
        </w:rPr>
        <w:t>в</w:t>
      </w:r>
      <w:r w:rsidRPr="00B6037B">
        <w:rPr>
          <w:spacing w:val="-2"/>
        </w:rPr>
        <w:t>ляется показателем стрессовой реакции, которая сопровождает течение б</w:t>
      </w:r>
      <w:r w:rsidRPr="00B6037B">
        <w:rPr>
          <w:spacing w:val="-2"/>
        </w:rPr>
        <w:t>о</w:t>
      </w:r>
      <w:r w:rsidRPr="00B6037B">
        <w:rPr>
          <w:spacing w:val="-2"/>
        </w:rPr>
        <w:t xml:space="preserve">лезни. </w:t>
      </w:r>
    </w:p>
    <w:p w:rsidR="00F4654E" w:rsidRDefault="00F4654E">
      <w:pPr>
        <w:pStyle w:val="a6"/>
      </w:pPr>
      <w:r>
        <w:t>В крови больных ягнят мы находим и повышенное содержание гем</w:t>
      </w:r>
      <w:r>
        <w:t>о</w:t>
      </w:r>
      <w:r>
        <w:t xml:space="preserve">глобина, которое связано в одном случае с обезвоживанием организма при диарее, а в другом, скорее всего как результат мышечного переутомления при атаксии. </w:t>
      </w:r>
    </w:p>
    <w:p w:rsidR="00F4654E" w:rsidRDefault="00F4654E">
      <w:pPr>
        <w:pStyle w:val="a6"/>
      </w:pPr>
      <w:r>
        <w:t>В печени, в скелетной мускулатуре, в сердечной мышце и селезенке молодняка овец обнаружено значительное снижение уровня меди, что о</w:t>
      </w:r>
      <w:r>
        <w:t>т</w:t>
      </w:r>
      <w:r>
        <w:t xml:space="preserve">ражает дефицит этого микроэлемента в рационе овцематок. </w:t>
      </w:r>
    </w:p>
    <w:p w:rsidR="00F4654E" w:rsidRDefault="00F4654E">
      <w:pPr>
        <w:pStyle w:val="a6"/>
      </w:pPr>
      <w:r>
        <w:t xml:space="preserve">Нами проведены исследования костной ткани, которая относится к объектам исследований, позволяющим судить о состоянии обмена меди в организме ягнят. Содержание меди в 2/3 проб пястных костей от больных </w:t>
      </w:r>
      <w:r>
        <w:lastRenderedPageBreak/>
        <w:t>животных понижено, а от здоровых ягнят - уровень меди находился в пр</w:t>
      </w:r>
      <w:r>
        <w:t>е</w:t>
      </w:r>
      <w:r>
        <w:t xml:space="preserve">делах нормы. </w:t>
      </w:r>
    </w:p>
    <w:p w:rsidR="00F4654E" w:rsidRDefault="00F4654E">
      <w:pPr>
        <w:pStyle w:val="a6"/>
      </w:pPr>
      <w:r>
        <w:t>Показатели кальция и фосфора в костной ткани практически во всех пробах свидетельствуют о нарушениях в обмене указанных макроэлеме</w:t>
      </w:r>
      <w:r>
        <w:t>н</w:t>
      </w:r>
      <w:r>
        <w:t>тов в организме народившегося молодняка овец, обусловленных измене</w:t>
      </w:r>
      <w:r>
        <w:t>н</w:t>
      </w:r>
      <w:r>
        <w:t xml:space="preserve">ным кальциево-фосфорным отношением рациона овцематок. Содержание кальция в мышечной ткани больных ягнят было в пределах нормы, что подвергает сомнению диагноз на беломышечную болезнь. </w:t>
      </w:r>
    </w:p>
    <w:p w:rsidR="00F4654E" w:rsidRDefault="00F4654E">
      <w:pPr>
        <w:pStyle w:val="a6"/>
      </w:pPr>
      <w:r>
        <w:t>В печени больных и здоровых животных повышено содержание вит</w:t>
      </w:r>
      <w:r>
        <w:t>а</w:t>
      </w:r>
      <w:r>
        <w:t>минов А и Е, что по видимому связано с проведенной ранее витаминизац</w:t>
      </w:r>
      <w:r>
        <w:t>и</w:t>
      </w:r>
      <w:r>
        <w:t>ей суягных овцематок.</w:t>
      </w:r>
    </w:p>
    <w:p w:rsidR="00F4654E" w:rsidRDefault="00F4654E">
      <w:pPr>
        <w:pStyle w:val="a6"/>
      </w:pPr>
      <w:r>
        <w:t>Таким образом проведенными исследованиями определенно, что ма</w:t>
      </w:r>
      <w:r>
        <w:t>с</w:t>
      </w:r>
      <w:r>
        <w:t xml:space="preserve">совое заболевание ягнят в хозяйстве явилось следствием нарушений в кормлении овцематок, заключающихся в несбалансированности рациона по энергетическому питанию, витаминам, макро- и микроэлементам. </w:t>
      </w:r>
    </w:p>
    <w:p w:rsidR="00F4654E" w:rsidRDefault="00F4654E">
      <w:pPr>
        <w:pStyle w:val="a6"/>
      </w:pPr>
      <w:r>
        <w:t xml:space="preserve">Нарушение координации движений, парезы у ягнят и установленный дефицит меди в рационе лактирующих маток, органах и тканях потомства от этих животных позволяет поставить диагноз на энзоотическую атаксию. </w:t>
      </w:r>
    </w:p>
    <w:p w:rsidR="00F4654E" w:rsidRDefault="00F4654E">
      <w:pPr>
        <w:pStyle w:val="a6"/>
      </w:pPr>
      <w:r>
        <w:t>Отсутствие клинического проявления заболевания животных на у</w:t>
      </w:r>
      <w:r>
        <w:t>с</w:t>
      </w:r>
      <w:r>
        <w:t>ловно-благополучной отаре, в рационе овцематок которой также устано</w:t>
      </w:r>
      <w:r>
        <w:t>в</w:t>
      </w:r>
      <w:r>
        <w:t>лено недостаточное содержание меди, можно сделать вывод, что на теч</w:t>
      </w:r>
      <w:r>
        <w:t>е</w:t>
      </w:r>
      <w:r>
        <w:t>ние энзоотической атаксии ягнят большое влияние оказывает весь ко</w:t>
      </w:r>
      <w:r>
        <w:t>м</w:t>
      </w:r>
      <w:r>
        <w:t xml:space="preserve">плекс факторов, связанных с неполноценностью кормления матерей. </w:t>
      </w:r>
    </w:p>
    <w:p w:rsidR="00F4654E" w:rsidRDefault="00F4654E">
      <w:pPr>
        <w:pStyle w:val="a6"/>
      </w:pPr>
      <w:r>
        <w:t>Для профилактики проявления синдрома гипокупроза необходимо учитывать в процессе составления рационов не только потребность овец в меди, но и отношение этого микроэлемента с другими компонентами пит</w:t>
      </w:r>
      <w:r>
        <w:t>а</w:t>
      </w:r>
      <w:r>
        <w:t>тельности и в первую очередь с уровнем обменной энергии в суточном к</w:t>
      </w:r>
      <w:r>
        <w:t>о</w:t>
      </w:r>
      <w:r>
        <w:t>личестве корма.</w:t>
      </w:r>
    </w:p>
    <w:p w:rsidR="00F4654E" w:rsidRDefault="00F4654E">
      <w:pPr>
        <w:pStyle w:val="a4"/>
        <w:rPr>
          <w:caps w:val="0"/>
        </w:rPr>
      </w:pPr>
      <w:r>
        <w:t>УДК 619:616-099:615.91</w:t>
      </w:r>
    </w:p>
    <w:p w:rsidR="00F4654E" w:rsidRDefault="00F4654E">
      <w:pPr>
        <w:pStyle w:val="1"/>
      </w:pPr>
      <w:bookmarkStart w:id="1186" w:name="_Toc10891657"/>
      <w:bookmarkStart w:id="1187" w:name="_Toc10892332"/>
      <w:bookmarkStart w:id="1188" w:name="_Toc11390199"/>
      <w:bookmarkStart w:id="1189" w:name="_Toc11839878"/>
      <w:bookmarkStart w:id="1190" w:name="_Toc11937414"/>
      <w:r>
        <w:t>Применение дизпаркола для лечения желудочно-кишечных болезней поросят и телят</w:t>
      </w:r>
      <w:bookmarkEnd w:id="1186"/>
      <w:bookmarkEnd w:id="1187"/>
      <w:bookmarkEnd w:id="1188"/>
      <w:bookmarkEnd w:id="1189"/>
      <w:bookmarkEnd w:id="1190"/>
    </w:p>
    <w:p w:rsidR="00F4654E" w:rsidRDefault="00F4654E">
      <w:pPr>
        <w:pStyle w:val="2"/>
      </w:pPr>
      <w:bookmarkStart w:id="1191" w:name="_Toc10891658"/>
      <w:bookmarkStart w:id="1192" w:name="_Toc10892333"/>
      <w:bookmarkStart w:id="1193" w:name="_Toc11390200"/>
      <w:bookmarkStart w:id="1194" w:name="_Toc11937415"/>
      <w:r>
        <w:t>Востроилова Г.А., Водолазский Ю.В.*</w:t>
      </w:r>
      <w:bookmarkEnd w:id="1191"/>
      <w:bookmarkEnd w:id="1192"/>
      <w:bookmarkEnd w:id="1193"/>
      <w:bookmarkEnd w:id="1194"/>
    </w:p>
    <w:p w:rsidR="00F4654E" w:rsidRDefault="00F4654E">
      <w:pPr>
        <w:pStyle w:val="a5"/>
        <w:rPr>
          <w:i/>
          <w:color w:val="FF0000"/>
        </w:rPr>
      </w:pPr>
      <w:r>
        <w:t>ООО «Ветеринарный диагностический центр», г. Воронеж</w:t>
      </w:r>
      <w:r>
        <w:br/>
        <w:t>*ЗАО НПП «Агрофарм», г. Воронеж</w:t>
      </w:r>
    </w:p>
    <w:p w:rsidR="00F4654E" w:rsidRDefault="00F4654E">
      <w:pPr>
        <w:pStyle w:val="a6"/>
      </w:pPr>
      <w:r>
        <w:t>Применение комплексных антибиотиков для лечения желудочно-кишечных заболеваний бактериальной этиологии эффективно вследствие широкого спектра антимикробной активности этих препаратов, так как з</w:t>
      </w:r>
      <w:r>
        <w:t>а</w:t>
      </w:r>
      <w:r>
        <w:t>частую заболевания желудочно-кишечного тракта у молодняка является результатом патогенного воздействия смешанных инфекций, или сопров</w:t>
      </w:r>
      <w:r>
        <w:t>о</w:t>
      </w:r>
      <w:r>
        <w:t>ждаются наслоением вторичной микрофлоры. ЗАО НПП «Агрофарм» ра</w:t>
      </w:r>
      <w:r>
        <w:t>з</w:t>
      </w:r>
      <w:r>
        <w:lastRenderedPageBreak/>
        <w:t xml:space="preserve">работан комплексный антимикробный препарат дизпаркол, содержащий в своем составе левомицетин, метронидазол и тилозин. </w:t>
      </w:r>
    </w:p>
    <w:p w:rsidR="00F4654E" w:rsidRDefault="00F4654E">
      <w:pPr>
        <w:pStyle w:val="a6"/>
      </w:pPr>
      <w:r>
        <w:t>Изучение эффективности применения дизпаркола для лечения кол</w:t>
      </w:r>
      <w:r>
        <w:t>и</w:t>
      </w:r>
      <w:r>
        <w:t>бактериоза, сальмонеллеза и дизентерии у поросят и телят проведено на молодняке от 3-х дневного до 2-месячного возраста в зависимости от заб</w:t>
      </w:r>
      <w:r>
        <w:t>о</w:t>
      </w:r>
      <w:r>
        <w:t>левания в хозяйствах Воронежской и Белгородской областей. Диагноз на заболевания устанавливали комплексно на основании данных клиническ</w:t>
      </w:r>
      <w:r>
        <w:t>о</w:t>
      </w:r>
      <w:r>
        <w:t>го обследования животных, лабораторных исследований, патологоанат</w:t>
      </w:r>
      <w:r>
        <w:t>о</w:t>
      </w:r>
      <w:r>
        <w:t>мического вскрытия, с учетом эпизоотической ситуации в хозяйстве. Пр</w:t>
      </w:r>
      <w:r>
        <w:t>е</w:t>
      </w:r>
      <w:r>
        <w:t>парат применяли в дозе 0,15 мл/кг массы тела телятам и 0,20 мл/кг массы тела поросятам двукратно с интервалом 48 часов. В качестве группы сра</w:t>
      </w:r>
      <w:r>
        <w:t>в</w:t>
      </w:r>
      <w:r>
        <w:t>нения использовали молодняк подобранный по принципу парных анал</w:t>
      </w:r>
      <w:r>
        <w:t>о</w:t>
      </w:r>
      <w:r>
        <w:t>гов, которому в качестве антимикробных средств применяли однокомп</w:t>
      </w:r>
      <w:r>
        <w:t>о</w:t>
      </w:r>
      <w:r>
        <w:t>нентные антибиотики. Как показали производственные испытания дизпа</w:t>
      </w:r>
      <w:r>
        <w:t>р</w:t>
      </w:r>
      <w:r>
        <w:t>кола, его терапевтическая эффективность при сальмонеллезе, колибакт</w:t>
      </w:r>
      <w:r>
        <w:t>е</w:t>
      </w:r>
      <w:r>
        <w:t>риозе и дизентерии молодняка крупного рогатого скота и свиней на 6,0-10,0 %  выше, чем при применении  традиционных антимикробных преп</w:t>
      </w:r>
      <w:r>
        <w:t>а</w:t>
      </w:r>
      <w:r>
        <w:t>ратов, применяющиеся хозяйствами (тетрахлорид, ветдипасфен). При пр</w:t>
      </w:r>
      <w:r>
        <w:t>и</w:t>
      </w:r>
      <w:r>
        <w:t>менении дизпаркола клинические признаки заболевания исчезали чаще всего через 3-4 дня лечения, в то время как в группе животных которым применялись традиционные препараты (тетрахлорид, ветдипасфен)  кл</w:t>
      </w:r>
      <w:r>
        <w:t>и</w:t>
      </w:r>
      <w:r>
        <w:t>нические признаки  исчезали на 5-6 день лечения. При применении ди</w:t>
      </w:r>
      <w:r>
        <w:t>з</w:t>
      </w:r>
      <w:r>
        <w:t>паркола значительно снижался падеж поросят и телят на 5-15%. Среднес</w:t>
      </w:r>
      <w:r>
        <w:t>у</w:t>
      </w:r>
      <w:r>
        <w:t>точный привес за период применения препарата у опытной группы как правило был выше на 5-10%, чем у молодняка, которому проводился курс лечения тетрахлоридом и ветдипасфеном.</w:t>
      </w:r>
    </w:p>
    <w:p w:rsidR="00F4654E" w:rsidRDefault="00F4654E">
      <w:pPr>
        <w:pStyle w:val="a6"/>
      </w:pPr>
      <w:r>
        <w:t>Таким образом, применение дизпаркола сокращает сроки выздоровл</w:t>
      </w:r>
      <w:r>
        <w:t>е</w:t>
      </w:r>
      <w:r>
        <w:t>ния продуктивных животных при желудочно-кишечных заболеваниях, снижает  падеж молодняка. Выраженный клинический эффект препарата обуславливает сравнительно более высокие привесы у заболевшего пог</w:t>
      </w:r>
      <w:r>
        <w:t>о</w:t>
      </w:r>
      <w:r>
        <w:t>ловья. Удобная схема лечения технологически проста и экономически э</w:t>
      </w:r>
      <w:r>
        <w:t>ф</w:t>
      </w:r>
      <w:r>
        <w:t>фективна.</w:t>
      </w:r>
    </w:p>
    <w:p w:rsidR="00F4654E" w:rsidRDefault="00F4654E">
      <w:pPr>
        <w:pStyle w:val="a4"/>
      </w:pPr>
      <w:r>
        <w:t>УДК 619:618.11-085</w:t>
      </w:r>
    </w:p>
    <w:p w:rsidR="00F4654E" w:rsidRDefault="00F4654E">
      <w:pPr>
        <w:pStyle w:val="1"/>
      </w:pPr>
      <w:bookmarkStart w:id="1195" w:name="_Toc10731157"/>
      <w:bookmarkStart w:id="1196" w:name="_Toc10731818"/>
      <w:bookmarkStart w:id="1197" w:name="_Toc10891659"/>
      <w:bookmarkStart w:id="1198" w:name="_Toc10892334"/>
      <w:bookmarkStart w:id="1199" w:name="_Toc11390201"/>
      <w:bookmarkStart w:id="1200" w:name="_Toc11839880"/>
      <w:bookmarkStart w:id="1201" w:name="_Toc11937416"/>
      <w:r>
        <w:t>ЭФФЕКТИВНОСТЬ КОМПЛЕКСНОГО ПРИМЕНЕНИЯ ГОРМОНОВ И БИОГЕННЫХ СТИМУЛЯТОРОВ ПРИ ГИПОФУНКЦИИ ЯИЧНИКОВ У КОРОВ</w:t>
      </w:r>
      <w:bookmarkEnd w:id="1195"/>
      <w:bookmarkEnd w:id="1196"/>
      <w:bookmarkEnd w:id="1197"/>
      <w:bookmarkEnd w:id="1198"/>
      <w:bookmarkEnd w:id="1199"/>
      <w:bookmarkEnd w:id="1200"/>
      <w:bookmarkEnd w:id="1201"/>
    </w:p>
    <w:p w:rsidR="00F4654E" w:rsidRDefault="00F4654E">
      <w:pPr>
        <w:pStyle w:val="2"/>
      </w:pPr>
      <w:bookmarkStart w:id="1202" w:name="_Toc10731158"/>
      <w:bookmarkStart w:id="1203" w:name="_Toc10731819"/>
      <w:bookmarkStart w:id="1204" w:name="_Toc10891660"/>
      <w:bookmarkStart w:id="1205" w:name="_Toc10892335"/>
      <w:bookmarkStart w:id="1206" w:name="_Toc11390202"/>
      <w:bookmarkStart w:id="1207" w:name="_Toc11937417"/>
      <w:r>
        <w:t>Гарбузов А.А</w:t>
      </w:r>
      <w:bookmarkEnd w:id="1202"/>
      <w:bookmarkEnd w:id="1203"/>
      <w:bookmarkEnd w:id="1204"/>
      <w:bookmarkEnd w:id="1205"/>
      <w:bookmarkEnd w:id="1206"/>
      <w:bookmarkEnd w:id="1207"/>
    </w:p>
    <w:p w:rsidR="00F4654E" w:rsidRDefault="00F4654E">
      <w:pPr>
        <w:pStyle w:val="a5"/>
      </w:pPr>
      <w:r>
        <w:t>Витебская государственная академия ветеринарной медицины</w:t>
      </w:r>
    </w:p>
    <w:p w:rsidR="00F4654E" w:rsidRDefault="00F4654E">
      <w:pPr>
        <w:pStyle w:val="a6"/>
      </w:pPr>
      <w:r>
        <w:t>Ведущим фактором, сдерживающим интенсификацию воспроизводс</w:t>
      </w:r>
      <w:r>
        <w:t>т</w:t>
      </w:r>
      <w:r>
        <w:t>ва, остается широкое распространение среди маточного поголовья акуше</w:t>
      </w:r>
      <w:r>
        <w:t>р</w:t>
      </w:r>
      <w:r>
        <w:t xml:space="preserve">ско-гинекологической патологии, следствием чего является значительное </w:t>
      </w:r>
      <w:r>
        <w:lastRenderedPageBreak/>
        <w:t>количество бесплодных коров и высокий процент яловости. Функционал</w:t>
      </w:r>
      <w:r>
        <w:t>ь</w:t>
      </w:r>
      <w:r>
        <w:t>ные расстройства яичников у коров являются наиболее частыми причин</w:t>
      </w:r>
      <w:r>
        <w:t>а</w:t>
      </w:r>
      <w:r>
        <w:t>ми бесплодия. Среди дисфункциональных состояний яичников наиболее часто выявляют их гипофункцию. Непосредственной причиной гипофун</w:t>
      </w:r>
      <w:r>
        <w:t>к</w:t>
      </w:r>
      <w:r>
        <w:t>ции яичников является снижение гонадотропной функции гипофиза. Им</w:t>
      </w:r>
      <w:r>
        <w:t>е</w:t>
      </w:r>
      <w:r>
        <w:t>ются сообщения о снижении циторецепторной чувствительности структур яичников к биологически активным веществам при неудовлетворительном физиологическом статусе организма животных, метаболических наруш</w:t>
      </w:r>
      <w:r>
        <w:t>е</w:t>
      </w:r>
      <w:r>
        <w:t>ниях, иммунодефицитных состояниях. Способствующими возникновению гипофункции яичников факторами у коров являются неполноценное и н</w:t>
      </w:r>
      <w:r>
        <w:t>е</w:t>
      </w:r>
      <w:r>
        <w:t>доброкачественное кормление, нарушение зоогигиенических норм соде</w:t>
      </w:r>
      <w:r>
        <w:t>р</w:t>
      </w:r>
      <w:r>
        <w:t>жания и эксплуатации животных.</w:t>
      </w:r>
    </w:p>
    <w:p w:rsidR="00F4654E" w:rsidRDefault="00F4654E">
      <w:pPr>
        <w:pStyle w:val="a6"/>
      </w:pPr>
      <w:r>
        <w:t>Для лечения животных при гипофункции яичников используют бол</w:t>
      </w:r>
      <w:r>
        <w:t>ь</w:t>
      </w:r>
      <w:r>
        <w:t>шое разнообразие гормональных препаратов в различных комбинациях. Однако, лечение животных не всегда дает положительные результаты, часть из них остается бесплодными. Зачастую это связывают с неправил</w:t>
      </w:r>
      <w:r>
        <w:t>ь</w:t>
      </w:r>
      <w:r>
        <w:t>ным применением препаратов. Широко используют также средства заме</w:t>
      </w:r>
      <w:r>
        <w:t>с</w:t>
      </w:r>
      <w:r>
        <w:t>тительной терапии и вещества не специфически воздействующие на орг</w:t>
      </w:r>
      <w:r>
        <w:t>а</w:t>
      </w:r>
      <w:r>
        <w:t>низм животных.</w:t>
      </w:r>
    </w:p>
    <w:p w:rsidR="00F4654E" w:rsidRDefault="00F4654E">
      <w:pPr>
        <w:pStyle w:val="a6"/>
      </w:pPr>
      <w:r>
        <w:t>Настоящая работа выполнена в ЗАО «Возрождение» Витебского ра</w:t>
      </w:r>
      <w:r>
        <w:t>й</w:t>
      </w:r>
      <w:r>
        <w:t>она. Цель работы - определить эффективность комплексного применения гормонов и биогенных стимуляторов (АСД Ф-2) при гипофункции яичн</w:t>
      </w:r>
      <w:r>
        <w:t>и</w:t>
      </w:r>
      <w:r>
        <w:t>ков у коров. Известно, что препарат АСД Ф-2 оказывает нейротропное х</w:t>
      </w:r>
      <w:r>
        <w:t>о</w:t>
      </w:r>
      <w:r>
        <w:t>линомиметическое действие на центральную и вегетативную нервную си</w:t>
      </w:r>
      <w:r>
        <w:t>с</w:t>
      </w:r>
      <w:r>
        <w:t>тему. Он повышает активность тканевых ферментов (транспортной Nа</w:t>
      </w:r>
      <w:r w:rsidRPr="00B6037B">
        <w:rPr>
          <w:vertAlign w:val="superscript"/>
        </w:rPr>
        <w:t>+</w:t>
      </w:r>
      <w:r>
        <w:t>, К</w:t>
      </w:r>
      <w:r w:rsidRPr="00B6037B">
        <w:rPr>
          <w:vertAlign w:val="superscript"/>
        </w:rPr>
        <w:t>+</w:t>
      </w:r>
      <w:r>
        <w:t>, АТФ-азы, рибонуклеаз, щелочной фосфатазы и др.), которые приним</w:t>
      </w:r>
      <w:r>
        <w:t>а</w:t>
      </w:r>
      <w:r>
        <w:t>ют участие в активном транспорте ионов и питательных веществ через клеточные мембраны, участвует в процессах фосфорилирования, а также синтеза белковых веществ. В результате такого воздействия препарат улучшает трофику тканей, повышает уровень обменных процессов в зд</w:t>
      </w:r>
      <w:r>
        <w:t>о</w:t>
      </w:r>
      <w:r>
        <w:t>ровом организме и способствует восстановлению обмена веществ до но</w:t>
      </w:r>
      <w:r>
        <w:t>р</w:t>
      </w:r>
      <w:r>
        <w:t xml:space="preserve">мы при различных дистрофических состояниях.                              </w:t>
      </w:r>
    </w:p>
    <w:p w:rsidR="00F4654E" w:rsidRDefault="00F4654E">
      <w:pPr>
        <w:pStyle w:val="a6"/>
      </w:pPr>
      <w:r>
        <w:t xml:space="preserve">По результатам акушерско-гинекологической диспансеризации были сформирован 3 группы коров черно-пестрой породы в возрасте 4-8 лет с молочной продуктивностью от 3 до 5 тыс. кг  за лактацию, длительно не проявляющих признаков половой цикличности после отела. В первую  группу были включены  14 коров </w:t>
      </w:r>
      <w:r w:rsidR="00B6037B">
        <w:t xml:space="preserve">с функционально </w:t>
      </w:r>
      <w:r>
        <w:t>неактивными  яичника-ми (гипофункция). При ректальном исследовании  установлено, что яи</w:t>
      </w:r>
      <w:r>
        <w:t>ч</w:t>
      </w:r>
      <w:r>
        <w:t xml:space="preserve">ники у них были уменьшены в размерах, имели гладкую поверхность, не содержали ни желтые тела, ни фолликулы. Коров первой группы под-вергали  </w:t>
      </w:r>
      <w:r w:rsidR="00B6037B">
        <w:t>лечению по схеме: в 1-й, 3-й, 5-</w:t>
      </w:r>
      <w:r>
        <w:t>й дни вводили прогестерон в д</w:t>
      </w:r>
      <w:r>
        <w:t>о</w:t>
      </w:r>
      <w:r>
        <w:t>зе 100</w:t>
      </w:r>
      <w:r w:rsidR="00B6037B">
        <w:t xml:space="preserve"> </w:t>
      </w:r>
      <w:r>
        <w:t>мг, на 1-й и 5-й дни инъецировали дополнительно 10</w:t>
      </w:r>
      <w:r w:rsidR="00B6037B">
        <w:t xml:space="preserve"> </w:t>
      </w:r>
      <w:r>
        <w:t>% суспензию АСД Ф-2 на тетравите в дозе 10 м</w:t>
      </w:r>
      <w:r w:rsidR="00B6037B">
        <w:t>л, а на 7-ой и 8-ой дни четырех</w:t>
      </w:r>
      <w:r>
        <w:t xml:space="preserve">кратное </w:t>
      </w:r>
      <w:r>
        <w:lastRenderedPageBreak/>
        <w:t>введение ФСГ-СУПЕР с интервалом 12 часов в дозе 5АЕ, совместно с п</w:t>
      </w:r>
      <w:r>
        <w:t>о</w:t>
      </w:r>
      <w:r>
        <w:t xml:space="preserve">следним введением гонадотропина инъецировали синтетический аналог ПГф2 альфа (эстрофан) в </w:t>
      </w:r>
      <w:r w:rsidR="00B6037B">
        <w:t>дозе 500 мг. После выявления по</w:t>
      </w:r>
      <w:r>
        <w:t>ловой охоты за 8-10 часов до осемен</w:t>
      </w:r>
      <w:r w:rsidR="00B6037B">
        <w:t>ения с целью профилактики непол</w:t>
      </w:r>
      <w:r>
        <w:t>ноценных половых циклов, применяли сурфагон в дозе 25мкг. Коровам второй группы (15 гол) применяли ректальный массаж матки и яичников в течение 5 минут трехкратно, с интервалом 48 часов и внутримышечно вв</w:t>
      </w:r>
      <w:r>
        <w:t>о</w:t>
      </w:r>
      <w:r>
        <w:t>дили тетравит в дозе 10 мл двукратно с интервалом 5 дней. Третью группу составляли  15 коров с функционально активными яичниками (с пальпируемым фоллик</w:t>
      </w:r>
      <w:r>
        <w:t>у</w:t>
      </w:r>
      <w:r>
        <w:t xml:space="preserve">лом либо желтым телом на одном из яичников).     </w:t>
      </w:r>
    </w:p>
    <w:p w:rsidR="00F4654E" w:rsidRDefault="00F4654E">
      <w:pPr>
        <w:pStyle w:val="a6"/>
      </w:pPr>
      <w:r>
        <w:t xml:space="preserve"> В результате оказанного лечения коровы первой группы проявили признаки половой охоты через 48-72</w:t>
      </w:r>
      <w:r w:rsidR="00B6037B">
        <w:t xml:space="preserve"> </w:t>
      </w:r>
      <w:r>
        <w:t>ч после введения эстрофана. Оплод</w:t>
      </w:r>
      <w:r>
        <w:t>о</w:t>
      </w:r>
      <w:r>
        <w:t>творяемость по первому осеменению составила - 61,5% (8гол.), общая о</w:t>
      </w:r>
      <w:r>
        <w:t>п</w:t>
      </w:r>
      <w:r>
        <w:t>лодотворяемость - 93% (13 гол.). Во второй  группе оплодотворяемость по первому осеменению составила – 25% (3 гол.), общая оплодотворя</w:t>
      </w:r>
      <w:r>
        <w:t>е</w:t>
      </w:r>
      <w:r>
        <w:t>мость – 60% (9 гол.). В третьей группе оплодотворяемость по первому осеменению составила – 27%(4 гол.), общая оплодотворяемость – 53% (8 гол).</w:t>
      </w:r>
    </w:p>
    <w:p w:rsidR="00F4654E" w:rsidRDefault="00F4654E">
      <w:pPr>
        <w:pStyle w:val="a6"/>
      </w:pPr>
      <w:r>
        <w:t xml:space="preserve">Таким образом, сочетанное применение гормонов (прогестерона, ФСГ-СУПЕР, эстрофана, сурфагона) и биогенных стимуляторов (АСД Ф-2) позволяет достаточно эффективно стимулировать воспроизводительную способность у коров при гипофункции яичников.  </w:t>
      </w:r>
    </w:p>
    <w:p w:rsidR="00F4654E" w:rsidRDefault="00F4654E">
      <w:pPr>
        <w:pStyle w:val="a4"/>
      </w:pPr>
      <w:r>
        <w:t>УДК 619:618.14-085</w:t>
      </w:r>
    </w:p>
    <w:p w:rsidR="00F4654E" w:rsidRDefault="00F4654E">
      <w:pPr>
        <w:pStyle w:val="1"/>
      </w:pPr>
      <w:bookmarkStart w:id="1208" w:name="_Toc10731159"/>
      <w:bookmarkStart w:id="1209" w:name="_Toc10731820"/>
      <w:bookmarkStart w:id="1210" w:name="_Toc10891661"/>
      <w:bookmarkStart w:id="1211" w:name="_Toc10892336"/>
      <w:bookmarkStart w:id="1212" w:name="_Toc11390203"/>
      <w:bookmarkStart w:id="1213" w:name="_Toc11839882"/>
      <w:bookmarkStart w:id="1214" w:name="_Toc11937418"/>
      <w:r>
        <w:t>ДИАГНОСТИКА И ЛЕЧЕНИЕ  СУБКЛИНИЧЕСКОГО ЭНДОМЕТРИТА У КОРОВ</w:t>
      </w:r>
      <w:bookmarkEnd w:id="1208"/>
      <w:bookmarkEnd w:id="1209"/>
      <w:bookmarkEnd w:id="1210"/>
      <w:bookmarkEnd w:id="1211"/>
      <w:bookmarkEnd w:id="1212"/>
      <w:bookmarkEnd w:id="1213"/>
      <w:bookmarkEnd w:id="1214"/>
    </w:p>
    <w:p w:rsidR="00F4654E" w:rsidRDefault="00F4654E">
      <w:pPr>
        <w:pStyle w:val="2"/>
      </w:pPr>
      <w:bookmarkStart w:id="1215" w:name="_Toc10731160"/>
      <w:bookmarkStart w:id="1216" w:name="_Toc10731821"/>
      <w:bookmarkStart w:id="1217" w:name="_Toc10891662"/>
      <w:bookmarkStart w:id="1218" w:name="_Toc10892337"/>
      <w:bookmarkStart w:id="1219" w:name="_Toc11390204"/>
      <w:bookmarkStart w:id="1220" w:name="_Toc11937419"/>
      <w:r>
        <w:t>Гарбузов А.А. Валюшкин К.Д.</w:t>
      </w:r>
      <w:bookmarkEnd w:id="1215"/>
      <w:bookmarkEnd w:id="1216"/>
      <w:bookmarkEnd w:id="1217"/>
      <w:bookmarkEnd w:id="1218"/>
      <w:bookmarkEnd w:id="1219"/>
      <w:bookmarkEnd w:id="1220"/>
      <w:r>
        <w:t xml:space="preserve"> </w:t>
      </w:r>
    </w:p>
    <w:p w:rsidR="00F4654E" w:rsidRDefault="00F4654E">
      <w:pPr>
        <w:pStyle w:val="a5"/>
      </w:pPr>
      <w:r>
        <w:t>Витебская государственная академия ветеринарной медицины</w:t>
      </w:r>
    </w:p>
    <w:p w:rsidR="00F4654E" w:rsidRDefault="00F4654E">
      <w:pPr>
        <w:pStyle w:val="a6"/>
      </w:pPr>
      <w:r>
        <w:t>Под субклиническим эндометритом понимают воспалительный пр</w:t>
      </w:r>
      <w:r>
        <w:t>о</w:t>
      </w:r>
      <w:r>
        <w:t>цесс  эндометрия, протекающий без выраженных клинических признаков и при отсутствии патологических выделений из половых органов в периоды между течками. Причиной является, как правило, несовершенство или н</w:t>
      </w:r>
      <w:r>
        <w:t>е</w:t>
      </w:r>
      <w:r>
        <w:t>полноценность лечения коров с острыми эндометритами, а также сниж</w:t>
      </w:r>
      <w:r>
        <w:t>е</w:t>
      </w:r>
      <w:r>
        <w:t>ние неспецифической иммунной реакции организма после клинического выздоровления, которое приводит к  осложнению скрытым эндометритом. Это сопровождается длительным или постоянным бесплодием на фоне многократных неплодотворных осеменений животных. Отсутствие хара</w:t>
      </w:r>
      <w:r>
        <w:t>к</w:t>
      </w:r>
      <w:r>
        <w:t>терных клинических симптомов болезни затрудняет ее диагностирование в производственных условиях.</w:t>
      </w:r>
    </w:p>
    <w:p w:rsidR="00F4654E" w:rsidRPr="00B6037B" w:rsidRDefault="00F4654E">
      <w:pPr>
        <w:pStyle w:val="a6"/>
        <w:rPr>
          <w:spacing w:val="-2"/>
        </w:rPr>
      </w:pPr>
      <w:r w:rsidRPr="00B6037B">
        <w:rPr>
          <w:spacing w:val="-2"/>
        </w:rPr>
        <w:t>В настоящее время для диагностики субклинического эндометрита и</w:t>
      </w:r>
      <w:r w:rsidRPr="00B6037B">
        <w:rPr>
          <w:spacing w:val="-2"/>
        </w:rPr>
        <w:t>с</w:t>
      </w:r>
      <w:r w:rsidRPr="00B6037B">
        <w:rPr>
          <w:spacing w:val="-2"/>
        </w:rPr>
        <w:t>пользуют клинические и лабораторные методы. Клиническая диагност</w:t>
      </w:r>
      <w:r w:rsidRPr="00B6037B">
        <w:rPr>
          <w:spacing w:val="-2"/>
        </w:rPr>
        <w:t>и</w:t>
      </w:r>
      <w:r w:rsidRPr="00B6037B">
        <w:rPr>
          <w:spacing w:val="-2"/>
        </w:rPr>
        <w:t>ка   основана на визуальной оценке течковой слизи (наличие прожилок, хлопьев гноя белого или желтого цвета), лабораторные методы – на бактериологич</w:t>
      </w:r>
      <w:r w:rsidRPr="00B6037B">
        <w:rPr>
          <w:spacing w:val="-2"/>
        </w:rPr>
        <w:t>е</w:t>
      </w:r>
      <w:r w:rsidRPr="00B6037B">
        <w:rPr>
          <w:spacing w:val="-2"/>
        </w:rPr>
        <w:lastRenderedPageBreak/>
        <w:t>ских, цитологических, физико-химических, биологических, ф</w:t>
      </w:r>
      <w:r w:rsidRPr="00B6037B">
        <w:rPr>
          <w:spacing w:val="-2"/>
        </w:rPr>
        <w:t>и</w:t>
      </w:r>
      <w:r w:rsidRPr="00B6037B">
        <w:rPr>
          <w:spacing w:val="-2"/>
        </w:rPr>
        <w:t>зических и гормональных исследованиях биологических жидкостей орг</w:t>
      </w:r>
      <w:r w:rsidRPr="00B6037B">
        <w:rPr>
          <w:spacing w:val="-2"/>
        </w:rPr>
        <w:t>а</w:t>
      </w:r>
      <w:r w:rsidRPr="00B6037B">
        <w:rPr>
          <w:spacing w:val="-2"/>
        </w:rPr>
        <w:t>низма. Однако, многие из этих тестов  трудоемкие, дорогостоящие и экономически не в</w:t>
      </w:r>
      <w:r w:rsidRPr="00B6037B">
        <w:rPr>
          <w:spacing w:val="-2"/>
        </w:rPr>
        <w:t>ы</w:t>
      </w:r>
      <w:r w:rsidRPr="00B6037B">
        <w:rPr>
          <w:spacing w:val="-2"/>
        </w:rPr>
        <w:t>годные для широкого применения в ветеринарной пра</w:t>
      </w:r>
      <w:r w:rsidRPr="00B6037B">
        <w:rPr>
          <w:spacing w:val="-2"/>
        </w:rPr>
        <w:t>к</w:t>
      </w:r>
      <w:r w:rsidRPr="00B6037B">
        <w:rPr>
          <w:spacing w:val="-2"/>
        </w:rPr>
        <w:t xml:space="preserve">тике.     </w:t>
      </w:r>
    </w:p>
    <w:p w:rsidR="00F4654E" w:rsidRDefault="00F4654E">
      <w:pPr>
        <w:pStyle w:val="a6"/>
      </w:pPr>
      <w:r>
        <w:t>Цель данной работы - определить степень распространения скрытого эндометрита у многократно неплодотворно осеменяемых коров и разраб</w:t>
      </w:r>
      <w:r>
        <w:t>о</w:t>
      </w:r>
      <w:r>
        <w:t xml:space="preserve">тать новый способ диагностики скрытого эндометрита у коров.   </w:t>
      </w:r>
    </w:p>
    <w:p w:rsidR="00F4654E" w:rsidRDefault="00F4654E">
      <w:pPr>
        <w:pStyle w:val="a6"/>
      </w:pPr>
      <w:r>
        <w:t>Работа выполнена в ЗАО «Возрождение» Витебского района. При проведении акушерско-гинекологической диспансеризации были выдел</w:t>
      </w:r>
      <w:r>
        <w:t>е</w:t>
      </w:r>
      <w:r>
        <w:t>ны многократно осеменяемые  30 коров черно-пестрой породы, в возрасте 4-10 лет. Всех животных ветврачи-гинекологи хозяйства осеменяли с с</w:t>
      </w:r>
      <w:r>
        <w:t>о</w:t>
      </w:r>
      <w:r>
        <w:t>блюдением инструкции по ректо-цервикальному способу осеменения к</w:t>
      </w:r>
      <w:r>
        <w:t>о</w:t>
      </w:r>
      <w:r>
        <w:t>ров. Ритм половых циклов у коров не нарушался. При проведении после</w:t>
      </w:r>
      <w:r>
        <w:t>д</w:t>
      </w:r>
      <w:r>
        <w:t>него осеменения изменений в течковой слизи отмечено не было.</w:t>
      </w:r>
    </w:p>
    <w:p w:rsidR="00F4654E" w:rsidRDefault="00F4654E">
      <w:pPr>
        <w:pStyle w:val="a6"/>
      </w:pPr>
      <w:r>
        <w:t xml:space="preserve">Животных исследовали ректально через 10-14 дней после последнего осеменения, контролировали состояние яичников и матки. В результате исследования установили: у всех коров  на одном из яичников обнаружено желтое тело. Матка у коров соответствовала небеременному состоянию. Следовательно, у животных при клиническом исследовании отклонений со стороны матки и яичников не обнаружено. </w:t>
      </w:r>
    </w:p>
    <w:p w:rsidR="00F4654E" w:rsidRDefault="00F4654E">
      <w:pPr>
        <w:pStyle w:val="a6"/>
      </w:pPr>
      <w:r>
        <w:t>С целью диагностики субклинического эндометрита у коров мы и</w:t>
      </w:r>
      <w:r>
        <w:t>с</w:t>
      </w:r>
      <w:r>
        <w:t>пользовали препарат ихглюковит. Согласно наставлению, ихглюковит предназначен для профилактики и лечения послеродовых субинволюций, эндометритов, маститов у коров, воспалений и расстройств желудочно-кишечного тракта у молодняка сельскохозяйственных животных. Одним из компонентов препарата является ихтиол, который при парентеральном введении действует на организм по типу неспецифической терапии, в св</w:t>
      </w:r>
      <w:r>
        <w:t>я</w:t>
      </w:r>
      <w:r>
        <w:t>зи, с чем развивается ряд рефлекторных реакций, сопровождающихся п</w:t>
      </w:r>
      <w:r>
        <w:t>о</w:t>
      </w:r>
      <w:r>
        <w:t xml:space="preserve">вышением защитных сил организма.       </w:t>
      </w:r>
    </w:p>
    <w:p w:rsidR="00F4654E" w:rsidRPr="00B6037B" w:rsidRDefault="00F4654E">
      <w:pPr>
        <w:pStyle w:val="a6"/>
        <w:rPr>
          <w:spacing w:val="-2"/>
        </w:rPr>
      </w:pPr>
      <w:r w:rsidRPr="00B6037B">
        <w:rPr>
          <w:spacing w:val="-2"/>
        </w:rPr>
        <w:t xml:space="preserve"> Препарат вводили внутримышечно в дозе 20 мл трехкратно с интерв</w:t>
      </w:r>
      <w:r w:rsidRPr="00B6037B">
        <w:rPr>
          <w:spacing w:val="-2"/>
        </w:rPr>
        <w:t>а</w:t>
      </w:r>
      <w:r w:rsidRPr="00B6037B">
        <w:rPr>
          <w:spacing w:val="-2"/>
        </w:rPr>
        <w:t>лом 48</w:t>
      </w:r>
      <w:r w:rsidR="00B6037B" w:rsidRPr="00B6037B">
        <w:rPr>
          <w:spacing w:val="-2"/>
        </w:rPr>
        <w:t xml:space="preserve"> </w:t>
      </w:r>
      <w:r w:rsidRPr="00B6037B">
        <w:rPr>
          <w:spacing w:val="-2"/>
        </w:rPr>
        <w:t>ч на 10, 12, 14-й д</w:t>
      </w:r>
      <w:r w:rsidR="00B6037B" w:rsidRPr="00B6037B">
        <w:rPr>
          <w:spacing w:val="-2"/>
        </w:rPr>
        <w:t>ни</w:t>
      </w:r>
      <w:r w:rsidRPr="00B6037B">
        <w:rPr>
          <w:spacing w:val="-2"/>
        </w:rPr>
        <w:t xml:space="preserve"> после последнего осеменения. В дальне</w:t>
      </w:r>
      <w:r w:rsidRPr="00B6037B">
        <w:rPr>
          <w:spacing w:val="-2"/>
        </w:rPr>
        <w:t>й</w:t>
      </w:r>
      <w:r w:rsidRPr="00B6037B">
        <w:rPr>
          <w:spacing w:val="-2"/>
        </w:rPr>
        <w:t>шем, при проявлении стадии возбуждения полового цикла, контролировали х</w:t>
      </w:r>
      <w:r w:rsidRPr="00B6037B">
        <w:rPr>
          <w:spacing w:val="-2"/>
        </w:rPr>
        <w:t>а</w:t>
      </w:r>
      <w:r w:rsidRPr="00B6037B">
        <w:rPr>
          <w:spacing w:val="-2"/>
        </w:rPr>
        <w:t>рактер течковой слизи, выделяющейся из половых органов у обраб</w:t>
      </w:r>
      <w:r w:rsidRPr="00B6037B">
        <w:rPr>
          <w:spacing w:val="-2"/>
        </w:rPr>
        <w:t>о</w:t>
      </w:r>
      <w:r w:rsidRPr="00B6037B">
        <w:rPr>
          <w:spacing w:val="-2"/>
        </w:rPr>
        <w:t>танных животных. Из 30 коров, подвергнутых обработке,  проявили признаки пол</w:t>
      </w:r>
      <w:r w:rsidRPr="00B6037B">
        <w:rPr>
          <w:spacing w:val="-2"/>
        </w:rPr>
        <w:t>о</w:t>
      </w:r>
      <w:r w:rsidRPr="00B6037B">
        <w:rPr>
          <w:spacing w:val="-2"/>
        </w:rPr>
        <w:t>вой охоты 23 головы. У 10 (33,3%) наблюдали выделения гно</w:t>
      </w:r>
      <w:r w:rsidRPr="00B6037B">
        <w:rPr>
          <w:spacing w:val="-2"/>
        </w:rPr>
        <w:t>й</w:t>
      </w:r>
      <w:r w:rsidRPr="00B6037B">
        <w:rPr>
          <w:spacing w:val="-2"/>
        </w:rPr>
        <w:t>но-катарального экссудата из половых органов. У 13 голов изменений в с</w:t>
      </w:r>
      <w:r w:rsidRPr="00B6037B">
        <w:rPr>
          <w:spacing w:val="-2"/>
        </w:rPr>
        <w:t>о</w:t>
      </w:r>
      <w:r w:rsidRPr="00B6037B">
        <w:rPr>
          <w:spacing w:val="-2"/>
        </w:rPr>
        <w:t>стоянии течковой слизи не отмечено. В связи с тем, что во время течки в</w:t>
      </w:r>
      <w:r w:rsidRPr="00B6037B">
        <w:rPr>
          <w:spacing w:val="-2"/>
        </w:rPr>
        <w:t>и</w:t>
      </w:r>
      <w:r w:rsidRPr="00B6037B">
        <w:rPr>
          <w:spacing w:val="-2"/>
        </w:rPr>
        <w:t>зуально по характеру слизи отклонений не выявили, был использован эк</w:t>
      </w:r>
      <w:r w:rsidRPr="00B6037B">
        <w:rPr>
          <w:spacing w:val="-2"/>
        </w:rPr>
        <w:t>с</w:t>
      </w:r>
      <w:r w:rsidRPr="00B6037B">
        <w:rPr>
          <w:spacing w:val="-2"/>
        </w:rPr>
        <w:t>пресс - метод диагностики субклинического эндометрита по Н.А. Флегм</w:t>
      </w:r>
      <w:r w:rsidRPr="00B6037B">
        <w:rPr>
          <w:spacing w:val="-2"/>
        </w:rPr>
        <w:t>а</w:t>
      </w:r>
      <w:r w:rsidRPr="00B6037B">
        <w:rPr>
          <w:spacing w:val="-2"/>
        </w:rPr>
        <w:t>тову и цитологический метод по Г. Г. Козлову. Биологический и цитолог</w:t>
      </w:r>
      <w:r w:rsidRPr="00B6037B">
        <w:rPr>
          <w:spacing w:val="-2"/>
        </w:rPr>
        <w:t>и</w:t>
      </w:r>
      <w:r w:rsidRPr="00B6037B">
        <w:rPr>
          <w:spacing w:val="-2"/>
        </w:rPr>
        <w:t>ческий методы дали отрицательный результат. Семь коров из числа обраб</w:t>
      </w:r>
      <w:r w:rsidRPr="00B6037B">
        <w:rPr>
          <w:spacing w:val="-2"/>
        </w:rPr>
        <w:t>о</w:t>
      </w:r>
      <w:r w:rsidRPr="00B6037B">
        <w:rPr>
          <w:spacing w:val="-2"/>
        </w:rPr>
        <w:t>танных ихглюковитом признаки половой цикличности не проявили, при и</w:t>
      </w:r>
      <w:r w:rsidRPr="00B6037B">
        <w:rPr>
          <w:spacing w:val="-2"/>
        </w:rPr>
        <w:t>с</w:t>
      </w:r>
      <w:r w:rsidRPr="00B6037B">
        <w:rPr>
          <w:spacing w:val="-2"/>
        </w:rPr>
        <w:t>следовании через 2 мес. у них диагностировали стел</w:t>
      </w:r>
      <w:r w:rsidRPr="00B6037B">
        <w:rPr>
          <w:spacing w:val="-2"/>
        </w:rPr>
        <w:t>ь</w:t>
      </w:r>
      <w:r w:rsidRPr="00B6037B">
        <w:rPr>
          <w:spacing w:val="-2"/>
        </w:rPr>
        <w:t>ность.</w:t>
      </w:r>
    </w:p>
    <w:p w:rsidR="00F4654E" w:rsidRDefault="00F4654E">
      <w:pPr>
        <w:pStyle w:val="a6"/>
      </w:pPr>
      <w:r>
        <w:lastRenderedPageBreak/>
        <w:t>Вышеизложенное дает возможность предположить, что ихглюковит, вводимый внутримышечно коровам на 10,12,14-ый дни после последнего осеменения, вызывает обострение субклинической формы эндометрита и сопровождается выделением гнойно-катарального экссудата во время оч</w:t>
      </w:r>
      <w:r>
        <w:t>е</w:t>
      </w:r>
      <w:r>
        <w:t>редной стадии возбуждения полового цикла, что может служить диагн</w:t>
      </w:r>
      <w:r>
        <w:t>о</w:t>
      </w:r>
      <w:r>
        <w:t>стическим тестом при выявлении субклинических (скрытых) эндометритов у многократно осеменяемых коров и основанием для лечения выявленных больных животных.</w:t>
      </w:r>
    </w:p>
    <w:p w:rsidR="00F4654E" w:rsidRDefault="00F4654E">
      <w:pPr>
        <w:pStyle w:val="a6"/>
      </w:pPr>
      <w:r>
        <w:t xml:space="preserve"> Таким образом, по результатам наших исследований, субклинический эндометрит выявляется у 33,3% многократно неплодотворно осеменяемых коров. Разработанный нами способ диагностики субклинического энд</w:t>
      </w:r>
      <w:r>
        <w:t>о</w:t>
      </w:r>
      <w:r>
        <w:t>метрита позволяет эффективно выявлять скрытую форму воспаления в э</w:t>
      </w:r>
      <w:r>
        <w:t>н</w:t>
      </w:r>
      <w:r>
        <w:t>дометрии. Для лечения коров, у которых диагностировали скрытую форму воспаления, использовали препарат полиген. Препарат вводили внутрим</w:t>
      </w:r>
      <w:r>
        <w:t>а</w:t>
      </w:r>
      <w:r>
        <w:t xml:space="preserve">точно в дозе 10 мл через 12 часов после второго осеменения. В результате оказанного лечения общая оплодотворяемость составила 90% (9 гол.), в том числе после первого осеменения 50% (5 гол.), после второго – 20% (2 гол.), после третьего– 20% (2 гол.)   </w:t>
      </w:r>
    </w:p>
    <w:p w:rsidR="00F4654E" w:rsidRDefault="00F4654E">
      <w:pPr>
        <w:pStyle w:val="a6"/>
      </w:pPr>
      <w:r>
        <w:t>Тот факт, что семь коров из числа обработанных ихглюковитом не проявили признаков половой цикличности и в последующем у них диагн</w:t>
      </w:r>
      <w:r>
        <w:t>о</w:t>
      </w:r>
      <w:r>
        <w:t xml:space="preserve">стировали стельность может служить доказательством, что ихглюковит не оказывает отрицательного влияния на процесс оплодотворения и развитие зародыша у беременных животных. </w:t>
      </w:r>
    </w:p>
    <w:p w:rsidR="00F4654E" w:rsidRDefault="00F4654E">
      <w:pPr>
        <w:pStyle w:val="a4"/>
      </w:pPr>
      <w:r>
        <w:t>619:615.9(470.55)</w:t>
      </w:r>
    </w:p>
    <w:p w:rsidR="00F4654E" w:rsidRDefault="00F4654E">
      <w:pPr>
        <w:pStyle w:val="1"/>
      </w:pPr>
      <w:bookmarkStart w:id="1221" w:name="_Toc10115340"/>
      <w:bookmarkStart w:id="1222" w:name="_Toc10731161"/>
      <w:bookmarkStart w:id="1223" w:name="_Toc10731822"/>
      <w:bookmarkStart w:id="1224" w:name="_Toc10891663"/>
      <w:bookmarkStart w:id="1225" w:name="_Toc10892338"/>
      <w:bookmarkStart w:id="1226" w:name="_Toc11390205"/>
      <w:bookmarkStart w:id="1227" w:name="_Toc11839884"/>
      <w:bookmarkStart w:id="1228" w:name="_Toc11937420"/>
      <w:r>
        <w:t xml:space="preserve">Никелевый токсикоз телят техногенной провинции </w:t>
      </w:r>
      <w:r>
        <w:br/>
        <w:t>Южного Урала</w:t>
      </w:r>
      <w:bookmarkEnd w:id="1221"/>
      <w:bookmarkEnd w:id="1222"/>
      <w:bookmarkEnd w:id="1223"/>
      <w:bookmarkEnd w:id="1224"/>
      <w:bookmarkEnd w:id="1225"/>
      <w:bookmarkEnd w:id="1226"/>
      <w:bookmarkEnd w:id="1227"/>
      <w:bookmarkEnd w:id="1228"/>
    </w:p>
    <w:p w:rsidR="00F4654E" w:rsidRDefault="00F4654E">
      <w:pPr>
        <w:pStyle w:val="2"/>
      </w:pPr>
      <w:bookmarkStart w:id="1229" w:name="_Toc10115341"/>
      <w:bookmarkStart w:id="1230" w:name="_Toc10731162"/>
      <w:bookmarkStart w:id="1231" w:name="_Toc10731823"/>
      <w:bookmarkStart w:id="1232" w:name="_Toc10891664"/>
      <w:bookmarkStart w:id="1233" w:name="_Toc10892339"/>
      <w:bookmarkStart w:id="1234" w:name="_Toc11390206"/>
      <w:bookmarkStart w:id="1235" w:name="_Toc11937421"/>
      <w:r>
        <w:t>Гертман А.М., Рабинович М.И.</w:t>
      </w:r>
      <w:bookmarkEnd w:id="1229"/>
      <w:bookmarkEnd w:id="1230"/>
      <w:bookmarkEnd w:id="1231"/>
      <w:bookmarkEnd w:id="1232"/>
      <w:bookmarkEnd w:id="1233"/>
      <w:bookmarkEnd w:id="1234"/>
      <w:bookmarkEnd w:id="1235"/>
    </w:p>
    <w:p w:rsidR="00F4654E" w:rsidRDefault="00F4654E">
      <w:pPr>
        <w:pStyle w:val="a5"/>
      </w:pPr>
      <w:r>
        <w:t>Уральская государственная академия ветеринарной медицины</w:t>
      </w:r>
    </w:p>
    <w:p w:rsidR="00F4654E" w:rsidRDefault="00F4654E">
      <w:pPr>
        <w:pStyle w:val="a6"/>
      </w:pPr>
      <w:r>
        <w:t>Одним из наиболее сложных регионов России в экологическом аспе</w:t>
      </w:r>
      <w:r>
        <w:t>к</w:t>
      </w:r>
      <w:r>
        <w:t>те является Южный Урал, где на фоне пестрой геологической ситуации происходит интенсивное антропогенное загрязнение окружающей среды выбросами предприятий черной и цветной металлургии, тепловыми эле</w:t>
      </w:r>
      <w:r>
        <w:t>к</w:t>
      </w:r>
      <w:r>
        <w:t>тростанциями, а также предприятиями, разрабатывающими месторожд</w:t>
      </w:r>
      <w:r>
        <w:t>е</w:t>
      </w:r>
      <w:r>
        <w:t>ния природных ископаемых.</w:t>
      </w:r>
    </w:p>
    <w:p w:rsidR="00F4654E" w:rsidRDefault="00F4654E">
      <w:pPr>
        <w:pStyle w:val="a6"/>
      </w:pPr>
      <w:r>
        <w:t>На Урале никелевые провинции занимают значительное место, так как встречаются естественные, техногенные, а также природно-техногеные с высоким содержанием никеля в объектах окружающей среды (Г.П. Гр</w:t>
      </w:r>
      <w:r>
        <w:t>и</w:t>
      </w:r>
      <w:r>
        <w:t>бовский, 1996; Ю.Г. Грибовский, 2001). Никель оказывает многостороннее токсическое действие на организм животных, которое сопровождается ра</w:t>
      </w:r>
      <w:r>
        <w:t>з</w:t>
      </w:r>
      <w:r>
        <w:t>витием ряда заболеваний незаразной патологии.</w:t>
      </w:r>
    </w:p>
    <w:p w:rsidR="00F4654E" w:rsidRDefault="00F4654E">
      <w:pPr>
        <w:pStyle w:val="a6"/>
      </w:pPr>
      <w:r>
        <w:lastRenderedPageBreak/>
        <w:t>Постоянное загрязнение биосферы выбросами приводит к изменению природного состава почвы, водоемов, растительности и животных орг</w:t>
      </w:r>
      <w:r>
        <w:t>а</w:t>
      </w:r>
      <w:r>
        <w:t>низмов, к образованию биогеохимических провинций.</w:t>
      </w:r>
    </w:p>
    <w:p w:rsidR="00F4654E" w:rsidRDefault="00F4654E">
      <w:pPr>
        <w:pStyle w:val="a6"/>
      </w:pPr>
      <w:r>
        <w:t>Целью настоящих исследований явилось изучение влияния избыто</w:t>
      </w:r>
      <w:r>
        <w:t>ч</w:t>
      </w:r>
      <w:r>
        <w:t>ного содержания никеля в объектах природной среды (почва, вода, корма) на организм коров-матерей и получаемый от них молодняк одного из х</w:t>
      </w:r>
      <w:r>
        <w:t>о</w:t>
      </w:r>
      <w:r>
        <w:t>зяйств Челябинской области, на территории которого, по данным  геолог</w:t>
      </w:r>
      <w:r>
        <w:t>о</w:t>
      </w:r>
      <w:r>
        <w:t>разведки, обнаружены поверхностные залежи никелевых руд.</w:t>
      </w:r>
    </w:p>
    <w:p w:rsidR="00F4654E" w:rsidRDefault="00F4654E">
      <w:pPr>
        <w:pStyle w:val="a6"/>
      </w:pPr>
      <w:r>
        <w:t>Определение содержания никеля в почве, воде, кормах, цельной кр</w:t>
      </w:r>
      <w:r>
        <w:t>о</w:t>
      </w:r>
      <w:r>
        <w:t>ви, кусочков кожи проводили методом атомно-абсорбционной спектроф</w:t>
      </w:r>
      <w:r>
        <w:t>о</w:t>
      </w:r>
      <w:r>
        <w:t>тометрии.</w:t>
      </w:r>
    </w:p>
    <w:p w:rsidR="00F4654E" w:rsidRPr="00B6037B" w:rsidRDefault="00F4654E">
      <w:pPr>
        <w:pStyle w:val="a6"/>
        <w:rPr>
          <w:spacing w:val="-2"/>
        </w:rPr>
      </w:pPr>
      <w:r w:rsidRPr="00B6037B">
        <w:rPr>
          <w:spacing w:val="-2"/>
        </w:rPr>
        <w:t>В почве, взятой из различных полей хозяйства, среднее содержание н</w:t>
      </w:r>
      <w:r w:rsidRPr="00B6037B">
        <w:rPr>
          <w:spacing w:val="-2"/>
        </w:rPr>
        <w:t>и</w:t>
      </w:r>
      <w:r w:rsidRPr="00B6037B">
        <w:rPr>
          <w:spacing w:val="-2"/>
        </w:rPr>
        <w:t>келя составило 65,5±0,17 мг/кг, что превышает ПДК на 37%. Уровень с</w:t>
      </w:r>
      <w:r w:rsidRPr="00B6037B">
        <w:rPr>
          <w:spacing w:val="-2"/>
        </w:rPr>
        <w:t>о</w:t>
      </w:r>
      <w:r w:rsidRPr="00B6037B">
        <w:rPr>
          <w:spacing w:val="-2"/>
        </w:rPr>
        <w:t>держания никеля в воде из естественного водоема составляет 0,31 мг/л, что превышает ПДК в 3,1 раза. Корма  хозяйства (сено, сенаж, концентраты) с</w:t>
      </w:r>
      <w:r w:rsidRPr="00B6037B">
        <w:rPr>
          <w:spacing w:val="-2"/>
        </w:rPr>
        <w:t>о</w:t>
      </w:r>
      <w:r w:rsidRPr="00B6037B">
        <w:rPr>
          <w:spacing w:val="-2"/>
        </w:rPr>
        <w:t>держат никеля  5,4± 0,13 мг/кг; 8,92±0,19; 4,72±0,15 мг/кг, что выше МДУ на 180%; 297,3; 157,3% соответственно.</w:t>
      </w:r>
      <w:r w:rsidR="00B6037B" w:rsidRPr="00B6037B">
        <w:rPr>
          <w:spacing w:val="-2"/>
        </w:rPr>
        <w:t xml:space="preserve"> </w:t>
      </w:r>
      <w:r w:rsidRPr="00B6037B">
        <w:rPr>
          <w:spacing w:val="-2"/>
        </w:rPr>
        <w:t>В крови дойных коров хозяйства ур</w:t>
      </w:r>
      <w:r w:rsidRPr="00B6037B">
        <w:rPr>
          <w:spacing w:val="-2"/>
        </w:rPr>
        <w:t>о</w:t>
      </w:r>
      <w:r w:rsidRPr="00B6037B">
        <w:rPr>
          <w:spacing w:val="-2"/>
        </w:rPr>
        <w:t>вень никеля составлял 0,23±0,19 мг/л, а в крови этих же животных в сух</w:t>
      </w:r>
      <w:r w:rsidRPr="00B6037B">
        <w:rPr>
          <w:spacing w:val="-2"/>
        </w:rPr>
        <w:t>о</w:t>
      </w:r>
      <w:r w:rsidRPr="00B6037B">
        <w:rPr>
          <w:spacing w:val="-2"/>
        </w:rPr>
        <w:t>стойный период значительно возрастал до 0,48±0,11 мг/л, что вероятно св</w:t>
      </w:r>
      <w:r w:rsidRPr="00B6037B">
        <w:rPr>
          <w:spacing w:val="-2"/>
        </w:rPr>
        <w:t>я</w:t>
      </w:r>
      <w:r w:rsidRPr="00B6037B">
        <w:rPr>
          <w:spacing w:val="-2"/>
        </w:rPr>
        <w:t>зано с меньшим выделением токсиканта из организма с мол</w:t>
      </w:r>
      <w:r w:rsidRPr="00B6037B">
        <w:rPr>
          <w:spacing w:val="-2"/>
        </w:rPr>
        <w:t>о</w:t>
      </w:r>
      <w:r w:rsidRPr="00B6037B">
        <w:rPr>
          <w:spacing w:val="-2"/>
        </w:rPr>
        <w:t>ком.</w:t>
      </w:r>
    </w:p>
    <w:p w:rsidR="00F4654E" w:rsidRDefault="00F4654E">
      <w:pPr>
        <w:pStyle w:val="a6"/>
      </w:pPr>
      <w:r>
        <w:t>Кумулятивные свойства никеля проявляются  у телят, полученных от опытной группы коров. Так, в возрасте 14 дней уровень никеля в крови у телят составляет 2,02±0,34 мг/л, что подтверждает данные И.А. Шкурат</w:t>
      </w:r>
      <w:r>
        <w:t>о</w:t>
      </w:r>
      <w:r>
        <w:t>вой (2001) о возможности трансплацентарного перехода токсиканта в о</w:t>
      </w:r>
      <w:r>
        <w:t>р</w:t>
      </w:r>
      <w:r>
        <w:t>ганизм плода. К 2-х месячному возрасту уровень никеля в крови телят н</w:t>
      </w:r>
      <w:r>
        <w:t>е</w:t>
      </w:r>
      <w:r>
        <w:t>сколько снижался и составил 1,79±0,23 мг/л. Значительно высокий уровень никеля содержался в тканях кожи и составил 0,58± 0,26 мг/кг.</w:t>
      </w:r>
    </w:p>
    <w:p w:rsidR="00F4654E" w:rsidRDefault="00F4654E">
      <w:pPr>
        <w:pStyle w:val="a6"/>
      </w:pPr>
      <w:r>
        <w:t>Клинический статус телят при никелевом токсикозе характеризовался изменениями: со стороны кожи – дерматиты; со стороны опорно-двигательного аппарата – рахит; со стороны роговицы глаза – кератиты.</w:t>
      </w:r>
      <w:r w:rsidR="00B6037B">
        <w:t xml:space="preserve"> </w:t>
      </w:r>
      <w:r>
        <w:t>Дерматиты у телят проявлялись аллопециями ушных раковин, вокруг глаз в виде «очков», понижением эластичности кожи, складчатость, ос</w:t>
      </w:r>
      <w:r>
        <w:t>о</w:t>
      </w:r>
      <w:r>
        <w:t>бенно в области шеи.</w:t>
      </w:r>
      <w:r w:rsidR="00B6037B">
        <w:t xml:space="preserve"> </w:t>
      </w:r>
      <w:r>
        <w:t>Известна способность никеля заменять кальций в костях, е</w:t>
      </w:r>
      <w:r>
        <w:t>с</w:t>
      </w:r>
      <w:r>
        <w:t>ли он является постоянным источником  контаминации в течение длител</w:t>
      </w:r>
      <w:r>
        <w:t>ь</w:t>
      </w:r>
      <w:r>
        <w:t>ного времени и, как следствие, развитие рахита.</w:t>
      </w:r>
    </w:p>
    <w:p w:rsidR="00F4654E" w:rsidRDefault="00F4654E">
      <w:pPr>
        <w:pStyle w:val="a6"/>
      </w:pPr>
      <w:r>
        <w:t>При исследовании животных были отмечены характерные признаки: болезненность костяка, больные животные неохотно вставали и передв</w:t>
      </w:r>
      <w:r>
        <w:t>и</w:t>
      </w:r>
      <w:r>
        <w:t>гались, искривление костей, неправильная постановка конечностей, нал</w:t>
      </w:r>
      <w:r>
        <w:t>и</w:t>
      </w:r>
      <w:r>
        <w:t>чие рахитических «четок», деформация грудной клетки. Снижение тонуса скелетной мускулатуры сопровождалось увеличением объема живота.</w:t>
      </w:r>
      <w:r w:rsidR="00B6037B">
        <w:t xml:space="preserve"> </w:t>
      </w:r>
      <w:r>
        <w:t>Следует отметить, что рахит телят в хозяйстве, как  правило, осло</w:t>
      </w:r>
      <w:r>
        <w:t>ж</w:t>
      </w:r>
      <w:r>
        <w:t>нялся развитием бронхопневмонии.</w:t>
      </w:r>
    </w:p>
    <w:p w:rsidR="00F4654E" w:rsidRDefault="00F4654E">
      <w:pPr>
        <w:pStyle w:val="a6"/>
      </w:pPr>
      <w:r>
        <w:lastRenderedPageBreak/>
        <w:t>Поражение роговицы глаза у телят сопровождалось истечением из конъюнктивального мешка, светобоязнью. Лечение больных животных, общепринятыми методами, имело низкий терапевтический эффект. Си</w:t>
      </w:r>
      <w:r>
        <w:t>м</w:t>
      </w:r>
      <w:r>
        <w:t>птомов «никелевой слепоты», описанных в литературе, в данном хозяйстве среди телят не выявлено.</w:t>
      </w:r>
    </w:p>
    <w:p w:rsidR="00F4654E" w:rsidRPr="00B6037B" w:rsidRDefault="00F4654E">
      <w:pPr>
        <w:pStyle w:val="a6"/>
        <w:rPr>
          <w:spacing w:val="-4"/>
        </w:rPr>
      </w:pPr>
      <w:r w:rsidRPr="00B6037B">
        <w:rPr>
          <w:spacing w:val="-4"/>
        </w:rPr>
        <w:t>Избыточное содержание токсических веществ в организме животных находится в прямой зависимости от уровня загрязнения окружающей ср</w:t>
      </w:r>
      <w:r w:rsidRPr="00B6037B">
        <w:rPr>
          <w:spacing w:val="-4"/>
        </w:rPr>
        <w:t>е</w:t>
      </w:r>
      <w:r w:rsidRPr="00B6037B">
        <w:rPr>
          <w:spacing w:val="-4"/>
        </w:rPr>
        <w:t>ды и кормов. В этой связи, особую актуальность приобретают исследования по изысканию и использованию современных методов коррекции, путем прим</w:t>
      </w:r>
      <w:r w:rsidRPr="00B6037B">
        <w:rPr>
          <w:spacing w:val="-4"/>
        </w:rPr>
        <w:t>е</w:t>
      </w:r>
      <w:r w:rsidRPr="00B6037B">
        <w:rPr>
          <w:spacing w:val="-4"/>
        </w:rPr>
        <w:t>нения природных минералов, как энтеросорбентов, обладающих уникальн</w:t>
      </w:r>
      <w:r w:rsidRPr="00B6037B">
        <w:rPr>
          <w:spacing w:val="-4"/>
        </w:rPr>
        <w:t>ы</w:t>
      </w:r>
      <w:r w:rsidRPr="00B6037B">
        <w:rPr>
          <w:spacing w:val="-4"/>
        </w:rPr>
        <w:t>ми сорбционными, катализирующими и ионообменными  свойств</w:t>
      </w:r>
      <w:r w:rsidRPr="00B6037B">
        <w:rPr>
          <w:spacing w:val="-4"/>
        </w:rPr>
        <w:t>а</w:t>
      </w:r>
      <w:r w:rsidRPr="00B6037B">
        <w:rPr>
          <w:spacing w:val="-4"/>
        </w:rPr>
        <w:t>ми.</w:t>
      </w:r>
    </w:p>
    <w:p w:rsidR="00F4654E" w:rsidRDefault="00F4654E">
      <w:pPr>
        <w:pStyle w:val="a6"/>
      </w:pPr>
      <w:r>
        <w:t>Высокий терапевтический и фармакологический эффект при никел</w:t>
      </w:r>
      <w:r>
        <w:t>е</w:t>
      </w:r>
      <w:r>
        <w:t>вом токсикозе получен от применения вермикулита. Вермикулит – это природный минерал из группы гидрослюд, структура которого состоит из  перемежающихся слюдяных листов, разделенных между собой двойными слоями воды. Он обладает способностью при резком нагревании до темп</w:t>
      </w:r>
      <w:r>
        <w:t>е</w:t>
      </w:r>
      <w:r>
        <w:t>ратуры 800 – 900Сº многократно увеличиваться в объеме, при этом обр</w:t>
      </w:r>
      <w:r>
        <w:t>а</w:t>
      </w:r>
      <w:r>
        <w:t>зуются пористые гранулы, которые в 10 раз легче воды. Вспученный ве</w:t>
      </w:r>
      <w:r>
        <w:t>р</w:t>
      </w:r>
      <w:r>
        <w:t>микулит нетоксичен, не имеет запаха, по химическому составу он почти полный аналог глины (Г.Я.Ахметов,1999).</w:t>
      </w:r>
      <w:r w:rsidR="00B6037B">
        <w:t xml:space="preserve"> </w:t>
      </w:r>
      <w:r>
        <w:t>Предварительно проведенные исследования по применению вермикулита на лабораторных животных выявили высокие сорбционные свойства минерала к ряду токсических элементов как in vitro так in vivo.  Наиболее выраженный детоксикацио</w:t>
      </w:r>
      <w:r>
        <w:t>н</w:t>
      </w:r>
      <w:r>
        <w:t>ный эффект при этом получен к солям никеля, что и послужило основан</w:t>
      </w:r>
      <w:r>
        <w:t>и</w:t>
      </w:r>
      <w:r>
        <w:t>ем для использования его как энтеросорбента при никелевом токсикозе.</w:t>
      </w:r>
    </w:p>
    <w:p w:rsidR="00F4654E" w:rsidRDefault="00F4654E">
      <w:pPr>
        <w:pStyle w:val="a6"/>
      </w:pPr>
      <w:r>
        <w:t>С этой целью в хозяйстве было сформировано две группы телят по 8 голов в каждой в возрасте двух месяцев с массой тела 55-60 кг. Опытной группе телят дополнительно к основному рациону в смеси с концентрат</w:t>
      </w:r>
      <w:r>
        <w:t>а</w:t>
      </w:r>
      <w:r>
        <w:t>ми применяли вермикулит из расчета 0,1 г/кг дважды в день в течение 30 дней. Кровь от опытных животных брали на 1-е сутки фоновые показатели, 7-е, 14-е и 30-е сутки. Так, на фоне применения вермикулита в крови телят опытной группы происходило достоверное закономерное снижение никеля как на 7-е, так и на 14-е сутки, но наиболее существенное снижение отм</w:t>
      </w:r>
      <w:r>
        <w:t>е</w:t>
      </w:r>
      <w:r>
        <w:t>чено на 14-е сутки. В этот период уровень никеля в крови телят опытной группы снизился на 89,8 % по сравнению с исходными данными. Следует отметить, что на 30-е сутки исследований существенного снижения никеля в крови телят опытной группы, по сравнению с результатами, полученн</w:t>
      </w:r>
      <w:r>
        <w:t>ы</w:t>
      </w:r>
      <w:r>
        <w:t>ми на 14-е сутки, не выявлено.</w:t>
      </w:r>
    </w:p>
    <w:p w:rsidR="00F4654E" w:rsidRDefault="00F4654E">
      <w:pPr>
        <w:pStyle w:val="a6"/>
      </w:pPr>
      <w:r>
        <w:t>Таким образом, никелевый токсикоз телят связан с избытком элемента в трофической цепи хозяйства биогеохимической провинции, который в</w:t>
      </w:r>
      <w:r>
        <w:t>ы</w:t>
      </w:r>
      <w:r>
        <w:t>зывает хронический протекающий токсикоз взрослых животных, а переход токсиканта через плацентарный барьер и молодняка.</w:t>
      </w:r>
    </w:p>
    <w:p w:rsidR="00F4654E" w:rsidRDefault="00F4654E">
      <w:pPr>
        <w:pStyle w:val="a6"/>
      </w:pPr>
      <w:r>
        <w:lastRenderedPageBreak/>
        <w:t>Применение вермикулита в дозе 0,1 г/кг дважды в день в течение 14 дней с интервалом 14 дней оказывает выраженный терапевтический и фар-макологический эффект.</w:t>
      </w:r>
    </w:p>
    <w:p w:rsidR="00F4654E" w:rsidRDefault="00F4654E">
      <w:pPr>
        <w:pStyle w:val="a4"/>
      </w:pPr>
      <w:r>
        <w:t xml:space="preserve">УДК 619:616.98:578.825.15-085 </w:t>
      </w:r>
    </w:p>
    <w:p w:rsidR="00F4654E" w:rsidRDefault="00F4654E">
      <w:pPr>
        <w:pStyle w:val="1"/>
      </w:pPr>
      <w:bookmarkStart w:id="1236" w:name="_Toc10115342"/>
      <w:bookmarkStart w:id="1237" w:name="_Toc10731163"/>
      <w:bookmarkStart w:id="1238" w:name="_Toc10731824"/>
      <w:bookmarkStart w:id="1239" w:name="_Toc10891665"/>
      <w:bookmarkStart w:id="1240" w:name="_Toc10892340"/>
      <w:bookmarkStart w:id="1241" w:name="_Toc11390207"/>
      <w:bookmarkStart w:id="1242" w:name="_Toc11839886"/>
      <w:bookmarkStart w:id="1243" w:name="_Toc11937422"/>
      <w:r>
        <w:t>СРАВНИТЕЛЬНАЯ ОЦЕНКА ПРИМЕНЕНИЯ ИНТЕРФЕРОНОВ ЭКЗОГЕННОГО И ЭНДОГЕННОГО ВОЗДЕЙСТВИЯ ПРИ ИНФЕКЦИОННОМ РИНОТРАХЕИТЕ У ТЕЛЯТ</w:t>
      </w:r>
      <w:bookmarkEnd w:id="1236"/>
      <w:bookmarkEnd w:id="1237"/>
      <w:bookmarkEnd w:id="1238"/>
      <w:bookmarkEnd w:id="1239"/>
      <w:bookmarkEnd w:id="1240"/>
      <w:bookmarkEnd w:id="1241"/>
      <w:bookmarkEnd w:id="1242"/>
      <w:bookmarkEnd w:id="1243"/>
    </w:p>
    <w:p w:rsidR="00F4654E" w:rsidRDefault="00F4654E">
      <w:pPr>
        <w:pStyle w:val="2"/>
      </w:pPr>
      <w:bookmarkStart w:id="1244" w:name="_Toc10115343"/>
      <w:bookmarkStart w:id="1245" w:name="_Toc10731164"/>
      <w:bookmarkStart w:id="1246" w:name="_Toc10731825"/>
      <w:bookmarkStart w:id="1247" w:name="_Toc10891666"/>
      <w:bookmarkStart w:id="1248" w:name="_Toc10892341"/>
      <w:bookmarkStart w:id="1249" w:name="_Toc11390208"/>
      <w:bookmarkStart w:id="1250" w:name="_Toc11937423"/>
      <w:r>
        <w:t>Гизатулина С.Р.</w:t>
      </w:r>
      <w:bookmarkEnd w:id="1244"/>
      <w:bookmarkEnd w:id="1245"/>
      <w:bookmarkEnd w:id="1246"/>
      <w:bookmarkEnd w:id="1247"/>
      <w:bookmarkEnd w:id="1248"/>
      <w:bookmarkEnd w:id="1249"/>
      <w:bookmarkEnd w:id="1250"/>
    </w:p>
    <w:p w:rsidR="00F4654E" w:rsidRDefault="00F4654E">
      <w:pPr>
        <w:pStyle w:val="a5"/>
      </w:pPr>
      <w:r>
        <w:t>Уральская государственная академия ветеринарной медицины</w:t>
      </w:r>
    </w:p>
    <w:p w:rsidR="00B6037B" w:rsidRDefault="00F4654E">
      <w:pPr>
        <w:pStyle w:val="a6"/>
      </w:pPr>
      <w:r>
        <w:t>Регион Южного Урала, в том числе Челябинская область, входит в число зон экологического неблагополучия. В этих условиях у животных нередко развиваются вторичные иммунодефицитные состояния, обусла</w:t>
      </w:r>
      <w:r>
        <w:t>в</w:t>
      </w:r>
      <w:r>
        <w:t>ливающие повышенную восприимчивость к бактериальным и вирусным инфекциям. Поэтому своевременное применение препаратов, обладающих иммунокорригирующими свойствами, позволяет повысить сопротивля</w:t>
      </w:r>
      <w:r>
        <w:t>е</w:t>
      </w:r>
      <w:r>
        <w:t>мость организма.</w:t>
      </w:r>
      <w:r w:rsidR="00B6037B">
        <w:t xml:space="preserve"> </w:t>
      </w:r>
    </w:p>
    <w:p w:rsidR="00B6037B" w:rsidRDefault="00F4654E">
      <w:pPr>
        <w:pStyle w:val="a6"/>
      </w:pPr>
      <w:r>
        <w:t>В современной ветеринарии все шире применяются иммуномодулят</w:t>
      </w:r>
      <w:r>
        <w:t>о</w:t>
      </w:r>
      <w:r>
        <w:t>ры. Однако их применение при вирусных инфекциях должно избирательно и специфически подавлять репродукцию вирусов и не затрагивать проце</w:t>
      </w:r>
      <w:r>
        <w:t>с</w:t>
      </w:r>
      <w:r>
        <w:t>сов жизнедеятельности клеток и систем организма. Из известных в н</w:t>
      </w:r>
      <w:r>
        <w:t>а</w:t>
      </w:r>
      <w:r>
        <w:t>стоящее время средств противовирусного действия практическое примен</w:t>
      </w:r>
      <w:r>
        <w:t>е</w:t>
      </w:r>
      <w:r>
        <w:t>ние смогли найти лишь отдельные, одними из которых являются интерф</w:t>
      </w:r>
      <w:r>
        <w:t>е</w:t>
      </w:r>
      <w:r>
        <w:t>роны (ИФН). ИФН можно использовать введением готовых форм (экз</w:t>
      </w:r>
      <w:r>
        <w:t>о</w:t>
      </w:r>
      <w:r>
        <w:t>генная интерферонизация) и стимуляцией образования ИФН клетками о</w:t>
      </w:r>
      <w:r>
        <w:t>р</w:t>
      </w:r>
      <w:r>
        <w:t>ганизма под влиянием индукторов (эндогенная интерферонизация).</w:t>
      </w:r>
      <w:r w:rsidR="00B6037B">
        <w:t xml:space="preserve"> </w:t>
      </w:r>
    </w:p>
    <w:p w:rsidR="00F4654E" w:rsidRDefault="00F4654E">
      <w:pPr>
        <w:pStyle w:val="a6"/>
      </w:pPr>
      <w:r>
        <w:t xml:space="preserve">В качестве экзогенного ИФН нами был использован миксоферон – продукт генной инженерии </w:t>
      </w:r>
      <w:r>
        <w:sym w:font="Symbol" w:char="F061"/>
      </w:r>
      <w:r>
        <w:t>-интерферон, оказывающий противовирусное дейс</w:t>
      </w:r>
      <w:r>
        <w:t>т</w:t>
      </w:r>
      <w:r>
        <w:t>вие, активно влияющий на фагоцитоз, выработку антител, функцию естественных киллеров. Индуктором эндогенного интерферона служил циклоферон – интерфероноген и иммунокорректор смешанного типа с в</w:t>
      </w:r>
      <w:r>
        <w:t>ы</w:t>
      </w:r>
      <w:r>
        <w:t>раже</w:t>
      </w:r>
      <w:r>
        <w:t>н</w:t>
      </w:r>
      <w:r>
        <w:t>ной противовирусной активностью.</w:t>
      </w:r>
    </w:p>
    <w:p w:rsidR="00F4654E" w:rsidRDefault="00F4654E">
      <w:pPr>
        <w:pStyle w:val="a6"/>
      </w:pPr>
      <w:r>
        <w:t>Цель исследования – дать сравнительную оценку применения ИФН экзогенного и эндогенного воздействия при инфекционном ринотрахеите (ИРТ) у телят. Наблюдения проводили на телятах 1 –1,5-месячного возра</w:t>
      </w:r>
      <w:r>
        <w:t>с</w:t>
      </w:r>
      <w:r>
        <w:t>та в ТОО «Карсинское» Троицкого района, сформировав две группы (по 10 голов каждая). Миксоферон назначали по 10 доз дважды в день внутр</w:t>
      </w:r>
      <w:r>
        <w:t>и</w:t>
      </w:r>
      <w:r>
        <w:t>мышечно в течение 7 дней. Циклоферон применяли в дозе 2,0 мл внутр</w:t>
      </w:r>
      <w:r>
        <w:t>и</w:t>
      </w:r>
      <w:r>
        <w:t>мышечно с 48-часовыми интервалами между введениями в количестве 5 инъекций.</w:t>
      </w:r>
    </w:p>
    <w:p w:rsidR="00F4654E" w:rsidRDefault="00F4654E">
      <w:pPr>
        <w:pStyle w:val="a6"/>
      </w:pPr>
      <w:r>
        <w:t>В результате проведенных исследований установлено, что оба преп</w:t>
      </w:r>
      <w:r>
        <w:t>а</w:t>
      </w:r>
      <w:r>
        <w:t xml:space="preserve">рата обладают иммунокорригирующим действием. Так, например, общее </w:t>
      </w:r>
      <w:r>
        <w:lastRenderedPageBreak/>
        <w:t>количество лейкоцитов и моноцитов снижается под влиянием циклофер</w:t>
      </w:r>
      <w:r>
        <w:t>о</w:t>
      </w:r>
      <w:r>
        <w:t>на  в большей степени. Однако, миксоферон значительно повышает число эозинофилов и устраняет дефицит зрелых нейтрофилов, снижая количес</w:t>
      </w:r>
      <w:r>
        <w:t>т</w:t>
      </w:r>
      <w:r>
        <w:t xml:space="preserve">во палочкоядерных и повышая число сегментоядерных нейтрофилов на 35,8 и 57,4 </w:t>
      </w:r>
      <w:r>
        <w:sym w:font="Symbol" w:char="F025"/>
      </w:r>
      <w:r>
        <w:t xml:space="preserve"> соответственно (при циклоферонотерапии эти цифры выгл</w:t>
      </w:r>
      <w:r>
        <w:t>я</w:t>
      </w:r>
      <w:r>
        <w:t xml:space="preserve">дят как 8,2 и 26,7 </w:t>
      </w:r>
      <w:r>
        <w:sym w:font="Symbol" w:char="F025"/>
      </w:r>
      <w:r>
        <w:t>). Миксоферон усиливает лизосомальную, фагоцита</w:t>
      </w:r>
      <w:r>
        <w:t>р</w:t>
      </w:r>
      <w:r>
        <w:t>ную активность и интенсивность фагоцитоза в 1,1; 2,1 и 4,2 раза. Циклоф</w:t>
      </w:r>
      <w:r>
        <w:t>е</w:t>
      </w:r>
      <w:r>
        <w:t>рон в меньшей степени увеличивает фагоцитарную активность и инте</w:t>
      </w:r>
      <w:r>
        <w:t>н</w:t>
      </w:r>
      <w:r>
        <w:t>сивность (в 1,3 и 1,2 раза) и, кроме того, под его влиянием происходит снижение индекса общей люминесценции лизосом в 1,9 раз.</w:t>
      </w:r>
      <w:r w:rsidR="00B6037B">
        <w:t xml:space="preserve"> </w:t>
      </w:r>
      <w:r>
        <w:t>Аналогичная закономерность прослеживается при воздействии интерферонов на оки</w:t>
      </w:r>
      <w:r>
        <w:t>с</w:t>
      </w:r>
      <w:r>
        <w:t>лительно-восстановительный потенциал нейтрофилов: миксоферон у</w:t>
      </w:r>
      <w:r>
        <w:t>с</w:t>
      </w:r>
      <w:r>
        <w:t>пешнее справляется с этой задачей, чем циклоферон. Об этом свидетельс</w:t>
      </w:r>
      <w:r>
        <w:t>т</w:t>
      </w:r>
      <w:r>
        <w:t>вует снижение числа ферментативно активных фагоцитов в 2,2 раза (при циклоферонотерапии в 1,8 раза) – по результатам спонта</w:t>
      </w:r>
      <w:r>
        <w:t>н</w:t>
      </w:r>
      <w:r>
        <w:t>ного НСТ-теста. В индуцированном НСТ-тесте положительно реагирующих клеток стан</w:t>
      </w:r>
      <w:r>
        <w:t>о</w:t>
      </w:r>
      <w:r>
        <w:t>вится меньше в 1,9 раз при миксоферонотерапии и в 1,6 раз при воздейс</w:t>
      </w:r>
      <w:r>
        <w:t>т</w:t>
      </w:r>
      <w:r>
        <w:t>вии циклоферона, что указывает на наличие «фагоцитарного резерва» не</w:t>
      </w:r>
      <w:r>
        <w:t>й</w:t>
      </w:r>
      <w:r>
        <w:t>трофилов. В отношении Т-лимфоцитов и их субпопул</w:t>
      </w:r>
      <w:r>
        <w:t>я</w:t>
      </w:r>
      <w:r>
        <w:t>ций также активнее действует миксоферон, который увеличивает содерж</w:t>
      </w:r>
      <w:r>
        <w:t>а</w:t>
      </w:r>
      <w:r>
        <w:t>ние Т-лимфоцитов и Т-хелперов в 1,8 и 1,6 раз. При этом снижается кол</w:t>
      </w:r>
      <w:r>
        <w:t>и</w:t>
      </w:r>
      <w:r>
        <w:t>чество Т-супрессоров в 1,4 раза, что влечет за собой повышение индекса Тх/Тс в 2,1 раза. Возде</w:t>
      </w:r>
      <w:r>
        <w:t>й</w:t>
      </w:r>
      <w:r>
        <w:t>ствие циклоферона на популяции Т-лимфоцитов прямо противоположное: снижая число Т-хелперов в 1,1 раза, увеличивает количество Т-супрессоров в 1,6 раза, тем самым изменяя индекс соотношения Тх/Тс в сторону снижения в 1,6 раз. Однако, циклоферон интенсивнее, чем микс</w:t>
      </w:r>
      <w:r>
        <w:t>о</w:t>
      </w:r>
      <w:r>
        <w:t>ферон повышает количество В-лимфоцитов – их число п</w:t>
      </w:r>
      <w:r>
        <w:t>о</w:t>
      </w:r>
      <w:r>
        <w:t>вышается в 5,7 раз, тогда как при воздействии миксоферона это увелич</w:t>
      </w:r>
      <w:r>
        <w:t>е</w:t>
      </w:r>
      <w:r>
        <w:t>ние происходит в 3,0 раза. Одновременно развивается первичный имму</w:t>
      </w:r>
      <w:r>
        <w:t>н</w:t>
      </w:r>
      <w:r>
        <w:t>ный ответ (уровень содержания IgM увеличивается в 1,4 раза при цикл</w:t>
      </w:r>
      <w:r>
        <w:t>о</w:t>
      </w:r>
      <w:r>
        <w:t>феронотерапии, в 1,1 раза при лечении миксофероном).</w:t>
      </w:r>
    </w:p>
    <w:p w:rsidR="00F4654E" w:rsidRPr="00B6037B" w:rsidRDefault="00F4654E">
      <w:pPr>
        <w:pStyle w:val="a6"/>
        <w:rPr>
          <w:spacing w:val="-4"/>
        </w:rPr>
      </w:pPr>
      <w:r w:rsidRPr="00B6037B">
        <w:rPr>
          <w:spacing w:val="-4"/>
        </w:rPr>
        <w:t>Таким образом, при сравнении действия миксоферона и циклоферона на состояние иммунной системы у телят при ИРТ прослеживается преимущес</w:t>
      </w:r>
      <w:r w:rsidRPr="00B6037B">
        <w:rPr>
          <w:spacing w:val="-4"/>
        </w:rPr>
        <w:t>т</w:t>
      </w:r>
      <w:r w:rsidRPr="00B6037B">
        <w:rPr>
          <w:spacing w:val="-4"/>
        </w:rPr>
        <w:t>во первого из них. Циклоферон оказывал менее выраженное во</w:t>
      </w:r>
      <w:r w:rsidRPr="00B6037B">
        <w:rPr>
          <w:spacing w:val="-4"/>
        </w:rPr>
        <w:t>з</w:t>
      </w:r>
      <w:r w:rsidRPr="00B6037B">
        <w:rPr>
          <w:spacing w:val="-4"/>
        </w:rPr>
        <w:t>действие.</w:t>
      </w:r>
    </w:p>
    <w:p w:rsidR="00F4654E" w:rsidRDefault="00F4654E">
      <w:pPr>
        <w:pStyle w:val="a4"/>
      </w:pPr>
      <w:r>
        <w:t>УДК 619.615.7.612.017.1.636.4</w:t>
      </w:r>
    </w:p>
    <w:p w:rsidR="00F4654E" w:rsidRDefault="00F4654E">
      <w:pPr>
        <w:pStyle w:val="1"/>
      </w:pPr>
      <w:bookmarkStart w:id="1251" w:name="_Toc10115344"/>
      <w:bookmarkStart w:id="1252" w:name="_Toc10731165"/>
      <w:bookmarkStart w:id="1253" w:name="_Toc10731826"/>
      <w:bookmarkStart w:id="1254" w:name="_Toc10891667"/>
      <w:bookmarkStart w:id="1255" w:name="_Toc10892342"/>
      <w:bookmarkStart w:id="1256" w:name="_Toc11390209"/>
      <w:bookmarkStart w:id="1257" w:name="_Toc11839888"/>
      <w:bookmarkStart w:id="1258" w:name="_Toc11937424"/>
      <w:r>
        <w:t>ТОКСИЛОГИЧЕСКАЯ ОЦЕНКА ПРЕПАРАТА «ЭНТЕРОСАН»</w:t>
      </w:r>
      <w:bookmarkEnd w:id="1251"/>
      <w:bookmarkEnd w:id="1252"/>
      <w:bookmarkEnd w:id="1253"/>
      <w:bookmarkEnd w:id="1254"/>
      <w:bookmarkEnd w:id="1255"/>
      <w:bookmarkEnd w:id="1256"/>
      <w:bookmarkEnd w:id="1257"/>
      <w:bookmarkEnd w:id="1258"/>
    </w:p>
    <w:p w:rsidR="00F4654E" w:rsidRDefault="00F4654E">
      <w:pPr>
        <w:pStyle w:val="2"/>
      </w:pPr>
      <w:bookmarkStart w:id="1259" w:name="_Toc10115345"/>
      <w:bookmarkStart w:id="1260" w:name="_Toc10731166"/>
      <w:bookmarkStart w:id="1261" w:name="_Toc10731827"/>
      <w:bookmarkStart w:id="1262" w:name="_Toc10891668"/>
      <w:bookmarkStart w:id="1263" w:name="_Toc10892343"/>
      <w:bookmarkStart w:id="1264" w:name="_Toc11390210"/>
      <w:bookmarkStart w:id="1265" w:name="_Toc11937425"/>
      <w:r>
        <w:t>Гладских Л. В., Штукарева М. Ю.</w:t>
      </w:r>
      <w:bookmarkEnd w:id="1259"/>
      <w:bookmarkEnd w:id="1260"/>
      <w:bookmarkEnd w:id="1261"/>
      <w:bookmarkEnd w:id="1262"/>
      <w:bookmarkEnd w:id="1263"/>
      <w:bookmarkEnd w:id="1264"/>
      <w:bookmarkEnd w:id="1265"/>
    </w:p>
    <w:p w:rsidR="00F4654E" w:rsidRDefault="00F4654E">
      <w:pPr>
        <w:pStyle w:val="a5"/>
      </w:pPr>
      <w:r>
        <w:t>ЗАО «Медминипром»</w:t>
      </w:r>
    </w:p>
    <w:p w:rsidR="00F4654E" w:rsidRDefault="00F4654E">
      <w:pPr>
        <w:pStyle w:val="a6"/>
      </w:pPr>
      <w:r>
        <w:t>В последние годы наметилась тенденция к использованию нетрадиц</w:t>
      </w:r>
      <w:r>
        <w:t>и</w:t>
      </w:r>
      <w:r>
        <w:t>онного сырья мясной и птицеперерабатывающей промышленности для создания лекарственных препаратов.</w:t>
      </w:r>
      <w:r w:rsidR="00B6037B">
        <w:t xml:space="preserve"> </w:t>
      </w:r>
      <w:r>
        <w:t xml:space="preserve">Биологически активные вещества, </w:t>
      </w:r>
      <w:r>
        <w:lastRenderedPageBreak/>
        <w:t>выделенные из сырья животного происхождения, занимают особое место среди природных действующих веществ, так как они сходны по химич</w:t>
      </w:r>
      <w:r>
        <w:t>е</w:t>
      </w:r>
      <w:r>
        <w:t>скому составу и функциональной активности с макромолекулами органи</w:t>
      </w:r>
      <w:r>
        <w:t>з</w:t>
      </w:r>
      <w:r>
        <w:t>ма, имеющими физиологическое значение.</w:t>
      </w:r>
    </w:p>
    <w:p w:rsidR="00F4654E" w:rsidRDefault="00F4654E">
      <w:pPr>
        <w:pStyle w:val="a6"/>
      </w:pPr>
      <w:r>
        <w:t>Препарат «Энтеросан» изготавливается из высушенной покровной пластины кур в соответствии с техническими условиями ТУ 9359-002-47350523-98. В своем составе препарат содержит сульфатированные и ка</w:t>
      </w:r>
      <w:r>
        <w:t>р</w:t>
      </w:r>
      <w:r>
        <w:t>боксил</w:t>
      </w:r>
      <w:r>
        <w:t>и</w:t>
      </w:r>
      <w:r>
        <w:t>рованные гликозоаминогликаны, гликопротеиды, сиаломуцины, нуклеиновые и желчные кислоты.</w:t>
      </w:r>
      <w:r w:rsidR="00B6037B">
        <w:t xml:space="preserve"> </w:t>
      </w:r>
      <w:r>
        <w:t>При разработке нового фармакотерапе</w:t>
      </w:r>
      <w:r>
        <w:t>в</w:t>
      </w:r>
      <w:r>
        <w:t>тического средства учитыв</w:t>
      </w:r>
      <w:r>
        <w:t>а</w:t>
      </w:r>
      <w:r>
        <w:t>ются все возможные стороны его действия.</w:t>
      </w:r>
    </w:p>
    <w:p w:rsidR="00F4654E" w:rsidRDefault="00F4654E">
      <w:pPr>
        <w:pStyle w:val="a6"/>
      </w:pPr>
      <w:r>
        <w:t>Оценка возможного «острого» действия энтеросана производилась в соответствии с требованиями ГОСТ 12.1.007-76. Изучение острой токси</w:t>
      </w:r>
      <w:r>
        <w:t>ч</w:t>
      </w:r>
      <w:r>
        <w:t>ности осуществлялось при внутрижелудочном введении. В качестве объе</w:t>
      </w:r>
      <w:r>
        <w:t>к</w:t>
      </w:r>
      <w:r>
        <w:t>та для предполагаемого токсического воздействия были избраны полово</w:t>
      </w:r>
      <w:r>
        <w:t>з</w:t>
      </w:r>
      <w:r>
        <w:t>релые белые крысы линии Вистар массой 200</w:t>
      </w:r>
      <w:r>
        <w:sym w:font="Symbol" w:char="F0B1"/>
      </w:r>
      <w:r>
        <w:t>20 г и беспородные белые мыши массой 20</w:t>
      </w:r>
      <w:r>
        <w:sym w:font="Symbol" w:char="F0B1"/>
      </w:r>
      <w:r>
        <w:t>2,02 г. Число животных в группах составляло по шесть особей без учета пола. Препарат вводили, предварительно разведя его в физиологическом растворе в объеме 0,5-3 мл. Содержание активного в</w:t>
      </w:r>
      <w:r>
        <w:t>е</w:t>
      </w:r>
      <w:r>
        <w:t>щества составляло 60, 600, 6000 мг/кг. Наблюдения за экспериментальн</w:t>
      </w:r>
      <w:r>
        <w:t>ы</w:t>
      </w:r>
      <w:r>
        <w:t>ми животными после введения препарата осуществляли в течение 14 дней, обращая внимание на потребление пищи и воды, опрятность, дефекацию и мочеотделение, активность и ориентацию в пространстве, состояние вид</w:t>
      </w:r>
      <w:r>
        <w:t>и</w:t>
      </w:r>
      <w:r>
        <w:t xml:space="preserve">мых слизистых оболочек, зрачков, цвет ушных раковин, состояние кожи и шерстного покрова, тонус скелетных мышц и координацию движений. </w:t>
      </w:r>
    </w:p>
    <w:p w:rsidR="00F4654E" w:rsidRDefault="00F4654E">
      <w:pPr>
        <w:pStyle w:val="a6"/>
      </w:pPr>
      <w:r>
        <w:t>За весь срок наблюдения за экспериментальными животными измен</w:t>
      </w:r>
      <w:r>
        <w:t>е</w:t>
      </w:r>
      <w:r>
        <w:t>ний интегральных показателей здоровья нами не было зарегистрировано. Животные независимо от вида были активны. Положение тела у всех эк</w:t>
      </w:r>
      <w:r>
        <w:t>с</w:t>
      </w:r>
      <w:r>
        <w:t>периментальны животных, походка, положение конечностей в покое были обычными. На внешние тактильные, болевые и обонятельные раздражит</w:t>
      </w:r>
      <w:r>
        <w:t>е</w:t>
      </w:r>
      <w:r>
        <w:t>ли, как после острого опыта, так и в процессе наблюдения отвечали аде</w:t>
      </w:r>
      <w:r>
        <w:t>к</w:t>
      </w:r>
      <w:r>
        <w:t>ватно. Визуально проявлений отклонений от нормы со стороны органов дыхания или сердечно-сосудистой системы не обнаружено на протяжении всего периода наблюдения. Общее состояние, даже при действии макс</w:t>
      </w:r>
      <w:r>
        <w:t>и</w:t>
      </w:r>
      <w:r>
        <w:t>мально возможных доз, было вполне удовлетворительным. Гибели живо</w:t>
      </w:r>
      <w:r>
        <w:t>т</w:t>
      </w:r>
      <w:r>
        <w:t xml:space="preserve">ных за весь срок эксперимента не было отмечено. </w:t>
      </w:r>
    </w:p>
    <w:p w:rsidR="00F4654E" w:rsidRDefault="00F4654E">
      <w:pPr>
        <w:pStyle w:val="a6"/>
      </w:pPr>
      <w:r>
        <w:t>При макроморфологическом изучении внутренних органов экспер</w:t>
      </w:r>
      <w:r>
        <w:t>и</w:t>
      </w:r>
      <w:r>
        <w:t>ментальных животных после эутаназии даже при действии максимально достижимых доз энтеросана существенных изменений не прослеживалось. На вскрытии у всех групп экспериментальных животных визуальных и</w:t>
      </w:r>
      <w:r>
        <w:t>з</w:t>
      </w:r>
      <w:r>
        <w:t>менений в тканях легких, сердца, печени и почек не обнаружено. Паре</w:t>
      </w:r>
      <w:r>
        <w:t>н</w:t>
      </w:r>
      <w:r>
        <w:t>химатозные органы обычной консистенции, на разрезе имеют обычное строение. Желудок и кишечник содержат остатки пищи.</w:t>
      </w:r>
    </w:p>
    <w:p w:rsidR="00F4654E" w:rsidRDefault="00F4654E">
      <w:pPr>
        <w:pStyle w:val="a6"/>
      </w:pPr>
      <w:r>
        <w:lastRenderedPageBreak/>
        <w:t>Таким образом, по характеру острого токсического действия Энтер</w:t>
      </w:r>
      <w:r>
        <w:t>о</w:t>
      </w:r>
      <w:r>
        <w:t>сан может быть отнесен к малоопасным веществам (ГОСТ 12.1.007-76).</w:t>
      </w:r>
    </w:p>
    <w:p w:rsidR="00F4654E" w:rsidRDefault="00F4654E">
      <w:pPr>
        <w:pStyle w:val="a4"/>
      </w:pPr>
      <w:r>
        <w:t>УДК 619:616.995.132:636.22/28</w:t>
      </w:r>
    </w:p>
    <w:p w:rsidR="00F4654E" w:rsidRDefault="00F4654E">
      <w:pPr>
        <w:pStyle w:val="1"/>
      </w:pPr>
      <w:bookmarkStart w:id="1266" w:name="_Toc10731167"/>
      <w:bookmarkStart w:id="1267" w:name="_Toc10731828"/>
      <w:bookmarkStart w:id="1268" w:name="_Toc10891669"/>
      <w:bookmarkStart w:id="1269" w:name="_Toc10892344"/>
      <w:bookmarkStart w:id="1270" w:name="_Toc11390211"/>
      <w:bookmarkStart w:id="1271" w:name="_Toc11839890"/>
      <w:bookmarkStart w:id="1272" w:name="_Toc11937426"/>
      <w:r>
        <w:t>Причины увеличения желчного пузыря у молодняка КРС</w:t>
      </w:r>
      <w:bookmarkEnd w:id="1266"/>
      <w:bookmarkEnd w:id="1267"/>
      <w:bookmarkEnd w:id="1268"/>
      <w:bookmarkEnd w:id="1269"/>
      <w:bookmarkEnd w:id="1270"/>
      <w:bookmarkEnd w:id="1271"/>
      <w:bookmarkEnd w:id="1272"/>
    </w:p>
    <w:p w:rsidR="00F4654E" w:rsidRDefault="00F4654E">
      <w:pPr>
        <w:pStyle w:val="2"/>
        <w:tabs>
          <w:tab w:val="clear" w:pos="4677"/>
          <w:tab w:val="clear" w:pos="9355"/>
          <w:tab w:val="center" w:pos="-3828"/>
        </w:tabs>
      </w:pPr>
      <w:bookmarkStart w:id="1273" w:name="_Toc10731168"/>
      <w:bookmarkStart w:id="1274" w:name="_Toc10731829"/>
      <w:bookmarkStart w:id="1275" w:name="_Toc10891670"/>
      <w:bookmarkStart w:id="1276" w:name="_Toc10892345"/>
      <w:bookmarkStart w:id="1277" w:name="_Toc11390212"/>
      <w:bookmarkStart w:id="1278" w:name="_Toc11937427"/>
      <w:r>
        <w:t>Голубев А.Н., Зайцев В.В., Горчаков В.В., Мищенко В.А., Гетманский О.И.</w:t>
      </w:r>
      <w:bookmarkEnd w:id="1273"/>
      <w:bookmarkEnd w:id="1274"/>
      <w:bookmarkEnd w:id="1275"/>
      <w:bookmarkEnd w:id="1276"/>
      <w:bookmarkEnd w:id="1277"/>
      <w:bookmarkEnd w:id="1278"/>
    </w:p>
    <w:p w:rsidR="00F4654E" w:rsidRDefault="00F4654E">
      <w:pPr>
        <w:pStyle w:val="a5"/>
      </w:pPr>
      <w:r>
        <w:t>Всероссийский научно-исследовательский институт защиты животных</w:t>
      </w:r>
    </w:p>
    <w:p w:rsidR="00F4654E" w:rsidRDefault="00F4654E">
      <w:pPr>
        <w:pStyle w:val="a6"/>
      </w:pPr>
      <w:r>
        <w:t>В данном сообщении представлены результаты изучения причин г</w:t>
      </w:r>
      <w:r>
        <w:t>и</w:t>
      </w:r>
      <w:r>
        <w:t>бели и вынужденного убоя 6 – 11 месячного молодняка КРС в 11 колле</w:t>
      </w:r>
      <w:r>
        <w:t>к</w:t>
      </w:r>
      <w:r>
        <w:t>тивных хозяйствах двух районов лесной зоны России.</w:t>
      </w:r>
    </w:p>
    <w:p w:rsidR="00F4654E" w:rsidRDefault="00F4654E">
      <w:pPr>
        <w:pStyle w:val="a6"/>
      </w:pPr>
      <w:r>
        <w:t>В декабре 2001</w:t>
      </w:r>
      <w:r w:rsidR="00B6037B">
        <w:t xml:space="preserve"> </w:t>
      </w:r>
      <w:r>
        <w:t>года было отмечено увеличение числа павших и в</w:t>
      </w:r>
      <w:r>
        <w:t>ы</w:t>
      </w:r>
      <w:r>
        <w:t>нужденно убитых животных, а так же резкое снижение интенсивности прироста массы тела (с 400 – 600 г/сутки до 100 – 200 г/сутки), несмотря на соответствие рациона нормам кормления. Аналогичная ситуация наблюд</w:t>
      </w:r>
      <w:r>
        <w:t>а</w:t>
      </w:r>
      <w:r>
        <w:t>лась и среди молодняка КРС частного сектора.</w:t>
      </w:r>
    </w:p>
    <w:p w:rsidR="00F4654E" w:rsidRDefault="00F4654E">
      <w:pPr>
        <w:pStyle w:val="a6"/>
      </w:pPr>
      <w:r>
        <w:t>С профилактической целью телята в 30 и 50 дневном возрасте были дважды привиты инактивированной сорбированной вакциной против ПГ – 3 и ИРТ КРС.</w:t>
      </w:r>
    </w:p>
    <w:p w:rsidR="00F4654E" w:rsidRDefault="00F4654E">
      <w:pPr>
        <w:pStyle w:val="a6"/>
      </w:pPr>
      <w:r>
        <w:t>При клиническом осмотре животных отмечается: слабое угнетение, бледность слизистых оболочек, исхудание. Телята отстают  в росте и ра</w:t>
      </w:r>
      <w:r>
        <w:t>з</w:t>
      </w:r>
      <w:r>
        <w:t>витие, у многих особей регистрируется диарея, приводящая к дегидрат</w:t>
      </w:r>
      <w:r>
        <w:t>а</w:t>
      </w:r>
      <w:r>
        <w:t>ции и гибели или вынужденному убою. При диагностическом убое моло</w:t>
      </w:r>
      <w:r>
        <w:t>д</w:t>
      </w:r>
      <w:r>
        <w:t>няка КРС 8 – 12 месячного возраста отмечалось их истощение и обезвож</w:t>
      </w:r>
      <w:r>
        <w:t>и</w:t>
      </w:r>
      <w:r>
        <w:t>вание.</w:t>
      </w:r>
      <w:r w:rsidR="00B6037B">
        <w:t xml:space="preserve"> </w:t>
      </w:r>
      <w:r>
        <w:t>У части животных при послеубойной диагностике отмечались х</w:t>
      </w:r>
      <w:r>
        <w:t>а</w:t>
      </w:r>
      <w:r>
        <w:t>рактерные патологоанатомические изменения, локализующиеся в брюш</w:t>
      </w:r>
      <w:r>
        <w:t>и</w:t>
      </w:r>
      <w:r>
        <w:t>не, диафрагме и печени. В печени выявлены образования соединительно-тканных утолщений на поверхности капсулы, характерные для миграции сетарий. У 30 – 40% животных желчный пузырь сильно увеличен и запо</w:t>
      </w:r>
      <w:r>
        <w:t>л</w:t>
      </w:r>
      <w:r>
        <w:t>нен густой тягучей  темной желчью (около 1 литра). Иногда под брюш</w:t>
      </w:r>
      <w:r>
        <w:t>и</w:t>
      </w:r>
      <w:r>
        <w:t>ной на серозной оболочке обнаруживались многочисленные пятнистые п</w:t>
      </w:r>
      <w:r>
        <w:t>о</w:t>
      </w:r>
      <w:r>
        <w:t>лосатые или округлой формы кровоизлияния. В центре кровоизлияний можно обнаружить личинку. В пробах сыворотки крови обнаружены п</w:t>
      </w:r>
      <w:r>
        <w:t>о</w:t>
      </w:r>
      <w:r>
        <w:t>ствакцианальные антитела к вирусам ПГ – 3 (титр 1:128 – 1:512) и ИРТ (титр 1:64 – 1:256). Антиген из суспензии патолого-анатомического мат</w:t>
      </w:r>
      <w:r>
        <w:t>е</w:t>
      </w:r>
      <w:r>
        <w:t>риала не агглютинировал эритроциты барана, морской свинки, белой м</w:t>
      </w:r>
      <w:r>
        <w:t>ы</w:t>
      </w:r>
      <w:r>
        <w:t>ши и петуха. Биопроба в культуре клеток МДВК была отрицательной.</w:t>
      </w:r>
    </w:p>
    <w:p w:rsidR="00F4654E" w:rsidRDefault="00F4654E">
      <w:pPr>
        <w:pStyle w:val="a6"/>
      </w:pPr>
      <w:r>
        <w:t>Результаты исследований патологоанатомического материала на н</w:t>
      </w:r>
      <w:r>
        <w:t>а</w:t>
      </w:r>
      <w:r>
        <w:t>личие возбудителей бактериальной и грибной этиологии оказались отр</w:t>
      </w:r>
      <w:r>
        <w:t>и</w:t>
      </w:r>
      <w:r>
        <w:t xml:space="preserve">цательными. </w:t>
      </w:r>
    </w:p>
    <w:p w:rsidR="00F4654E" w:rsidRDefault="00F4654E">
      <w:pPr>
        <w:pStyle w:val="a6"/>
      </w:pPr>
      <w:r>
        <w:t>Наибольшее внимание уделялось исключению заболеваний, при кот</w:t>
      </w:r>
      <w:r>
        <w:t>о</w:t>
      </w:r>
      <w:r>
        <w:t>рых отмечено сильное увеличение желчного пузыря: чумы КРС, лептосп</w:t>
      </w:r>
      <w:r>
        <w:t>и</w:t>
      </w:r>
      <w:r>
        <w:t>роза, анаплазмоза, фасциолеза, парамфистоматоза, отравлений хлорорг</w:t>
      </w:r>
      <w:r>
        <w:t>а</w:t>
      </w:r>
      <w:r>
        <w:lastRenderedPageBreak/>
        <w:t>ническими соединениями. В результате гельминтологических исследов</w:t>
      </w:r>
      <w:r>
        <w:t>а</w:t>
      </w:r>
      <w:r>
        <w:t>ний в брюшной полости молодняка обнаружены сетарии длинной около 10 см, а шириной менее 1 мм.</w:t>
      </w:r>
    </w:p>
    <w:p w:rsidR="00F4654E" w:rsidRDefault="00F4654E">
      <w:pPr>
        <w:pStyle w:val="a6"/>
      </w:pPr>
      <w:r>
        <w:t>Все это позволило предположить, что вышеописанная патология в</w:t>
      </w:r>
      <w:r>
        <w:t>ы</w:t>
      </w:r>
      <w:r>
        <w:t>звана сетариозом, а интенсивность инвазирования обуславливает тяжесть болезни. Обработка инвазированных животных ивомеком или фенбенс</w:t>
      </w:r>
      <w:r>
        <w:t>а</w:t>
      </w:r>
      <w:r>
        <w:t>ном привела к выздоровлению животных.</w:t>
      </w:r>
    </w:p>
    <w:p w:rsidR="00F4654E" w:rsidRDefault="00F4654E">
      <w:pPr>
        <w:pStyle w:val="a4"/>
      </w:pPr>
      <w:r>
        <w:t>УДК 619:616.001.4.</w:t>
      </w:r>
    </w:p>
    <w:p w:rsidR="00F4654E" w:rsidRDefault="00F4654E">
      <w:pPr>
        <w:pStyle w:val="1"/>
      </w:pPr>
      <w:bookmarkStart w:id="1279" w:name="_Toc10731169"/>
      <w:bookmarkStart w:id="1280" w:name="_Toc10731830"/>
      <w:bookmarkStart w:id="1281" w:name="_Toc10891671"/>
      <w:bookmarkStart w:id="1282" w:name="_Toc10892346"/>
      <w:bookmarkStart w:id="1283" w:name="_Toc11390213"/>
      <w:bookmarkStart w:id="1284" w:name="_Toc11839892"/>
      <w:bookmarkStart w:id="1285" w:name="_Toc11937428"/>
      <w:r>
        <w:t>ЛЕЧЕНИЕ ЭКСПЕРИМЕНТАЛЬНЫХ РАН  У  СОБАК ПЛЕНОЧНЫМ  ПРЕПАРАТОМ  ДИГИСПОН</w:t>
      </w:r>
      <w:bookmarkEnd w:id="1279"/>
      <w:bookmarkEnd w:id="1280"/>
      <w:bookmarkEnd w:id="1281"/>
      <w:bookmarkEnd w:id="1282"/>
      <w:bookmarkEnd w:id="1283"/>
      <w:bookmarkEnd w:id="1284"/>
      <w:bookmarkEnd w:id="1285"/>
    </w:p>
    <w:p w:rsidR="00F4654E" w:rsidRDefault="00F4654E">
      <w:pPr>
        <w:pStyle w:val="2"/>
      </w:pPr>
      <w:bookmarkStart w:id="1286" w:name="_Toc10731170"/>
      <w:bookmarkStart w:id="1287" w:name="_Toc10731831"/>
      <w:bookmarkStart w:id="1288" w:name="_Toc10891672"/>
      <w:bookmarkStart w:id="1289" w:name="_Toc10892347"/>
      <w:bookmarkStart w:id="1290" w:name="_Toc11390214"/>
      <w:bookmarkStart w:id="1291" w:name="_Toc11937429"/>
      <w:r>
        <w:t>Гриценко Б.П., Вербина Е.Б., Войтенко Л.Г.</w:t>
      </w:r>
      <w:bookmarkEnd w:id="1286"/>
      <w:bookmarkEnd w:id="1287"/>
      <w:bookmarkEnd w:id="1288"/>
      <w:bookmarkEnd w:id="1289"/>
      <w:bookmarkEnd w:id="1290"/>
      <w:bookmarkEnd w:id="1291"/>
    </w:p>
    <w:p w:rsidR="00F4654E" w:rsidRDefault="00F4654E">
      <w:pPr>
        <w:pStyle w:val="a5"/>
      </w:pPr>
      <w:r>
        <w:t>Донской государственный аграрный университет</w:t>
      </w:r>
    </w:p>
    <w:p w:rsidR="00F4654E" w:rsidRDefault="00F4654E">
      <w:pPr>
        <w:pStyle w:val="a6"/>
      </w:pPr>
      <w:r>
        <w:t>Для лечения ран, трофических язв, ожогов ВНИИ мясной  промы</w:t>
      </w:r>
      <w:r>
        <w:t>ш</w:t>
      </w:r>
      <w:r>
        <w:t>ленности предложен пленочный препарат дигиспон, в состав которого входят гелевин, диоксидин на основе коллагена. Однако о действии преп</w:t>
      </w:r>
      <w:r>
        <w:t>а</w:t>
      </w:r>
      <w:r>
        <w:t>рата на раневой процесс у собак авторы не сообщали. Мы решили исп</w:t>
      </w:r>
      <w:r>
        <w:t>ы</w:t>
      </w:r>
      <w:r>
        <w:t>тать дигистон при лечении экспериментальных ран у собак в сравнении с официальными пленочными препаратами: бронолиндом, альгипором, к</w:t>
      </w:r>
      <w:r>
        <w:t>о</w:t>
      </w:r>
      <w:r>
        <w:t>летексом, активтексом, апполо-паком.</w:t>
      </w:r>
    </w:p>
    <w:p w:rsidR="00F4654E" w:rsidRDefault="00F4654E">
      <w:pPr>
        <w:pStyle w:val="a6"/>
      </w:pPr>
      <w:r>
        <w:t>Для изучения лечебного действия препарата дигиспон на раневой процесс шести собакам после удаления волосяного покрова наносили р</w:t>
      </w:r>
      <w:r>
        <w:t>е</w:t>
      </w:r>
      <w:r>
        <w:t>заные раны в передней, средней и задней области холки слева и справа, в сегментной плоскости, отступя на 3 см от медиальной плоскости. Длина ран составляла 3 см, глубина – 1 см.</w:t>
      </w:r>
    </w:p>
    <w:p w:rsidR="00F4654E" w:rsidRDefault="00F4654E">
      <w:pPr>
        <w:pStyle w:val="a6"/>
      </w:pPr>
      <w:r>
        <w:t>К лечению ран приступали в день их нанесения (после остановки кр</w:t>
      </w:r>
      <w:r>
        <w:t>о</w:t>
      </w:r>
      <w:r>
        <w:t>вотечения) и повторяли через каждые 72 часа до полного заживления. На поверхность одной раны накладывали  дигиспон, а на остальные – один из официальных препаратов. После наложения препарата на него накладыв</w:t>
      </w:r>
      <w:r>
        <w:t>а</w:t>
      </w:r>
      <w:r>
        <w:t>ли марлевый лангет, который фиксировали клеевой ватно-йодополной п</w:t>
      </w:r>
      <w:r>
        <w:t>о</w:t>
      </w:r>
      <w:r>
        <w:t>вязкой. На клеевую повязку накладывали тонкий слой белой ваты, и все это фиксировали бинтовой повязкой. Один и тот же препарат применяли на двух собаках в передней, средней и задней областях холки. На протяж</w:t>
      </w:r>
      <w:r>
        <w:t>е</w:t>
      </w:r>
      <w:r>
        <w:t>нии опыта в дни обработки ран проводили общее клиническое исследов</w:t>
      </w:r>
      <w:r>
        <w:t>а</w:t>
      </w:r>
      <w:r>
        <w:t>ние подопытных собак, осуществляли визуальный контроль за состоянием ран. Цифровые данные обработали методом вариационной статистики (по Меркурьевой).</w:t>
      </w:r>
    </w:p>
    <w:p w:rsidR="00F4654E" w:rsidRDefault="00F4654E">
      <w:pPr>
        <w:pStyle w:val="a6"/>
      </w:pPr>
      <w:r>
        <w:t>До нанесения ран общее состояние у собак было хорошее: температ</w:t>
      </w:r>
      <w:r>
        <w:t>у</w:t>
      </w:r>
      <w:r>
        <w:t>ра тела 38,5±0,1; частота пульса 91±2; число дыхательных движений 19±2. Опытные и контрольные раны собак были обработаны.</w:t>
      </w:r>
    </w:p>
    <w:p w:rsidR="00F4654E" w:rsidRDefault="00F4654E">
      <w:pPr>
        <w:pStyle w:val="a6"/>
      </w:pPr>
      <w:r>
        <w:t>На 3 сутки общее состояние у собак было слегка угнетенное, но апп</w:t>
      </w:r>
      <w:r>
        <w:t>е</w:t>
      </w:r>
      <w:r>
        <w:t xml:space="preserve">тит сохранялся, температура тела – 39,2±0,1; дыхание 24±2; пульс 103±3. </w:t>
      </w:r>
      <w:r>
        <w:lastRenderedPageBreak/>
        <w:t>При визуальном наблюдении за состоянием ран отмечали раневая повер</w:t>
      </w:r>
      <w:r>
        <w:t>х</w:t>
      </w:r>
      <w:r>
        <w:t>ность была покрыта небольшим количеством серозного экссудата. В ранах, обрабатываемых препаратом дигиспон, воспалительный отек в тканях, о</w:t>
      </w:r>
      <w:r>
        <w:t>к</w:t>
      </w:r>
      <w:r>
        <w:t>ружающих края ран, распространялся на 0,2±0,1 см, а в ранах обрабат</w:t>
      </w:r>
      <w:r>
        <w:t>ы</w:t>
      </w:r>
      <w:r>
        <w:t>ваемых препаратами альгипор, апполо-пак, он был на 0,6-0,7 см больше, а в остальных контрольных ранах он был больше на 0,1-0,3 см. В ранах, л</w:t>
      </w:r>
      <w:r>
        <w:t>е</w:t>
      </w:r>
      <w:r>
        <w:t>ченных препаратом дигиспон длина, глубина, ширина в средней части с</w:t>
      </w:r>
      <w:r>
        <w:t>о</w:t>
      </w:r>
      <w:r>
        <w:t>ставляли соответственно: 2.8±0.1; 0,5±0,2; 0,4±0,1 см. В ранах леченных препаратами альгипор, колетекс, активтекс, апполо-пак, эти показатели были на 0,1-0,3 см больше, за исключением показателя ширины ран в средней части, леченных препаратом колетекс, который был на 0,1 см меньше. Данные показатели в ранах, леченных бронолиндом, соответств</w:t>
      </w:r>
      <w:r>
        <w:t>о</w:t>
      </w:r>
      <w:r>
        <w:t>вали ранам, леченных дигиспоном, за исключением глубины ран, которая была на 0,1 см больше. На шестые сутки общее состояние собак было х</w:t>
      </w:r>
      <w:r>
        <w:t>о</w:t>
      </w:r>
      <w:r>
        <w:t>рошее, температура – 38,6±0,2; дыхание 19±2; пульс 92±2. При визуальном наблюдении за состоянием ран отмечали: раневая поверхность была п</w:t>
      </w:r>
      <w:r>
        <w:t>о</w:t>
      </w:r>
      <w:r>
        <w:t>крыта небольшим количеством серозного экссудата, за исключением ран леченных препаратом апполо-пак, у которых на раневой поверхности был серозно-гнойный экссудат.</w:t>
      </w:r>
    </w:p>
    <w:p w:rsidR="00F4654E" w:rsidRPr="00B6037B" w:rsidRDefault="00F4654E">
      <w:pPr>
        <w:pStyle w:val="a6"/>
        <w:rPr>
          <w:spacing w:val="-2"/>
        </w:rPr>
      </w:pPr>
      <w:r w:rsidRPr="00B6037B">
        <w:rPr>
          <w:spacing w:val="-2"/>
        </w:rPr>
        <w:t>В ранах, леченных препаратом дигиспон, воспалительный отек в тк</w:t>
      </w:r>
      <w:r w:rsidRPr="00B6037B">
        <w:rPr>
          <w:spacing w:val="-2"/>
        </w:rPr>
        <w:t>а</w:t>
      </w:r>
      <w:r w:rsidRPr="00B6037B">
        <w:rPr>
          <w:spacing w:val="-2"/>
        </w:rPr>
        <w:t>нях, окружающих края ран, распространялся на 0,2±0,1 см, а в ранах, лече</w:t>
      </w:r>
      <w:r w:rsidRPr="00B6037B">
        <w:rPr>
          <w:spacing w:val="-2"/>
        </w:rPr>
        <w:t>н</w:t>
      </w:r>
      <w:r w:rsidRPr="00B6037B">
        <w:rPr>
          <w:spacing w:val="-2"/>
        </w:rPr>
        <w:t>ных препаратами бронолинд, колетекс он был не 0,1 см больше, а в остал</w:t>
      </w:r>
      <w:r w:rsidRPr="00B6037B">
        <w:rPr>
          <w:spacing w:val="-2"/>
        </w:rPr>
        <w:t>ь</w:t>
      </w:r>
      <w:r w:rsidRPr="00B6037B">
        <w:rPr>
          <w:spacing w:val="-2"/>
        </w:rPr>
        <w:t>ных контрольных ранах он был больше на 0,2-0,4 см. Длина, глубина, ш</w:t>
      </w:r>
      <w:r w:rsidRPr="00B6037B">
        <w:rPr>
          <w:spacing w:val="-2"/>
        </w:rPr>
        <w:t>и</w:t>
      </w:r>
      <w:r w:rsidRPr="00B6037B">
        <w:rPr>
          <w:spacing w:val="-2"/>
        </w:rPr>
        <w:t>рина в средней части ран, леченных препаратом дигиспон составляли соо</w:t>
      </w:r>
      <w:r w:rsidRPr="00B6037B">
        <w:rPr>
          <w:spacing w:val="-2"/>
        </w:rPr>
        <w:t>т</w:t>
      </w:r>
      <w:r w:rsidRPr="00B6037B">
        <w:rPr>
          <w:spacing w:val="-2"/>
        </w:rPr>
        <w:t>ветственно: 2,3±0,2; 0,3±0,2; 0,2±0,1 см. Эти показатели в ранах, л</w:t>
      </w:r>
      <w:r w:rsidRPr="00B6037B">
        <w:rPr>
          <w:spacing w:val="-2"/>
        </w:rPr>
        <w:t>е</w:t>
      </w:r>
      <w:r w:rsidRPr="00B6037B">
        <w:rPr>
          <w:spacing w:val="-2"/>
        </w:rPr>
        <w:t>ченных препарат</w:t>
      </w:r>
      <w:r w:rsidRPr="00B6037B">
        <w:rPr>
          <w:spacing w:val="-2"/>
        </w:rPr>
        <w:t>а</w:t>
      </w:r>
      <w:r w:rsidRPr="00B6037B">
        <w:rPr>
          <w:spacing w:val="-2"/>
        </w:rPr>
        <w:t>ми бронолинд, котелекс, активтекс, были на 0,1-0,3 см больше, а в ранах л</w:t>
      </w:r>
      <w:r w:rsidRPr="00B6037B">
        <w:rPr>
          <w:spacing w:val="-2"/>
        </w:rPr>
        <w:t>е</w:t>
      </w:r>
      <w:r w:rsidRPr="00B6037B">
        <w:rPr>
          <w:spacing w:val="-2"/>
        </w:rPr>
        <w:t>ченных препаратами альгипор, апполо-пак были больше на 0,3-0,7 см. Эп</w:t>
      </w:r>
      <w:r w:rsidRPr="00B6037B">
        <w:rPr>
          <w:spacing w:val="-2"/>
        </w:rPr>
        <w:t>и</w:t>
      </w:r>
      <w:r w:rsidRPr="00B6037B">
        <w:rPr>
          <w:spacing w:val="-2"/>
        </w:rPr>
        <w:t>дермальный ободок во всех ранах был 0,1±0.1 мм.</w:t>
      </w:r>
    </w:p>
    <w:p w:rsidR="00F4654E" w:rsidRDefault="00F4654E">
      <w:pPr>
        <w:pStyle w:val="a6"/>
      </w:pPr>
      <w:r>
        <w:t>На 9-е сутки общее состояние опытных собак хорошее. Раневые п</w:t>
      </w:r>
      <w:r>
        <w:t>о</w:t>
      </w:r>
      <w:r>
        <w:t>верхности сухие, покрыты отдельными корочками, экссудат отсутствовал. Воспалительный отек в ранах, окружающих края ран, отсутствовал, за и</w:t>
      </w:r>
      <w:r>
        <w:t>с</w:t>
      </w:r>
      <w:r>
        <w:t>ключен</w:t>
      </w:r>
      <w:r>
        <w:t>и</w:t>
      </w:r>
      <w:r>
        <w:t>ем ран, обрабатываемых препаратом апполо-пак, где он составлял 0.1 см. В ранах обрабатываемых препаратами дигиспон, колетекс, брон</w:t>
      </w:r>
      <w:r>
        <w:t>о</w:t>
      </w:r>
      <w:r>
        <w:t>линд длина, глубина, ширина в средней части, эпидермальный ободок с</w:t>
      </w:r>
      <w:r>
        <w:t>о</w:t>
      </w:r>
      <w:r>
        <w:t>ставляли соо</w:t>
      </w:r>
      <w:r>
        <w:t>т</w:t>
      </w:r>
      <w:r>
        <w:t>ветственно: 1,2±0,4; 0,1±0,1; 0,2±0,1 см и 0,2±0,1 мм, за иск-лючением длины ран, обрабатываемых бронолиндом, которая была 1,4±0,4 см. Длина в о</w:t>
      </w:r>
      <w:r>
        <w:t>с</w:t>
      </w:r>
      <w:r>
        <w:t>тальных ранах была на 0,8-1,5 см больше, глубина – на 0,1 см. ширина в средней части ран, обрабатываемых препаратами альгипор и апполо - пак были больше на 0,3 см. Эпидермальный ободок составлял 0,2-0,3 мм.</w:t>
      </w:r>
    </w:p>
    <w:p w:rsidR="00F4654E" w:rsidRDefault="00F4654E">
      <w:pPr>
        <w:pStyle w:val="a6"/>
      </w:pPr>
      <w:r>
        <w:t>На 12-е сутки состояние подопытных собак было хорошим. Раневые поверхности были покрыты корочками, экссудат отсутствовал, воспал</w:t>
      </w:r>
      <w:r>
        <w:t>и</w:t>
      </w:r>
      <w:r>
        <w:t>тельный отек в тканях, окружающих края ран, не регистрировали, эпиде</w:t>
      </w:r>
      <w:r>
        <w:t>р</w:t>
      </w:r>
      <w:r>
        <w:lastRenderedPageBreak/>
        <w:t>мальный ободок в  окружности ран был 0,2-0,3 мм. Длина ран, обрабат</w:t>
      </w:r>
      <w:r>
        <w:t>ы</w:t>
      </w:r>
      <w:r>
        <w:t>ваемых препаратами дигиспон, котелекс, бронолинд, активтекс, альгипор, апполо-пак составляла соответственно: 0,9, 1,0,1,1; 1,1; 2,0; 2,3 см. Ширина ран в средней части, леченных препаратами альгипор, апполо-пак была 0,3 см, а в остальных ранах – 0,1 см. Заживление ран в дальнейшем у собак происходило под струпом. Заживление ран у собак при обработке их ра</w:t>
      </w:r>
      <w:r>
        <w:t>з</w:t>
      </w:r>
      <w:r>
        <w:t>ными препаратами наступало: 1) дигиспоном - 11±3 сутки, 2) котелексом -12±3 сутки, 3) активтексом,бранолиндом - 13±3 сутки, 4) альгипором - 15±1 сутки, 5) апполо-паком - 17±1 сутки.</w:t>
      </w:r>
    </w:p>
    <w:p w:rsidR="00F4654E" w:rsidRDefault="00F4654E">
      <w:pPr>
        <w:pStyle w:val="a6"/>
      </w:pPr>
      <w:r>
        <w:t>Таким образом при использовании как дигиспона, так и официальных препаратов заживление резаных ран происходило без нагноения и осло</w:t>
      </w:r>
      <w:r>
        <w:t>ж</w:t>
      </w:r>
      <w:r>
        <w:t>нений. По сравнению с официальными препаратами (котелексом, акти</w:t>
      </w:r>
      <w:r>
        <w:t>в</w:t>
      </w:r>
      <w:r>
        <w:t>тексом,бранолиндом, альгипором, апполо-паком) дигиспон при лечении резаных ран у собак ускоряет на 1-6 суток процесс заживления ран.</w:t>
      </w:r>
    </w:p>
    <w:p w:rsidR="00F4654E" w:rsidRDefault="00F4654E">
      <w:pPr>
        <w:pStyle w:val="a4"/>
      </w:pPr>
      <w:r>
        <w:t>УДК 619:616.33-008.3+619:616.995.122.21</w:t>
      </w:r>
    </w:p>
    <w:p w:rsidR="00F4654E" w:rsidRDefault="00F4654E">
      <w:pPr>
        <w:pStyle w:val="1"/>
      </w:pPr>
      <w:bookmarkStart w:id="1292" w:name="_Toc10115346"/>
      <w:bookmarkStart w:id="1293" w:name="_Toc10731171"/>
      <w:bookmarkStart w:id="1294" w:name="_Toc10731832"/>
      <w:bookmarkStart w:id="1295" w:name="_Toc10891673"/>
      <w:bookmarkStart w:id="1296" w:name="_Toc10892348"/>
      <w:bookmarkStart w:id="1297" w:name="_Toc11390215"/>
      <w:bookmarkStart w:id="1298" w:name="_Toc11839894"/>
      <w:bookmarkStart w:id="1299" w:name="_Toc11937430"/>
      <w:r>
        <w:t>ОСОБЕННОСТИ ТЕЧЕНИЯ ОСТРЫХ ЖЕЛУДОЧНО-КИШЕЧНЫХ  БОЛЕЗНЕЙ НОВОРОЖДЕННЫХ ТЕЛЯТ В ХОЗЯЙСТВАХ, НЕБЛАГОПОЛУЧНЫХ ПО ФАСЦИОЛЕЗУ</w:t>
      </w:r>
      <w:bookmarkEnd w:id="1292"/>
      <w:bookmarkEnd w:id="1293"/>
      <w:bookmarkEnd w:id="1294"/>
      <w:bookmarkEnd w:id="1295"/>
      <w:bookmarkEnd w:id="1296"/>
      <w:bookmarkEnd w:id="1297"/>
      <w:bookmarkEnd w:id="1298"/>
      <w:bookmarkEnd w:id="1299"/>
    </w:p>
    <w:p w:rsidR="00F4654E" w:rsidRDefault="00F4654E">
      <w:pPr>
        <w:pStyle w:val="2"/>
      </w:pPr>
      <w:bookmarkStart w:id="1300" w:name="_Toc10115347"/>
      <w:bookmarkStart w:id="1301" w:name="_Toc10731172"/>
      <w:bookmarkStart w:id="1302" w:name="_Toc10731833"/>
      <w:bookmarkStart w:id="1303" w:name="_Toc10891674"/>
      <w:bookmarkStart w:id="1304" w:name="_Toc10892349"/>
      <w:bookmarkStart w:id="1305" w:name="_Toc11390216"/>
      <w:bookmarkStart w:id="1306" w:name="_Toc11937431"/>
      <w:r>
        <w:t xml:space="preserve">Гудкова А.Ю., Еремеева О.Р., Маямсина Е.В., Петров Ю.Ф., </w:t>
      </w:r>
      <w:r>
        <w:br/>
        <w:t>Шеронов С.Н., Курочкина М.В.</w:t>
      </w:r>
      <w:bookmarkEnd w:id="1300"/>
      <w:bookmarkEnd w:id="1301"/>
      <w:bookmarkEnd w:id="1302"/>
      <w:bookmarkEnd w:id="1303"/>
      <w:bookmarkEnd w:id="1304"/>
      <w:bookmarkEnd w:id="1305"/>
      <w:bookmarkEnd w:id="1306"/>
    </w:p>
    <w:p w:rsidR="00F4654E" w:rsidRDefault="00F4654E">
      <w:pPr>
        <w:pStyle w:val="a5"/>
      </w:pPr>
      <w:r>
        <w:t>Ивановская государственная сельскохозяйственная академия</w:t>
      </w:r>
    </w:p>
    <w:p w:rsidR="00F4654E" w:rsidRPr="00B6037B" w:rsidRDefault="00F4654E">
      <w:pPr>
        <w:pStyle w:val="a6"/>
        <w:rPr>
          <w:spacing w:val="-2"/>
        </w:rPr>
      </w:pPr>
      <w:r w:rsidRPr="00B6037B">
        <w:rPr>
          <w:spacing w:val="-2"/>
        </w:rPr>
        <w:t>Установлено, что при гельминтозах (фасциолез, дикроцелиоз, мони</w:t>
      </w:r>
      <w:r w:rsidRPr="00B6037B">
        <w:rPr>
          <w:spacing w:val="-2"/>
        </w:rPr>
        <w:t>е</w:t>
      </w:r>
      <w:r w:rsidRPr="00B6037B">
        <w:rPr>
          <w:spacing w:val="-2"/>
        </w:rPr>
        <w:t>зиозы, нематодироз, буностомоз и др.) в желудочно-кишечном тракте ж</w:t>
      </w:r>
      <w:r w:rsidRPr="00B6037B">
        <w:rPr>
          <w:spacing w:val="-2"/>
        </w:rPr>
        <w:t>и</w:t>
      </w:r>
      <w:r w:rsidRPr="00B6037B">
        <w:rPr>
          <w:spacing w:val="-2"/>
        </w:rPr>
        <w:t>вотных интенсивно развивается факультативная микрофлора (стафилоко</w:t>
      </w:r>
      <w:r w:rsidRPr="00B6037B">
        <w:rPr>
          <w:spacing w:val="-2"/>
        </w:rPr>
        <w:t>к</w:t>
      </w:r>
      <w:r w:rsidRPr="00B6037B">
        <w:rPr>
          <w:spacing w:val="-2"/>
        </w:rPr>
        <w:t>ки, стрептококки, кишечная палочка, клостридии, протей и др.), но угнет</w:t>
      </w:r>
      <w:r w:rsidRPr="00B6037B">
        <w:rPr>
          <w:spacing w:val="-2"/>
        </w:rPr>
        <w:t>а</w:t>
      </w:r>
      <w:r w:rsidRPr="00B6037B">
        <w:rPr>
          <w:spacing w:val="-2"/>
        </w:rPr>
        <w:t>ется облигатная микрофлора (непатогенные кишечные палочки и кокки, бифидобактерии, лактобациллы, бактероиды и др.). В кишечнике инвазир</w:t>
      </w:r>
      <w:r w:rsidRPr="00B6037B">
        <w:rPr>
          <w:spacing w:val="-2"/>
        </w:rPr>
        <w:t>о</w:t>
      </w:r>
      <w:r w:rsidRPr="00B6037B">
        <w:rPr>
          <w:spacing w:val="-2"/>
        </w:rPr>
        <w:t>ванных гельминтами животных кроме увеличения численного состава у</w:t>
      </w:r>
      <w:r w:rsidRPr="00B6037B">
        <w:rPr>
          <w:spacing w:val="-2"/>
        </w:rPr>
        <w:t>с</w:t>
      </w:r>
      <w:r w:rsidRPr="00B6037B">
        <w:rPr>
          <w:spacing w:val="-2"/>
        </w:rPr>
        <w:t>ловно-патогенных микробов резко повышается их патогенность. Отмече</w:t>
      </w:r>
      <w:r w:rsidRPr="00B6037B">
        <w:rPr>
          <w:spacing w:val="-2"/>
        </w:rPr>
        <w:t>н</w:t>
      </w:r>
      <w:r w:rsidRPr="00B6037B">
        <w:rPr>
          <w:spacing w:val="-2"/>
        </w:rPr>
        <w:t>ные изменения состава микрофлоры кишечника инвазированных гельми</w:t>
      </w:r>
      <w:r w:rsidRPr="00B6037B">
        <w:rPr>
          <w:spacing w:val="-2"/>
        </w:rPr>
        <w:t>н</w:t>
      </w:r>
      <w:r w:rsidRPr="00B6037B">
        <w:rPr>
          <w:spacing w:val="-2"/>
        </w:rPr>
        <w:t xml:space="preserve">тами животных характерны для дисбактериоза (Ю.Ф. Петров, 1988-2001; И.Б. Сорокина, 1987; В.В. Кузьмичев, 1998; А.Ю. Гудкова, 1999-2000 и др.). </w:t>
      </w:r>
    </w:p>
    <w:p w:rsidR="00F4654E" w:rsidRDefault="00F4654E">
      <w:pPr>
        <w:pStyle w:val="a6"/>
      </w:pPr>
      <w:r>
        <w:t>Наши исследования, проведенные в 1990-2001 годы, свидетельствуют, что от больных гельминтозами коров рождаются телята в иммунодеф</w:t>
      </w:r>
      <w:r>
        <w:t>и</w:t>
      </w:r>
      <w:r>
        <w:t>цитном состоянии (А.Ю. Гудкова и др., 2002;  Ю.Ф. Петров и др., 2002). В связи с этим мы провели анализ заболеваемости и смертности новоро</w:t>
      </w:r>
      <w:r>
        <w:t>ж</w:t>
      </w:r>
      <w:r>
        <w:t>денных телят (в первые 30 дней жизни) в двух категориях хозяйств Ив</w:t>
      </w:r>
      <w:r>
        <w:t>а</w:t>
      </w:r>
      <w:r>
        <w:t>новской и Ленинградской областей. В первой категории были хозяйства, где ЭИ коров и нетелей фасциолезом в последние 11 лет составила 2-7,9% при ИИ=1-3 экз. на голову. Во второй категории были хозяйства, где ЭИ животных составила 100% при средней ИИ=76,2-94,8 экз. на голову.</w:t>
      </w:r>
    </w:p>
    <w:p w:rsidR="00640648" w:rsidRDefault="00F4654E">
      <w:pPr>
        <w:pStyle w:val="a6"/>
      </w:pPr>
      <w:r>
        <w:lastRenderedPageBreak/>
        <w:t>В первой категории хозяйств за 11 лет наблюдений от 100 коров и н</w:t>
      </w:r>
      <w:r>
        <w:t>е</w:t>
      </w:r>
      <w:r>
        <w:t xml:space="preserve">телей ежегодно получали по 96-98 телят, смертность новорожденных телят в первые 30 дней жизни составила 2-4%. У больных телят в первые двое суток после рождения наблюдали частую дефекацию, угнетение, потерю аппетита, учащение пульса и дыхания, температура тела в пределах нормы. Начиная с 3 суток регистрировали профузный понос, резкий упадок сил, обезвоживание организма. </w:t>
      </w:r>
    </w:p>
    <w:p w:rsidR="00640648" w:rsidRDefault="00F4654E">
      <w:pPr>
        <w:pStyle w:val="a6"/>
      </w:pPr>
      <w:r>
        <w:t>При вскрытии трупов наблюдали: содержимое желудка имеет кислый или гнилостный запах, серого цвета, много плотных комков казеина и сл</w:t>
      </w:r>
      <w:r>
        <w:t>и</w:t>
      </w:r>
      <w:r>
        <w:t>зи. Кишечник пуст, слизистая оболочка гиперемирована. Селезенка и п</w:t>
      </w:r>
      <w:r>
        <w:t>е</w:t>
      </w:r>
      <w:r>
        <w:t>чень не увеличены. При бактериологическом исследовании паренхимато</w:t>
      </w:r>
      <w:r>
        <w:t>з</w:t>
      </w:r>
      <w:r>
        <w:t xml:space="preserve">ных органов 36 телят бактерий не изолировали. </w:t>
      </w:r>
    </w:p>
    <w:p w:rsidR="00F4654E" w:rsidRDefault="00F4654E">
      <w:pPr>
        <w:pStyle w:val="a6"/>
      </w:pPr>
      <w:r>
        <w:t>При исследовании содержимого кишечника изолировали и изучили 354 культуры E.coli, из которых только 25 культур (7,06%) были патоге</w:t>
      </w:r>
      <w:r>
        <w:t>н</w:t>
      </w:r>
      <w:r>
        <w:t>ны для белых мышей. На основании изучения клинических признаков, п</w:t>
      </w:r>
      <w:r>
        <w:t>а</w:t>
      </w:r>
      <w:r>
        <w:t>тологоанатомических данных, бактериологического исследования и би</w:t>
      </w:r>
      <w:r>
        <w:t>о</w:t>
      </w:r>
      <w:r>
        <w:t>пробы было установлено, что причиной падежа телят в первые 30 дней жизни в этих хозяйствах в основном является «диспепсия» незаразной этиологии.</w:t>
      </w:r>
    </w:p>
    <w:p w:rsidR="00F4654E" w:rsidRDefault="00F4654E">
      <w:pPr>
        <w:pStyle w:val="a6"/>
      </w:pPr>
      <w:r>
        <w:t>Во второй категории хозяйств за последние 11 лет от 100 коров и н</w:t>
      </w:r>
      <w:r>
        <w:t>е</w:t>
      </w:r>
      <w:r>
        <w:t>телей ежегодно получали 82-92 теленка, смертность новорожденных телят в первые 30 дней жизни составила 8-18%. У больных телят в первые 3-5 дней наблюдали вялость, снижение аппетита, болезненность брюшной стенки, профузный понос. Фекалии жидкие с пузырьками газа, желтоват</w:t>
      </w:r>
      <w:r>
        <w:t>о</w:t>
      </w:r>
      <w:r>
        <w:t xml:space="preserve">го или серо-белого цвета со сгустками не переваренного молозива, нередко с кровью. Температура тела – 39,8…41,1 </w:t>
      </w:r>
      <w:r>
        <w:rPr>
          <w:vertAlign w:val="superscript"/>
        </w:rPr>
        <w:t>0</w:t>
      </w:r>
      <w:r>
        <w:t>С. Затем температура тела резко падала и больные телята обычно погибали. При вскрытии выявили: трупы истощены, анемичны. Лимфоузлы увеличены, с кровоизлияниями. Печень глинистого цвета, селезенка не увеличена, темно-вишневого цвета. Соде</w:t>
      </w:r>
      <w:r>
        <w:t>р</w:t>
      </w:r>
      <w:r>
        <w:t>жимое кишечника желто-белого, серого цвета со зловонным запахом и примесью крови. Слизистая желудка и кишечника набухшая, гиперемир</w:t>
      </w:r>
      <w:r>
        <w:t>о</w:t>
      </w:r>
      <w:r>
        <w:t>вана, здесь массовые кровоизлияния. При бактериологическом исследов</w:t>
      </w:r>
      <w:r>
        <w:t>а</w:t>
      </w:r>
      <w:r>
        <w:t>нии паренхиматозных органов и содержимого кишечника 223 телят изол</w:t>
      </w:r>
      <w:r>
        <w:t>и</w:t>
      </w:r>
      <w:r>
        <w:t>ровали 785 культур E.coli, из которых 310 культур (39,49%) были патоге</w:t>
      </w:r>
      <w:r>
        <w:t>н</w:t>
      </w:r>
      <w:r>
        <w:t>ны для белых мышей. Патогенные E.coli были отнесены к серовариантам О4, О18, О26, О35, О78, О111, О127, О14.</w:t>
      </w:r>
    </w:p>
    <w:p w:rsidR="00F4654E" w:rsidRDefault="00F4654E">
      <w:pPr>
        <w:pStyle w:val="a6"/>
      </w:pPr>
      <w:r>
        <w:t>Следовательно, в хозяйствах, где маточное поголовье сильно пораж</w:t>
      </w:r>
      <w:r>
        <w:t>е</w:t>
      </w:r>
      <w:r>
        <w:t>но фасциолами, рождаются телята в иммунодефицитном состоянии и они часто болеют колибактериозом. Поэтому в регионах, неблагополучных по фасциолезу, необходимо систематически проводить плановые против</w:t>
      </w:r>
      <w:r>
        <w:t>о</w:t>
      </w:r>
      <w:r>
        <w:t>гельминтозные мероприятия, что обеспечивает получение молодняка в в</w:t>
      </w:r>
      <w:r>
        <w:t>ы</w:t>
      </w:r>
      <w:r>
        <w:t>соком иммунном состоянии.</w:t>
      </w:r>
    </w:p>
    <w:p w:rsidR="00F4654E" w:rsidRDefault="00F4654E">
      <w:pPr>
        <w:pStyle w:val="a4"/>
      </w:pPr>
      <w:r>
        <w:lastRenderedPageBreak/>
        <w:t>УДК 619:616 98:869-084:636.22</w:t>
      </w:r>
    </w:p>
    <w:p w:rsidR="00F4654E" w:rsidRDefault="00F4654E">
      <w:pPr>
        <w:pStyle w:val="1"/>
      </w:pPr>
      <w:bookmarkStart w:id="1307" w:name="_Toc10731175"/>
      <w:bookmarkStart w:id="1308" w:name="_Toc10731836"/>
      <w:bookmarkStart w:id="1309" w:name="_Toc10891677"/>
      <w:bookmarkStart w:id="1310" w:name="_Toc10892352"/>
      <w:bookmarkStart w:id="1311" w:name="_Toc11390219"/>
      <w:bookmarkStart w:id="1312" w:name="_Toc11839896"/>
      <w:bookmarkStart w:id="1313" w:name="_Toc11937432"/>
      <w:r>
        <w:t xml:space="preserve">Система лечебно-профилактических мероприятий </w:t>
      </w:r>
      <w:r>
        <w:br/>
        <w:t xml:space="preserve">при смешанной инфекционной диареи новорожденных </w:t>
      </w:r>
      <w:r>
        <w:br/>
        <w:t>телят и поросят</w:t>
      </w:r>
      <w:bookmarkEnd w:id="1307"/>
      <w:bookmarkEnd w:id="1308"/>
      <w:bookmarkEnd w:id="1309"/>
      <w:bookmarkEnd w:id="1310"/>
      <w:bookmarkEnd w:id="1311"/>
      <w:bookmarkEnd w:id="1312"/>
      <w:bookmarkEnd w:id="1313"/>
    </w:p>
    <w:p w:rsidR="00F4654E" w:rsidRDefault="00F4654E">
      <w:pPr>
        <w:pStyle w:val="2"/>
      </w:pPr>
      <w:bookmarkStart w:id="1314" w:name="_Toc10731176"/>
      <w:bookmarkStart w:id="1315" w:name="_Toc10731837"/>
      <w:bookmarkStart w:id="1316" w:name="_Toc10891678"/>
      <w:bookmarkStart w:id="1317" w:name="_Toc10892353"/>
      <w:bookmarkStart w:id="1318" w:name="_Toc11390220"/>
      <w:bookmarkStart w:id="1319" w:name="_Toc11937433"/>
      <w:r>
        <w:t>Гаффаров Х. З., Спиридонов Г. Н., Ефимова М. А.</w:t>
      </w:r>
      <w:bookmarkEnd w:id="1314"/>
      <w:bookmarkEnd w:id="1315"/>
      <w:bookmarkEnd w:id="1316"/>
      <w:bookmarkEnd w:id="1317"/>
      <w:bookmarkEnd w:id="1318"/>
      <w:bookmarkEnd w:id="1319"/>
    </w:p>
    <w:p w:rsidR="00F4654E" w:rsidRDefault="00F4654E">
      <w:pPr>
        <w:pStyle w:val="a5"/>
      </w:pPr>
      <w:r>
        <w:t xml:space="preserve">Всероссийский научно-исследовательский ветеринарный институт </w:t>
      </w:r>
    </w:p>
    <w:p w:rsidR="00F4654E" w:rsidRDefault="00F4654E">
      <w:pPr>
        <w:pStyle w:val="a6"/>
      </w:pPr>
      <w:r>
        <w:t>Преимущества и возможности развития животноводства ограничив</w:t>
      </w:r>
      <w:r>
        <w:t>а</w:t>
      </w:r>
      <w:r>
        <w:t>ются целым рядом факторов, одним из которых являются массовые жел</w:t>
      </w:r>
      <w:r>
        <w:t>у</w:t>
      </w:r>
      <w:r>
        <w:t>дочно-кишечные заболевания животных раннего постнатального периода бактериальной и вирусной этиологии.</w:t>
      </w:r>
    </w:p>
    <w:p w:rsidR="00F4654E" w:rsidRDefault="00F4654E">
      <w:pPr>
        <w:pStyle w:val="a6"/>
      </w:pPr>
      <w:r>
        <w:t>Результаты наших исследований (1992-2000 г.г.) показывают, что в регионе Среднего Поволжья основными возбудителями инфекционной диареи новорожденных телят являются рота-, корона-, герпесвирусы и э</w:t>
      </w:r>
      <w:r>
        <w:t>н</w:t>
      </w:r>
      <w:r>
        <w:t>теротоксигенные штаммы эшерихий (К99, А20), у новорожденных поросят – ротовирусы, вирус трансмиссивного гастроэнтерита свиней, энтерото</w:t>
      </w:r>
      <w:r>
        <w:t>к</w:t>
      </w:r>
      <w:r>
        <w:t>сигенные штаммы эшерихий (К 88, 987 Р, F 41).</w:t>
      </w:r>
    </w:p>
    <w:p w:rsidR="00F4654E" w:rsidRDefault="00F4654E">
      <w:pPr>
        <w:pStyle w:val="a6"/>
      </w:pPr>
      <w:r>
        <w:t>Для специфической профилактики смешанных форм инфекционной диареи у новорожденных телят и поросят нами разработаны: “Ассоцииро-ванная вакцина против рота-, корона-, герпесвирусной и эшерихиозной диареи новорожденных телят” (патент РФ №2145236, 10.02.2000 г.); “А</w:t>
      </w:r>
      <w:r>
        <w:t>с</w:t>
      </w:r>
      <w:r>
        <w:t>социированная вакцина против рота-, коронавирусной (ТГС) и эшерихио</w:t>
      </w:r>
      <w:r>
        <w:t>з</w:t>
      </w:r>
      <w:r>
        <w:t>ной диареи новорожденных поросят” (патент РФ №2137499, 20.02.1999 г.); “Полиспецифическая гипериммунная сыворотка против рота-, корона-, герпесвирусов и E. coli (А20, К99) новорожденных телят”  (патент РФ  №2145504, 20.02.2000 г.).</w:t>
      </w:r>
    </w:p>
    <w:p w:rsidR="00F4654E" w:rsidRPr="00640648" w:rsidRDefault="00F4654E">
      <w:pPr>
        <w:pStyle w:val="a6"/>
        <w:rPr>
          <w:spacing w:val="-4"/>
        </w:rPr>
      </w:pPr>
      <w:r w:rsidRPr="00640648">
        <w:rPr>
          <w:spacing w:val="-4"/>
        </w:rPr>
        <w:t>Широкие производственные испытания указанных биопрепаратов пок</w:t>
      </w:r>
      <w:r w:rsidRPr="00640648">
        <w:rPr>
          <w:spacing w:val="-4"/>
        </w:rPr>
        <w:t>а</w:t>
      </w:r>
      <w:r w:rsidRPr="00640648">
        <w:rPr>
          <w:spacing w:val="-4"/>
        </w:rPr>
        <w:t>зали высокую эффективность их в профилактике смешанных форм инфекц</w:t>
      </w:r>
      <w:r w:rsidRPr="00640648">
        <w:rPr>
          <w:spacing w:val="-4"/>
        </w:rPr>
        <w:t>и</w:t>
      </w:r>
      <w:r w:rsidRPr="00640648">
        <w:rPr>
          <w:spacing w:val="-4"/>
        </w:rPr>
        <w:t>онной диареи новорожденных телят и поросят. Так, применение опытных с</w:t>
      </w:r>
      <w:r w:rsidRPr="00640648">
        <w:rPr>
          <w:spacing w:val="-4"/>
        </w:rPr>
        <w:t>е</w:t>
      </w:r>
      <w:r w:rsidRPr="00640648">
        <w:rPr>
          <w:spacing w:val="-4"/>
        </w:rPr>
        <w:t>рий ассоциированной вакцины в хозяйствах неблагополучных по инфекц</w:t>
      </w:r>
      <w:r w:rsidRPr="00640648">
        <w:rPr>
          <w:spacing w:val="-4"/>
        </w:rPr>
        <w:t>и</w:t>
      </w:r>
      <w:r w:rsidRPr="00640648">
        <w:rPr>
          <w:spacing w:val="-4"/>
        </w:rPr>
        <w:t>онной диареи новорожденных телят, позволяет снизить забол</w:t>
      </w:r>
      <w:r w:rsidRPr="00640648">
        <w:rPr>
          <w:spacing w:val="-4"/>
        </w:rPr>
        <w:t>е</w:t>
      </w:r>
      <w:r w:rsidRPr="00640648">
        <w:rPr>
          <w:spacing w:val="-4"/>
        </w:rPr>
        <w:t>ваемость их в 3,1 раза, а смертность в 3,7 раза.  Использование лечебно-профилактической полиспецифической сыворотки в первые часы жизни телят снижает забол</w:t>
      </w:r>
      <w:r w:rsidRPr="00640648">
        <w:rPr>
          <w:spacing w:val="-4"/>
        </w:rPr>
        <w:t>е</w:t>
      </w:r>
      <w:r w:rsidRPr="00640648">
        <w:rPr>
          <w:spacing w:val="-4"/>
        </w:rPr>
        <w:t>ваемость их на 32,3-67,3 % и сокращает гибель на 17-35,5%. Применение ее с лечебной целью сокращает отход телят на 27,5-30,3% и обеспечивает вызд</w:t>
      </w:r>
      <w:r w:rsidRPr="00640648">
        <w:rPr>
          <w:spacing w:val="-4"/>
        </w:rPr>
        <w:t>о</w:t>
      </w:r>
      <w:r w:rsidRPr="00640648">
        <w:rPr>
          <w:spacing w:val="-4"/>
        </w:rPr>
        <w:t>ровление на 29,3-37,3% больше телят по сра</w:t>
      </w:r>
      <w:r w:rsidRPr="00640648">
        <w:rPr>
          <w:spacing w:val="-4"/>
        </w:rPr>
        <w:t>в</w:t>
      </w:r>
      <w:r w:rsidRPr="00640648">
        <w:rPr>
          <w:spacing w:val="-4"/>
        </w:rPr>
        <w:t>нению с группами животных, подвергнутых лечению общепринятыми м</w:t>
      </w:r>
      <w:r w:rsidRPr="00640648">
        <w:rPr>
          <w:spacing w:val="-4"/>
        </w:rPr>
        <w:t>е</w:t>
      </w:r>
      <w:r w:rsidRPr="00640648">
        <w:rPr>
          <w:spacing w:val="-4"/>
        </w:rPr>
        <w:t xml:space="preserve">тодами.  </w:t>
      </w:r>
    </w:p>
    <w:p w:rsidR="00F4654E" w:rsidRDefault="00F4654E">
      <w:pPr>
        <w:pStyle w:val="a6"/>
      </w:pPr>
      <w:r>
        <w:t>Ассоциированная вакцина против рота -, коронавирусной (ТГС) и эшерихиозной диареи новорожденных поросят позволяет повысить с</w:t>
      </w:r>
      <w:r>
        <w:t>о</w:t>
      </w:r>
      <w:r>
        <w:t>хранность приплода к отъему на 51,3% по сравнению с пометами невакц</w:t>
      </w:r>
      <w:r>
        <w:t>и</w:t>
      </w:r>
      <w:r>
        <w:t>нированных свиноматок.</w:t>
      </w:r>
    </w:p>
    <w:p w:rsidR="00F4654E" w:rsidRDefault="00F4654E">
      <w:pPr>
        <w:pStyle w:val="a6"/>
      </w:pPr>
      <w:r>
        <w:t>На основании результатов проведенных исследований нами разраб</w:t>
      </w:r>
      <w:r>
        <w:t>о</w:t>
      </w:r>
      <w:r>
        <w:t>тана научно-обоснованная система мероприятий по профилактике  и ли</w:t>
      </w:r>
      <w:r>
        <w:t>к</w:t>
      </w:r>
      <w:r>
        <w:lastRenderedPageBreak/>
        <w:t>видации смешанных инфекционных энтеритов новорожденных   телят и поросят.</w:t>
      </w:r>
    </w:p>
    <w:p w:rsidR="00F4654E" w:rsidRDefault="00F4654E">
      <w:pPr>
        <w:pStyle w:val="a6"/>
      </w:pPr>
      <w:r>
        <w:t>В данной форме неонатальной патологии важную роль играет напр</w:t>
      </w:r>
      <w:r>
        <w:t>я</w:t>
      </w:r>
      <w:r>
        <w:t>женность колострального иммунитета, который, в основном, и обеспеч</w:t>
      </w:r>
      <w:r>
        <w:t>и</w:t>
      </w:r>
      <w:r>
        <w:t>вает защиту молодняка от инфекционных агентов циркулирующих на ко</w:t>
      </w:r>
      <w:r>
        <w:t>м</w:t>
      </w:r>
      <w:r>
        <w:t>плексе (ферме). Исходя из этого с целью предупреждения заболевания ц</w:t>
      </w:r>
      <w:r>
        <w:t>е</w:t>
      </w:r>
      <w:r>
        <w:t>лесообразно прививать стельных коров и нетелей за 35-30 и 20-15 суток до отела ассоциированной вакциной против рота-, корона-, герпесвирусной и эшерихиозной диареи новорожденных телят двукратно в дозе 10 см</w:t>
      </w:r>
      <w:r>
        <w:rPr>
          <w:vertAlign w:val="superscript"/>
        </w:rPr>
        <w:t>3</w:t>
      </w:r>
      <w:r>
        <w:t xml:space="preserve">. </w:t>
      </w:r>
    </w:p>
    <w:p w:rsidR="00F4654E" w:rsidRDefault="00F4654E">
      <w:pPr>
        <w:pStyle w:val="a6"/>
      </w:pPr>
      <w:r>
        <w:t>Новорожденным телятам, полученным от невакцинированных к</w:t>
      </w:r>
      <w:r>
        <w:t>о</w:t>
      </w:r>
      <w:r>
        <w:t>ров-матерей, в первые 1,5-2 ч после рождения необходимо выпаивать полисп</w:t>
      </w:r>
      <w:r>
        <w:t>е</w:t>
      </w:r>
      <w:r>
        <w:t>цифическую сыворотку против рота-, корона-, герпесвирусной и эшерих</w:t>
      </w:r>
      <w:r>
        <w:t>и</w:t>
      </w:r>
      <w:r>
        <w:t>озной диареи новорожденных телят, двукратно с интервалом 24-36 ч в дозе 60 мл.</w:t>
      </w:r>
    </w:p>
    <w:p w:rsidR="00F4654E" w:rsidRDefault="00F4654E">
      <w:pPr>
        <w:pStyle w:val="a6"/>
      </w:pPr>
      <w:r>
        <w:t>Заболевших новорожденных телят должны изолировать и лечить п</w:t>
      </w:r>
      <w:r>
        <w:t>о</w:t>
      </w:r>
      <w:r>
        <w:t>лиспецифической сывороткой по следующей схеме:</w:t>
      </w:r>
    </w:p>
    <w:p w:rsidR="00F4654E" w:rsidRDefault="00F4654E">
      <w:pPr>
        <w:pStyle w:val="a6"/>
      </w:pPr>
      <w:r>
        <w:t>а) при выраженной интоксикации – внутривенно в дозе 60-80 мл в смеси с 40%-ным раствором глюкозы в равных объемах с добавлением 2-3 мл раствора кофеин-натрия бензоата и подкожно в дозе 50 мл;</w:t>
      </w:r>
    </w:p>
    <w:p w:rsidR="00F4654E" w:rsidRDefault="00F4654E">
      <w:pPr>
        <w:pStyle w:val="a6"/>
      </w:pPr>
      <w:r>
        <w:t>б) при слабой интоксикации – внутривенно в дозе 40-60 мл.</w:t>
      </w:r>
    </w:p>
    <w:p w:rsidR="00F4654E" w:rsidRDefault="00F4654E">
      <w:pPr>
        <w:pStyle w:val="a6"/>
      </w:pPr>
      <w:r>
        <w:t>Профилактика смешанной инфекционной диареи новорожденных п</w:t>
      </w:r>
      <w:r>
        <w:t>о</w:t>
      </w:r>
      <w:r>
        <w:t>росят должна основываться на вакцинации супоросных свиноматок (за 30-35 дней до опороса) ассоциированной вакциной против рота-, коронав</w:t>
      </w:r>
      <w:r>
        <w:t>и</w:t>
      </w:r>
      <w:r>
        <w:t>русной (ТГС) и эшерихиозной диареи поросят в дозах для первой приви</w:t>
      </w:r>
      <w:r>
        <w:t>в</w:t>
      </w:r>
      <w:r>
        <w:t>ки 5см</w:t>
      </w:r>
      <w:r>
        <w:rPr>
          <w:vertAlign w:val="superscript"/>
        </w:rPr>
        <w:t>3</w:t>
      </w:r>
      <w:r>
        <w:t xml:space="preserve"> и для второй - 10 см</w:t>
      </w:r>
      <w:r>
        <w:rPr>
          <w:vertAlign w:val="superscript"/>
        </w:rPr>
        <w:t>3</w:t>
      </w:r>
      <w:r>
        <w:t>.</w:t>
      </w:r>
    </w:p>
    <w:p w:rsidR="00F4654E" w:rsidRDefault="00F4654E">
      <w:pPr>
        <w:pStyle w:val="a6"/>
      </w:pPr>
      <w:r>
        <w:t>Одновременно со специфическими мероприятиями необходимо пр</w:t>
      </w:r>
      <w:r>
        <w:t>о</w:t>
      </w:r>
      <w:r>
        <w:t>водить комплекс организационно-хозяйственных, ветеринарно-санитарных мероприятий по профилактике и ликвидации смешанной инфекционной диареи молодняка сельскохозяйственных животных.</w:t>
      </w:r>
    </w:p>
    <w:p w:rsidR="00F4654E" w:rsidRDefault="00F4654E">
      <w:pPr>
        <w:pStyle w:val="a4"/>
      </w:pPr>
      <w:r>
        <w:t>УДК 619:617.711/713-002-022</w:t>
      </w:r>
    </w:p>
    <w:p w:rsidR="00F4654E" w:rsidRDefault="00F4654E">
      <w:pPr>
        <w:pStyle w:val="1"/>
      </w:pPr>
      <w:bookmarkStart w:id="1320" w:name="_Toc10731177"/>
      <w:bookmarkStart w:id="1321" w:name="_Toc10731838"/>
      <w:bookmarkStart w:id="1322" w:name="_Toc10891679"/>
      <w:bookmarkStart w:id="1323" w:name="_Toc10892354"/>
      <w:bookmarkStart w:id="1324" w:name="_Toc11390221"/>
      <w:bookmarkStart w:id="1325" w:name="_Toc11839898"/>
      <w:bookmarkStart w:id="1326" w:name="_Toc11937434"/>
      <w:r>
        <w:t>ИНФЕКЦИОННЫЙ КЕРАТОКОНЪЮНКТИВИТ КРУПНОГО РОГАТОГО СКОТА В РЕГИОНЕ СРЕДНЕГО ПОВОЛЖЬЯ И ПРЕДУРАЛЬЯ</w:t>
      </w:r>
      <w:bookmarkEnd w:id="1320"/>
      <w:bookmarkEnd w:id="1321"/>
      <w:bookmarkEnd w:id="1322"/>
      <w:bookmarkEnd w:id="1323"/>
      <w:bookmarkEnd w:id="1324"/>
      <w:bookmarkEnd w:id="1325"/>
      <w:bookmarkEnd w:id="1326"/>
    </w:p>
    <w:p w:rsidR="00F4654E" w:rsidRDefault="00F4654E">
      <w:pPr>
        <w:pStyle w:val="2"/>
      </w:pPr>
      <w:bookmarkStart w:id="1327" w:name="_Toc10731178"/>
      <w:bookmarkStart w:id="1328" w:name="_Toc10731839"/>
      <w:bookmarkStart w:id="1329" w:name="_Toc10891680"/>
      <w:bookmarkStart w:id="1330" w:name="_Toc10892355"/>
      <w:bookmarkStart w:id="1331" w:name="_Toc11390222"/>
      <w:bookmarkStart w:id="1332" w:name="_Toc11937435"/>
      <w:r>
        <w:t>Гаффаров Х.З., Валебная Л.В., Спиридонов Г.Н.</w:t>
      </w:r>
      <w:bookmarkEnd w:id="1327"/>
      <w:bookmarkEnd w:id="1328"/>
      <w:bookmarkEnd w:id="1329"/>
      <w:bookmarkEnd w:id="1330"/>
      <w:bookmarkEnd w:id="1331"/>
      <w:bookmarkEnd w:id="1332"/>
    </w:p>
    <w:p w:rsidR="00F4654E" w:rsidRDefault="00F4654E">
      <w:pPr>
        <w:pStyle w:val="a5"/>
      </w:pPr>
      <w:r>
        <w:t>Всесоюзный научно-исследовательский ветеринарный институт</w:t>
      </w:r>
    </w:p>
    <w:p w:rsidR="00F4654E" w:rsidRDefault="00F4654E">
      <w:pPr>
        <w:pStyle w:val="a6"/>
      </w:pPr>
      <w:r>
        <w:t>Инфекционный кератоконьюнктивит (ИКК) крупного рогатого скота широко распространен во всех странах и континентах мира. В нашей стр</w:t>
      </w:r>
      <w:r>
        <w:t>а</w:t>
      </w:r>
      <w:r>
        <w:t>не первые сообщения об эпизоотических вспышках этой болезни у крупн</w:t>
      </w:r>
      <w:r>
        <w:t>о</w:t>
      </w:r>
      <w:r>
        <w:t>го рогатого скота,  имевшие место в хозяйствах Гомельской, Иркутской областях и Северо-Западной зон</w:t>
      </w:r>
      <w:r w:rsidR="00640648">
        <w:t>е РСФСР появились лишь в 70-80-</w:t>
      </w:r>
      <w:r>
        <w:t>е годы (Бобырь В.К., 1974; Какоулин Т.Е., 1982; Андриасян В.Б., 1988).</w:t>
      </w:r>
    </w:p>
    <w:p w:rsidR="00F4654E" w:rsidRDefault="00F4654E">
      <w:pPr>
        <w:pStyle w:val="a6"/>
      </w:pPr>
      <w:r>
        <w:lastRenderedPageBreak/>
        <w:t>До недавнего времени существовала противоречивость взглядов на патогенез и этиологию массовых заболеваний глаз: одни исследователи при вспышках выделяли бактерии Moraxella bovis и Mycoplasma bovooculi (Friis N.F.,Pedersen K.В., 1979), другие обнаруживали вирусы ИРТ, рикке</w:t>
      </w:r>
      <w:r>
        <w:t>т</w:t>
      </w:r>
      <w:r>
        <w:t>сии и нематоды из рода Thelasia (Rebnun W. et al., 1978; Алахвердиев Р.С., 1978; Алтухов Б.Н., 1997; Черванев В.А., 1997 и др.). Однако корреляции между наличием симптомов ИКК и обнаружением микоплазм не было у</w:t>
      </w:r>
      <w:r>
        <w:t>с</w:t>
      </w:r>
      <w:r>
        <w:t>тановлено. В некоторых случаях вирус ИРТ может вызывать острый кон</w:t>
      </w:r>
      <w:r>
        <w:t>ь</w:t>
      </w:r>
      <w:r>
        <w:t>юнктивит, но воспалительный процесс не прогрессирует до изъязвления и сильного помутнения, как это часто имеет место при ИКК (Iensen R., Мackey D., 1971). В литературе также есть сообщения об одновременном выделении Chlamydia psittaci и Moraxella bovis при ИКК (Travnicek M. et al., 1982).</w:t>
      </w:r>
    </w:p>
    <w:p w:rsidR="00F4654E" w:rsidRDefault="00F4654E">
      <w:pPr>
        <w:pStyle w:val="a6"/>
      </w:pPr>
      <w:r>
        <w:t>В настоящее время сформировалось общее современное представл</w:t>
      </w:r>
      <w:r>
        <w:t>е</w:t>
      </w:r>
      <w:r>
        <w:t>ние, что ведущая роль в возникновении этой болезни принадлежит бакт</w:t>
      </w:r>
      <w:r>
        <w:t>е</w:t>
      </w:r>
      <w:r>
        <w:t>риям Moraxella bovis и солнечному ультрафиолетовому облучению. Эти два фактора изучены как по отдельности, так и в ассоциации. Однако по мнению группы исследователей Национального центра США по изучению болезней животных (Эймс), вирулентный штамм Moraxella bovis может внедряться в эпителиальные клетки роговицы крупного рогатого скота и способен вызывать кератит при отсутствии вредной УФ-иррадиации или других предрасполагающих факторов (Rogers D.G. et al., 1987).</w:t>
      </w:r>
    </w:p>
    <w:p w:rsidR="00F4654E" w:rsidRDefault="00F4654E">
      <w:pPr>
        <w:pStyle w:val="a6"/>
      </w:pPr>
      <w:r>
        <w:t>Результаты исследований эпизоотологических и этиологических а</w:t>
      </w:r>
      <w:r>
        <w:t>с</w:t>
      </w:r>
      <w:r>
        <w:t>пектов ИКК, выполненных нами ранее, опубликованы в печати (Гаффаров Х.З. с соавт., 1988, 2000; Валебная Л.В. с соавт., 2000), получен  штамм бакте</w:t>
      </w:r>
      <w:r w:rsidR="00640648">
        <w:t>рий Moraxella bovis "Г97-ВНИВИ"</w:t>
      </w:r>
      <w:r>
        <w:t>, который защищен патентом на изобретение РФ №2145353 (приоритет от 15.09.1988 г.).</w:t>
      </w:r>
    </w:p>
    <w:p w:rsidR="00F4654E" w:rsidRDefault="00F4654E">
      <w:pPr>
        <w:pStyle w:val="a6"/>
      </w:pPr>
      <w:r>
        <w:t>Цель нашей работы – выяснить этиологию, определить степень ра</w:t>
      </w:r>
      <w:r>
        <w:t>с</w:t>
      </w:r>
      <w:r>
        <w:t>пространенности ИКК в регионе Среднего Поволжья и Предуралья и в</w:t>
      </w:r>
      <w:r>
        <w:t>ы</w:t>
      </w:r>
      <w:r>
        <w:t>явить его клинико-эпизоотологические особенности.</w:t>
      </w:r>
    </w:p>
    <w:p w:rsidR="00F4654E" w:rsidRDefault="00F4654E">
      <w:pPr>
        <w:pStyle w:val="a6"/>
      </w:pPr>
      <w:r>
        <w:t>В последние годы в обследуемом нами регионе РФ получило широкое распространение ранее малоизвестное заболевание – инфекционный кер</w:t>
      </w:r>
      <w:r>
        <w:t>а</w:t>
      </w:r>
      <w:r>
        <w:t>токоньюнктивит крупного рогатого скота, как нам представляется, всле</w:t>
      </w:r>
      <w:r>
        <w:t>д</w:t>
      </w:r>
      <w:r>
        <w:t>ствие завоза племенного поголовья скота – скрытых носителей возбудит</w:t>
      </w:r>
      <w:r>
        <w:t>е</w:t>
      </w:r>
      <w:r>
        <w:t>ля из стран Западной Европы, что привело к появлению стационарно н</w:t>
      </w:r>
      <w:r>
        <w:t>е</w:t>
      </w:r>
      <w:r>
        <w:t>благополучных по ИКК очагов и сохранению дальнейшего распростран</w:t>
      </w:r>
      <w:r>
        <w:t>е</w:t>
      </w:r>
      <w:r>
        <w:t>ния болезни.</w:t>
      </w:r>
    </w:p>
    <w:p w:rsidR="00F4654E" w:rsidRDefault="00F4654E">
      <w:pPr>
        <w:pStyle w:val="a6"/>
        <w:rPr>
          <w:snapToGrid w:val="0"/>
        </w:rPr>
      </w:pPr>
      <w:r>
        <w:t xml:space="preserve">Нами был осуществлен эпизоотологический мониторинг в отношении ИКК в 48 хозяйствах 12 районов Республики Татарстан и 29 хозяйствах 8 районов Республик Башкортостан и Удмуртии, в которых регистрировали массовые заболевания молодняка крупного рогатого скота с признаками поражения глаз. В этих хозяйствах заболеваемость телят 1-5-месячного возраста составила 50-85%, у телят более старшего возраста - 20-25% и </w:t>
      </w:r>
      <w:r>
        <w:lastRenderedPageBreak/>
        <w:t>среди дойного стада она колебалась в пределах 12-13%. Выяснилось также, что распространение энзоотии и ее интенсивность в большей степени зав</w:t>
      </w:r>
      <w:r>
        <w:t>и</w:t>
      </w:r>
      <w:r>
        <w:t>сят от количества солнечных дней: чем их больше, тем интенсивнее прот</w:t>
      </w:r>
      <w:r>
        <w:t>е</w:t>
      </w:r>
      <w:r>
        <w:t>кает энзоотия и тяжелее развивается инфекционные процесс.</w:t>
      </w:r>
      <w:r w:rsidR="00640648">
        <w:t xml:space="preserve"> </w:t>
      </w:r>
      <w:r>
        <w:rPr>
          <w:snapToGrid w:val="0"/>
        </w:rPr>
        <w:t>Заболевание начинается весной, достигая максимума в июле-августе месяцах и умен</w:t>
      </w:r>
      <w:r>
        <w:rPr>
          <w:snapToGrid w:val="0"/>
        </w:rPr>
        <w:t>ь</w:t>
      </w:r>
      <w:r>
        <w:rPr>
          <w:snapToGrid w:val="0"/>
        </w:rPr>
        <w:t>шаясь постепенно к концу октября. Зимой вспышки ИКК бывают кратк</w:t>
      </w:r>
      <w:r>
        <w:rPr>
          <w:snapToGrid w:val="0"/>
        </w:rPr>
        <w:t>о</w:t>
      </w:r>
      <w:r>
        <w:rPr>
          <w:snapToGrid w:val="0"/>
        </w:rPr>
        <w:t>временными, длятся не больше месяца и патологический процесс протек</w:t>
      </w:r>
      <w:r>
        <w:rPr>
          <w:snapToGrid w:val="0"/>
        </w:rPr>
        <w:t>а</w:t>
      </w:r>
      <w:r>
        <w:rPr>
          <w:snapToGrid w:val="0"/>
        </w:rPr>
        <w:t>ет более доброкачественно. Наблюдениями за эпизоотич</w:t>
      </w:r>
      <w:r>
        <w:rPr>
          <w:snapToGrid w:val="0"/>
        </w:rPr>
        <w:t>е</w:t>
      </w:r>
      <w:r>
        <w:rPr>
          <w:snapToGrid w:val="0"/>
        </w:rPr>
        <w:t>ским процессом в течение 5 лет установлено, что болезнь легко переносится на восприимч</w:t>
      </w:r>
      <w:r>
        <w:rPr>
          <w:snapToGrid w:val="0"/>
        </w:rPr>
        <w:t>и</w:t>
      </w:r>
      <w:r>
        <w:rPr>
          <w:snapToGrid w:val="0"/>
        </w:rPr>
        <w:t>вых животных, в основном мухами. Фактором передачи инфекции могут служить также и носовые истечения больных животных.</w:t>
      </w:r>
    </w:p>
    <w:p w:rsidR="00F4654E" w:rsidRDefault="00F4654E">
      <w:pPr>
        <w:pStyle w:val="a6"/>
        <w:rPr>
          <w:snapToGrid w:val="0"/>
        </w:rPr>
      </w:pPr>
      <w:r>
        <w:rPr>
          <w:snapToGrid w:val="0"/>
        </w:rPr>
        <w:t>При клиническом осмотре больных животных замечено опухание конъюнктивы, верхнего и третьего века в одном или обоих глазах. Клин</w:t>
      </w:r>
      <w:r>
        <w:rPr>
          <w:snapToGrid w:val="0"/>
        </w:rPr>
        <w:t>и</w:t>
      </w:r>
      <w:r>
        <w:rPr>
          <w:snapToGrid w:val="0"/>
        </w:rPr>
        <w:t>ческая картина развивалась всегда в определенной последовательности: катаральный коньюнктивит, эрозии, гнойные инфильтраты роговицы, из</w:t>
      </w:r>
      <w:r>
        <w:rPr>
          <w:snapToGrid w:val="0"/>
        </w:rPr>
        <w:t>ъ</w:t>
      </w:r>
      <w:r>
        <w:rPr>
          <w:snapToGrid w:val="0"/>
        </w:rPr>
        <w:t>язвления и рубцевание.</w:t>
      </w:r>
      <w:r w:rsidR="00640648">
        <w:rPr>
          <w:snapToGrid w:val="0"/>
        </w:rPr>
        <w:t xml:space="preserve"> </w:t>
      </w:r>
      <w:r>
        <w:rPr>
          <w:snapToGrid w:val="0"/>
        </w:rPr>
        <w:t>У части животных все слои роговицы перфорир</w:t>
      </w:r>
      <w:r>
        <w:rPr>
          <w:snapToGrid w:val="0"/>
        </w:rPr>
        <w:t>о</w:t>
      </w:r>
      <w:r>
        <w:rPr>
          <w:snapToGrid w:val="0"/>
        </w:rPr>
        <w:t>вались, воспалительный процесс распространялся на переднюю камеру глаза, что и приводило к генерализованному офтальмиту. Хрусталик и стекловидное тело вытекали через отверстие язвы. В конечном итоге н</w:t>
      </w:r>
      <w:r>
        <w:rPr>
          <w:snapToGrid w:val="0"/>
        </w:rPr>
        <w:t>а</w:t>
      </w:r>
      <w:r>
        <w:rPr>
          <w:snapToGrid w:val="0"/>
        </w:rPr>
        <w:t>ступала одно- или двустороння слепота. В ряде случаев наблюдалась д</w:t>
      </w:r>
      <w:r>
        <w:rPr>
          <w:snapToGrid w:val="0"/>
        </w:rPr>
        <w:t>е</w:t>
      </w:r>
      <w:r>
        <w:rPr>
          <w:snapToGrid w:val="0"/>
        </w:rPr>
        <w:t>формация глазного яблока в виде кератоглобуса или кератоконуса.</w:t>
      </w:r>
      <w:r w:rsidR="00640648">
        <w:rPr>
          <w:snapToGrid w:val="0"/>
        </w:rPr>
        <w:t xml:space="preserve"> </w:t>
      </w:r>
      <w:r>
        <w:rPr>
          <w:snapToGrid w:val="0"/>
        </w:rPr>
        <w:t>Однако у большинства животных выздоровление наступало до прободения рог</w:t>
      </w:r>
      <w:r>
        <w:rPr>
          <w:snapToGrid w:val="0"/>
        </w:rPr>
        <w:t>о</w:t>
      </w:r>
      <w:r>
        <w:rPr>
          <w:snapToGrid w:val="0"/>
        </w:rPr>
        <w:t>вицы. Выздоровевшие ж</w:t>
      </w:r>
      <w:r>
        <w:rPr>
          <w:snapToGrid w:val="0"/>
        </w:rPr>
        <w:t>и</w:t>
      </w:r>
      <w:r>
        <w:rPr>
          <w:snapToGrid w:val="0"/>
        </w:rPr>
        <w:t>вотные оказывались устойчивыми к повторному заражению.</w:t>
      </w:r>
    </w:p>
    <w:p w:rsidR="00F4654E" w:rsidRDefault="00F4654E">
      <w:pPr>
        <w:pStyle w:val="a6"/>
        <w:rPr>
          <w:snapToGrid w:val="0"/>
        </w:rPr>
      </w:pPr>
      <w:r>
        <w:rPr>
          <w:snapToGrid w:val="0"/>
        </w:rPr>
        <w:t>Диагноз на ИКК крупного рогатого скота ставили на основании эп</w:t>
      </w:r>
      <w:r>
        <w:rPr>
          <w:snapToGrid w:val="0"/>
        </w:rPr>
        <w:t>и</w:t>
      </w:r>
      <w:r>
        <w:rPr>
          <w:snapToGrid w:val="0"/>
        </w:rPr>
        <w:t>зоотологических данных, клинических наблюдений, бактериологических, вирусологических и гельминтологических исследований, а также результ</w:t>
      </w:r>
      <w:r>
        <w:rPr>
          <w:snapToGrid w:val="0"/>
        </w:rPr>
        <w:t>а</w:t>
      </w:r>
      <w:r>
        <w:rPr>
          <w:snapToGrid w:val="0"/>
        </w:rPr>
        <w:t>тов исследований патологических материалов  на куриных эмбрионах  с целью исключения или установления роли риккетсий в этиологии ИКК крупного рогатого скота.</w:t>
      </w:r>
    </w:p>
    <w:p w:rsidR="00F4654E" w:rsidRDefault="00F4654E">
      <w:pPr>
        <w:pStyle w:val="a6"/>
        <w:rPr>
          <w:snapToGrid w:val="0"/>
        </w:rPr>
      </w:pPr>
      <w:r>
        <w:rPr>
          <w:snapToGrid w:val="0"/>
        </w:rPr>
        <w:t>Для установления роли Моrахеllа bovis в заболевании молодняка крупного рогатого скота инфекционным кератоконьюнктивитом было и</w:t>
      </w:r>
      <w:r>
        <w:rPr>
          <w:snapToGrid w:val="0"/>
        </w:rPr>
        <w:t>с</w:t>
      </w:r>
      <w:r>
        <w:rPr>
          <w:snapToGrid w:val="0"/>
        </w:rPr>
        <w:t>следовано 223 пробы смывов из коньюнктивального мешка глаз и носо-слезного канала больных животных. Для выделения возбудителя болезни проводили высев суспензий патматериала на мясо-пептонный агар с д</w:t>
      </w:r>
      <w:r>
        <w:rPr>
          <w:snapToGrid w:val="0"/>
        </w:rPr>
        <w:t>о</w:t>
      </w:r>
      <w:r>
        <w:rPr>
          <w:snapToGrid w:val="0"/>
        </w:rPr>
        <w:t>бавлением 5-8% дефибринированной крови барана. После 18-24-часовой инкубации в термостате при 37</w:t>
      </w:r>
      <w:r>
        <w:rPr>
          <w:snapToGrid w:val="0"/>
          <w:vertAlign w:val="superscript"/>
        </w:rPr>
        <w:t>0</w:t>
      </w:r>
      <w:r>
        <w:rPr>
          <w:snapToGrid w:val="0"/>
        </w:rPr>
        <w:t>С выросшие колонии пересевали на МПА, МПБ, кровяной агар, среды Гисса, Клиглера, 12%-ный желатин, лакмус</w:t>
      </w:r>
      <w:r>
        <w:rPr>
          <w:snapToGrid w:val="0"/>
        </w:rPr>
        <w:t>о</w:t>
      </w:r>
      <w:r>
        <w:rPr>
          <w:snapToGrid w:val="0"/>
        </w:rPr>
        <w:t>вое молоко. Мазки из суточной культуры окрашивали по Граму и Ром</w:t>
      </w:r>
      <w:r>
        <w:rPr>
          <w:snapToGrid w:val="0"/>
        </w:rPr>
        <w:t>а</w:t>
      </w:r>
      <w:r>
        <w:rPr>
          <w:snapToGrid w:val="0"/>
        </w:rPr>
        <w:t>новскому-Гимза.</w:t>
      </w:r>
    </w:p>
    <w:p w:rsidR="00640648" w:rsidRDefault="00F4654E">
      <w:pPr>
        <w:pStyle w:val="a6"/>
        <w:rPr>
          <w:snapToGrid w:val="0"/>
        </w:rPr>
      </w:pPr>
      <w:r>
        <w:rPr>
          <w:snapToGrid w:val="0"/>
        </w:rPr>
        <w:t>При бактериологическом исследовании клинического патологическ</w:t>
      </w:r>
      <w:r>
        <w:rPr>
          <w:snapToGrid w:val="0"/>
        </w:rPr>
        <w:t>о</w:t>
      </w:r>
      <w:r>
        <w:rPr>
          <w:snapToGrid w:val="0"/>
        </w:rPr>
        <w:t xml:space="preserve">го материала было выделено 24 культуры микроорганизмов, которые по морфологическим, культуральным и биохимическим свойствам оказались </w:t>
      </w:r>
      <w:r>
        <w:rPr>
          <w:snapToGrid w:val="0"/>
        </w:rPr>
        <w:lastRenderedPageBreak/>
        <w:t>сходными с референтными штаммами бактерий Moraxella bovis -  возбуд</w:t>
      </w:r>
      <w:r>
        <w:rPr>
          <w:snapToGrid w:val="0"/>
        </w:rPr>
        <w:t>и</w:t>
      </w:r>
      <w:r>
        <w:rPr>
          <w:snapToGrid w:val="0"/>
        </w:rPr>
        <w:t>телей инфекционного кератоконьюнктивита, а также постоянно выявл</w:t>
      </w:r>
      <w:r>
        <w:rPr>
          <w:snapToGrid w:val="0"/>
        </w:rPr>
        <w:t>я</w:t>
      </w:r>
      <w:r>
        <w:rPr>
          <w:snapToGrid w:val="0"/>
        </w:rPr>
        <w:t>лись диплококки, стафилококки и реже – стрептококки и E.coli.</w:t>
      </w:r>
      <w:r w:rsidR="00640648">
        <w:rPr>
          <w:snapToGrid w:val="0"/>
        </w:rPr>
        <w:t xml:space="preserve"> </w:t>
      </w:r>
    </w:p>
    <w:p w:rsidR="00F4654E" w:rsidRDefault="00F4654E">
      <w:pPr>
        <w:pStyle w:val="a6"/>
        <w:rPr>
          <w:snapToGrid w:val="0"/>
        </w:rPr>
      </w:pPr>
      <w:r>
        <w:rPr>
          <w:snapToGrid w:val="0"/>
        </w:rPr>
        <w:t>Бактерии Могахеllа bovis хорошо росли в аэробных условиях на кр</w:t>
      </w:r>
      <w:r>
        <w:rPr>
          <w:snapToGrid w:val="0"/>
        </w:rPr>
        <w:t>о</w:t>
      </w:r>
      <w:r>
        <w:rPr>
          <w:snapToGrid w:val="0"/>
        </w:rPr>
        <w:t>вяном агаре, были грамотрицательными, имели вид коротких (1,0</w:t>
      </w:r>
      <w:r w:rsidR="00640648">
        <w:rPr>
          <w:snapToGrid w:val="0"/>
        </w:rPr>
        <w:sym w:font="Symbol" w:char="F0B4"/>
      </w:r>
      <w:r>
        <w:rPr>
          <w:snapToGrid w:val="0"/>
        </w:rPr>
        <w:t xml:space="preserve">1,5 </w:t>
      </w:r>
      <w:r w:rsidR="00640648">
        <w:rPr>
          <w:snapToGrid w:val="0"/>
        </w:rPr>
        <w:t xml:space="preserve">– </w:t>
      </w:r>
      <w:r w:rsidR="00640648">
        <w:rPr>
          <w:snapToGrid w:val="0"/>
        </w:rPr>
        <w:br/>
      </w:r>
      <w:r>
        <w:rPr>
          <w:snapToGrid w:val="0"/>
        </w:rPr>
        <w:t>1,5</w:t>
      </w:r>
      <w:r w:rsidR="00640648">
        <w:rPr>
          <w:snapToGrid w:val="0"/>
        </w:rPr>
        <w:sym w:font="Symbol" w:char="F0B4"/>
      </w:r>
      <w:r>
        <w:rPr>
          <w:snapToGrid w:val="0"/>
        </w:rPr>
        <w:t>2,5 мкм), толстых с закругленными концами палочек, распол</w:t>
      </w:r>
      <w:r>
        <w:rPr>
          <w:snapToGrid w:val="0"/>
        </w:rPr>
        <w:t>о</w:t>
      </w:r>
      <w:r>
        <w:rPr>
          <w:snapToGrid w:val="0"/>
        </w:rPr>
        <w:t>женных одиночно, попарно и короткими цепочками. Старые культуры и культуры, выращенные на неблагоприятных питательных средах (картофельный агар), становились полиморфными.</w:t>
      </w:r>
      <w:r w:rsidR="00640648">
        <w:rPr>
          <w:snapToGrid w:val="0"/>
        </w:rPr>
        <w:t xml:space="preserve"> </w:t>
      </w:r>
      <w:r>
        <w:rPr>
          <w:snapToGrid w:val="0"/>
        </w:rPr>
        <w:t>На кровяном агаре наблюдали круглые гладкие и шероховатые кол</w:t>
      </w:r>
      <w:r>
        <w:rPr>
          <w:snapToGrid w:val="0"/>
        </w:rPr>
        <w:t>о</w:t>
      </w:r>
      <w:r>
        <w:rPr>
          <w:snapToGrid w:val="0"/>
        </w:rPr>
        <w:t>нии серо-белого цвета, диаметром 1-3 мм. У гладких колоний зона гемол</w:t>
      </w:r>
      <w:r>
        <w:rPr>
          <w:snapToGrid w:val="0"/>
        </w:rPr>
        <w:t>и</w:t>
      </w:r>
      <w:r>
        <w:rPr>
          <w:snapToGrid w:val="0"/>
        </w:rPr>
        <w:t>за достигала 0,5-1,0 мм, у шероховатых – 1-3 мм. Колонии гладкого типа слегка врастали в питательную среду. При этом зона гемолиза двукратно увеличивалась при их инкубации в течение 24 часов при 37</w:t>
      </w:r>
      <w:r>
        <w:rPr>
          <w:snapToGrid w:val="0"/>
          <w:vertAlign w:val="superscript"/>
        </w:rPr>
        <w:t>0</w:t>
      </w:r>
      <w:r>
        <w:rPr>
          <w:snapToGrid w:val="0"/>
        </w:rPr>
        <w:t>С.</w:t>
      </w:r>
      <w:r w:rsidR="00640648">
        <w:rPr>
          <w:snapToGrid w:val="0"/>
        </w:rPr>
        <w:t xml:space="preserve"> </w:t>
      </w:r>
      <w:r>
        <w:rPr>
          <w:snapToGrid w:val="0"/>
        </w:rPr>
        <w:t>На мясо-пептонном бульоне через 48-72 часа инкубации при 37</w:t>
      </w:r>
      <w:r>
        <w:rPr>
          <w:snapToGrid w:val="0"/>
          <w:vertAlign w:val="superscript"/>
        </w:rPr>
        <w:t>0</w:t>
      </w:r>
      <w:r>
        <w:rPr>
          <w:snapToGrid w:val="0"/>
        </w:rPr>
        <w:t>С наблюдался скудный рост, который при взбалтывании разруша</w:t>
      </w:r>
      <w:r>
        <w:rPr>
          <w:snapToGrid w:val="0"/>
        </w:rPr>
        <w:t>л</w:t>
      </w:r>
      <w:r>
        <w:rPr>
          <w:snapToGrid w:val="0"/>
        </w:rPr>
        <w:t>ся на грубые частицы. Рост в дальнейшем усиливался при добавлении в 5%-ном объеме кролич</w:t>
      </w:r>
      <w:r>
        <w:rPr>
          <w:snapToGrid w:val="0"/>
        </w:rPr>
        <w:t>ь</w:t>
      </w:r>
      <w:r>
        <w:rPr>
          <w:snapToGrid w:val="0"/>
        </w:rPr>
        <w:t>ей или телячьей сыворотки.</w:t>
      </w:r>
    </w:p>
    <w:p w:rsidR="00F4654E" w:rsidRDefault="00F4654E">
      <w:pPr>
        <w:pStyle w:val="a6"/>
      </w:pPr>
      <w:r>
        <w:rPr>
          <w:snapToGrid w:val="0"/>
        </w:rPr>
        <w:t>Выделенные культуры штаммов стойко сохраняли   S-форму и не ди</w:t>
      </w:r>
      <w:r>
        <w:rPr>
          <w:snapToGrid w:val="0"/>
        </w:rPr>
        <w:t>с</w:t>
      </w:r>
      <w:r>
        <w:rPr>
          <w:snapToGrid w:val="0"/>
        </w:rPr>
        <w:t>социировали при многократных пересевах на питательных средах, явл</w:t>
      </w:r>
      <w:r>
        <w:rPr>
          <w:snapToGrid w:val="0"/>
        </w:rPr>
        <w:t>я</w:t>
      </w:r>
      <w:r>
        <w:rPr>
          <w:snapToGrid w:val="0"/>
        </w:rPr>
        <w:t>лись факультативными аэробами, не ферментировали сахаров, не образ</w:t>
      </w:r>
      <w:r>
        <w:rPr>
          <w:snapToGrid w:val="0"/>
        </w:rPr>
        <w:t>о</w:t>
      </w:r>
      <w:r>
        <w:rPr>
          <w:snapToGrid w:val="0"/>
        </w:rPr>
        <w:t>вывали кислот, индола, расплавляли сыворотку Леффлера, разжижали ж</w:t>
      </w:r>
      <w:r>
        <w:rPr>
          <w:snapToGrid w:val="0"/>
        </w:rPr>
        <w:t>е</w:t>
      </w:r>
      <w:r>
        <w:rPr>
          <w:snapToGrid w:val="0"/>
        </w:rPr>
        <w:t>латин, т.е. обладали протеолитической активностью; проба на оксидазу показала положительный результат, что является характерным признаком для микроорганизмов семейства Neisseriaceae рода Moraxella.</w:t>
      </w:r>
      <w:r w:rsidR="00640648">
        <w:rPr>
          <w:snapToGrid w:val="0"/>
        </w:rPr>
        <w:t xml:space="preserve"> </w:t>
      </w:r>
      <w:r>
        <w:rPr>
          <w:snapToGrid w:val="0"/>
        </w:rPr>
        <w:t>При 24-часовой инкубации культуры штаммов в лакмусовом молоке образовывали</w:t>
      </w:r>
      <w:r>
        <w:t xml:space="preserve"> темно-синюю полосу в верхней части пробирки, а при дальнейшей инк</w:t>
      </w:r>
      <w:r>
        <w:t>у</w:t>
      </w:r>
      <w:r>
        <w:t>бации среда становилась более щелочной. В течение 6 дней появлялись о</w:t>
      </w:r>
      <w:r>
        <w:t>т</w:t>
      </w:r>
      <w:r>
        <w:t>четливо выраженные 3 зоны: в верхней части темно-синяя жидкость, сре</w:t>
      </w:r>
      <w:r>
        <w:t>д</w:t>
      </w:r>
      <w:r>
        <w:t>няя зона – лилового цвета, творожистая по консистенции, а нижний слой – коагулированный казеин бледно-лилового цвета. Продо</w:t>
      </w:r>
      <w:r>
        <w:t>л</w:t>
      </w:r>
      <w:r>
        <w:t>жение инкубации приводило к полной пептонизации лакмусового молока однородного ярко-розового цвета. Следует, однако, отметить, что выделенные культуры Moraxella bovis отличались по патогенности в отношении белых мышей, морских свинок и кроликов.</w:t>
      </w:r>
    </w:p>
    <w:p w:rsidR="00F4654E" w:rsidRDefault="00F4654E">
      <w:pPr>
        <w:pStyle w:val="a4"/>
      </w:pPr>
      <w:r>
        <w:t>УДК 619:615.9:546.81</w:t>
      </w:r>
    </w:p>
    <w:p w:rsidR="00F4654E" w:rsidRDefault="00F4654E">
      <w:pPr>
        <w:pStyle w:val="1"/>
      </w:pPr>
      <w:bookmarkStart w:id="1333" w:name="_Toc10731179"/>
      <w:bookmarkStart w:id="1334" w:name="_Toc10731840"/>
      <w:bookmarkStart w:id="1335" w:name="_Toc10891681"/>
      <w:bookmarkStart w:id="1336" w:name="_Toc10892356"/>
      <w:bookmarkStart w:id="1337" w:name="_Toc11390223"/>
      <w:bookmarkStart w:id="1338" w:name="_Toc11839900"/>
      <w:bookmarkStart w:id="1339" w:name="_Toc11937436"/>
      <w:r>
        <w:t>ПОКАЗАТЕЛИ БЕЛКОВОГО ОБМЕНА ПРИ ХРОНИЧЕСКОМ ОТРАВЛЕНИИ ЖИВОТНЫХ СВИНЦОМ И ПРИМЕНЕНИИ НАТРИЯ СУЛЬФИДА</w:t>
      </w:r>
      <w:bookmarkEnd w:id="1333"/>
      <w:bookmarkEnd w:id="1334"/>
      <w:bookmarkEnd w:id="1335"/>
      <w:bookmarkEnd w:id="1336"/>
      <w:bookmarkEnd w:id="1337"/>
      <w:bookmarkEnd w:id="1338"/>
      <w:bookmarkEnd w:id="1339"/>
    </w:p>
    <w:p w:rsidR="00F4654E" w:rsidRDefault="00F4654E">
      <w:pPr>
        <w:pStyle w:val="2"/>
        <w:rPr>
          <w:snapToGrid w:val="0"/>
        </w:rPr>
      </w:pPr>
      <w:bookmarkStart w:id="1340" w:name="_Toc10731180"/>
      <w:bookmarkStart w:id="1341" w:name="_Toc10731841"/>
      <w:bookmarkStart w:id="1342" w:name="_Toc10891682"/>
      <w:bookmarkStart w:id="1343" w:name="_Toc10892357"/>
      <w:bookmarkStart w:id="1344" w:name="_Toc11390224"/>
      <w:bookmarkStart w:id="1345" w:name="_Toc11937437"/>
      <w:r>
        <w:rPr>
          <w:snapToGrid w:val="0"/>
        </w:rPr>
        <w:t>Гизатуллин Р.Р.</w:t>
      </w:r>
      <w:bookmarkEnd w:id="1340"/>
      <w:bookmarkEnd w:id="1341"/>
      <w:bookmarkEnd w:id="1342"/>
      <w:bookmarkEnd w:id="1343"/>
      <w:bookmarkEnd w:id="1344"/>
      <w:bookmarkEnd w:id="1345"/>
    </w:p>
    <w:p w:rsidR="00F4654E" w:rsidRDefault="00F4654E">
      <w:pPr>
        <w:pStyle w:val="a5"/>
        <w:rPr>
          <w:snapToGrid w:val="0"/>
        </w:rPr>
      </w:pPr>
      <w:r>
        <w:rPr>
          <w:snapToGrid w:val="0"/>
        </w:rPr>
        <w:t>Всероссийский научно- исследовательский  ветеринарный институт</w:t>
      </w:r>
    </w:p>
    <w:p w:rsidR="00F4654E" w:rsidRDefault="00F4654E">
      <w:pPr>
        <w:pStyle w:val="a6"/>
        <w:rPr>
          <w:snapToGrid w:val="0"/>
        </w:rPr>
      </w:pPr>
      <w:r>
        <w:rPr>
          <w:snapToGrid w:val="0"/>
        </w:rPr>
        <w:t>Среди тяжелых металлов свинец считают приоритетным загрязнит</w:t>
      </w:r>
      <w:r>
        <w:rPr>
          <w:snapToGrid w:val="0"/>
        </w:rPr>
        <w:t>е</w:t>
      </w:r>
      <w:r>
        <w:rPr>
          <w:snapToGrid w:val="0"/>
        </w:rPr>
        <w:t>лем окружающей среды. В результате широкого использования соедин</w:t>
      </w:r>
      <w:r>
        <w:rPr>
          <w:snapToGrid w:val="0"/>
        </w:rPr>
        <w:t>е</w:t>
      </w:r>
      <w:r>
        <w:rPr>
          <w:snapToGrid w:val="0"/>
        </w:rPr>
        <w:lastRenderedPageBreak/>
        <w:t>ний свинца в различных видах хозяйственной деятельности человека еж</w:t>
      </w:r>
      <w:r>
        <w:rPr>
          <w:snapToGrid w:val="0"/>
        </w:rPr>
        <w:t>е</w:t>
      </w:r>
      <w:r>
        <w:rPr>
          <w:snapToGrid w:val="0"/>
        </w:rPr>
        <w:t>годные промышленные и транспортные выбросы металла в мире соста</w:t>
      </w:r>
      <w:r>
        <w:rPr>
          <w:snapToGrid w:val="0"/>
        </w:rPr>
        <w:t>в</w:t>
      </w:r>
      <w:r>
        <w:rPr>
          <w:snapToGrid w:val="0"/>
        </w:rPr>
        <w:t>ляют сотни тысяч тонн, угрожая здоровью людей и животных.</w:t>
      </w:r>
    </w:p>
    <w:p w:rsidR="00640648" w:rsidRDefault="00F4654E">
      <w:pPr>
        <w:pStyle w:val="a6"/>
        <w:rPr>
          <w:snapToGrid w:val="0"/>
        </w:rPr>
      </w:pPr>
      <w:r>
        <w:rPr>
          <w:snapToGrid w:val="0"/>
        </w:rPr>
        <w:t>Целью настоящего исследования явилось изучение показателей бе</w:t>
      </w:r>
      <w:r>
        <w:rPr>
          <w:snapToGrid w:val="0"/>
        </w:rPr>
        <w:t>л</w:t>
      </w:r>
      <w:r>
        <w:rPr>
          <w:snapToGrid w:val="0"/>
        </w:rPr>
        <w:t>кового обмена животных при хронической интоксикации их свинцом и л</w:t>
      </w:r>
      <w:r>
        <w:rPr>
          <w:snapToGrid w:val="0"/>
        </w:rPr>
        <w:t>е</w:t>
      </w:r>
      <w:r>
        <w:rPr>
          <w:snapToGrid w:val="0"/>
        </w:rPr>
        <w:t>чении натрия сульфидом</w:t>
      </w:r>
      <w:r w:rsidR="00640648">
        <w:rPr>
          <w:snapToGrid w:val="0"/>
        </w:rPr>
        <w:t xml:space="preserve">. </w:t>
      </w:r>
    </w:p>
    <w:p w:rsidR="00640648" w:rsidRDefault="00F4654E">
      <w:pPr>
        <w:pStyle w:val="a6"/>
        <w:rPr>
          <w:snapToGrid w:val="0"/>
        </w:rPr>
      </w:pPr>
      <w:r>
        <w:rPr>
          <w:snapToGrid w:val="0"/>
        </w:rPr>
        <w:t>Опыты проведены на шести кроликах массой 3,0-4,2 кг, разделенных на две группы. Первой (контрольной) группе животных скармливали в т</w:t>
      </w:r>
      <w:r>
        <w:rPr>
          <w:snapToGrid w:val="0"/>
        </w:rPr>
        <w:t>е</w:t>
      </w:r>
      <w:r>
        <w:rPr>
          <w:snapToGrid w:val="0"/>
        </w:rPr>
        <w:t>чение 30 дней комбикорм, контаминированный свинца ацетатом в дозе 25 мг/ кг, что составляло 5 МДУ свинца для данн</w:t>
      </w:r>
      <w:r>
        <w:rPr>
          <w:snapToGrid w:val="0"/>
        </w:rPr>
        <w:t>о</w:t>
      </w:r>
      <w:r>
        <w:rPr>
          <w:snapToGrid w:val="0"/>
        </w:rPr>
        <w:t xml:space="preserve">го вида корма. Животным второй группы, наряду со свинцом, давали с кормом натрия сульфид в дозе 10 мг/кг массы тела. </w:t>
      </w:r>
    </w:p>
    <w:p w:rsidR="00F4654E" w:rsidRDefault="00F4654E">
      <w:pPr>
        <w:pStyle w:val="a6"/>
        <w:rPr>
          <w:snapToGrid w:val="0"/>
        </w:rPr>
      </w:pPr>
      <w:r>
        <w:rPr>
          <w:snapToGrid w:val="0"/>
        </w:rPr>
        <w:t>Кровь для исследования на содержание общего белка и его фракций брали у кроликов до з</w:t>
      </w:r>
      <w:r>
        <w:rPr>
          <w:snapToGrid w:val="0"/>
        </w:rPr>
        <w:t>а</w:t>
      </w:r>
      <w:r>
        <w:rPr>
          <w:snapToGrid w:val="0"/>
        </w:rPr>
        <w:t>травки, затем через каждые 10 дней после начала  затравки  в течение 30 суток.</w:t>
      </w:r>
    </w:p>
    <w:p w:rsidR="00F4654E" w:rsidRDefault="00F4654E">
      <w:pPr>
        <w:pStyle w:val="a6"/>
        <w:rPr>
          <w:snapToGrid w:val="0"/>
        </w:rPr>
      </w:pPr>
      <w:r>
        <w:rPr>
          <w:snapToGrid w:val="0"/>
        </w:rPr>
        <w:t>Установлено, что ежедневное поступление в организм кроликов ац</w:t>
      </w:r>
      <w:r>
        <w:rPr>
          <w:snapToGrid w:val="0"/>
        </w:rPr>
        <w:t>е</w:t>
      </w:r>
      <w:r>
        <w:rPr>
          <w:snapToGrid w:val="0"/>
        </w:rPr>
        <w:t>тата свинца в дозе 25 мг/кг корма оказывало угнетающее влияние на бе</w:t>
      </w:r>
      <w:r>
        <w:rPr>
          <w:snapToGrid w:val="0"/>
        </w:rPr>
        <w:t>л</w:t>
      </w:r>
      <w:r>
        <w:rPr>
          <w:snapToGrid w:val="0"/>
        </w:rPr>
        <w:t>ковый обмен. Содержание общего белка через 10, 20 и 30 дней после нач</w:t>
      </w:r>
      <w:r>
        <w:rPr>
          <w:snapToGrid w:val="0"/>
        </w:rPr>
        <w:t>а</w:t>
      </w:r>
      <w:r>
        <w:rPr>
          <w:snapToGrid w:val="0"/>
        </w:rPr>
        <w:t>ла затравки свинцом снижалось на 6, 8 и 19%, количество альбуминов также уменьшалось в эти сроки на 5, 12 и 17% соответственно. Концентр</w:t>
      </w:r>
      <w:r>
        <w:rPr>
          <w:snapToGrid w:val="0"/>
        </w:rPr>
        <w:t>а</w:t>
      </w:r>
      <w:r>
        <w:rPr>
          <w:snapToGrid w:val="0"/>
        </w:rPr>
        <w:t>ция α- и β- глобулинов через 10 суток увеличивалась на 71 и 48%, через 20 - на 114 и 83%, через 30 дней -на 99 и 140%. Содержание γ - глобулинов через 10 и 20 суток уменьшалось на 36 и 44%, через 30 дней оно колеб</w:t>
      </w:r>
      <w:r>
        <w:rPr>
          <w:snapToGrid w:val="0"/>
        </w:rPr>
        <w:t>а</w:t>
      </w:r>
      <w:r>
        <w:rPr>
          <w:snapToGrid w:val="0"/>
        </w:rPr>
        <w:t xml:space="preserve">лось в пределах фоновых  величин.  </w:t>
      </w:r>
    </w:p>
    <w:p w:rsidR="00F4654E" w:rsidRDefault="00F4654E">
      <w:pPr>
        <w:pStyle w:val="a6"/>
        <w:rPr>
          <w:snapToGrid w:val="0"/>
        </w:rPr>
      </w:pPr>
      <w:r>
        <w:rPr>
          <w:snapToGrid w:val="0"/>
        </w:rPr>
        <w:t>У животных, получавших натрия сульфид, на 10, 20 и 30-й день з</w:t>
      </w:r>
      <w:r>
        <w:rPr>
          <w:snapToGrid w:val="0"/>
        </w:rPr>
        <w:t>а</w:t>
      </w:r>
      <w:r>
        <w:rPr>
          <w:snapToGrid w:val="0"/>
        </w:rPr>
        <w:t>травки свинца ацетатом содержание общего белка увеличивалось на 3, 6 и 9%, количество γ - глобулинов в эти сроки повышалось на 20, 44 и 63%  соответственно. В то же время отмечалось снижение содержания альбум</w:t>
      </w:r>
      <w:r>
        <w:rPr>
          <w:snapToGrid w:val="0"/>
        </w:rPr>
        <w:t>и</w:t>
      </w:r>
      <w:r>
        <w:rPr>
          <w:snapToGrid w:val="0"/>
        </w:rPr>
        <w:t>нов на 20 и 30-е сутки на 12 и 14%, α - глобулинов - на 17 и 30%, β - глоб</w:t>
      </w:r>
      <w:r>
        <w:rPr>
          <w:snapToGrid w:val="0"/>
        </w:rPr>
        <w:t>у</w:t>
      </w:r>
      <w:r>
        <w:rPr>
          <w:snapToGrid w:val="0"/>
        </w:rPr>
        <w:t xml:space="preserve">линов - на 23 и 16%. </w:t>
      </w:r>
    </w:p>
    <w:p w:rsidR="00640648" w:rsidRDefault="00F4654E">
      <w:pPr>
        <w:pStyle w:val="a6"/>
        <w:rPr>
          <w:snapToGrid w:val="0"/>
        </w:rPr>
      </w:pPr>
      <w:r>
        <w:rPr>
          <w:snapToGrid w:val="0"/>
        </w:rPr>
        <w:t>Таким образом, хроническая интоксикация кроликов свинца ацетатом в дозе 25 мг/кг корма сопровождается снижением содержания общего бе</w:t>
      </w:r>
      <w:r>
        <w:rPr>
          <w:snapToGrid w:val="0"/>
        </w:rPr>
        <w:t>л</w:t>
      </w:r>
      <w:r>
        <w:rPr>
          <w:snapToGrid w:val="0"/>
        </w:rPr>
        <w:t>ка в сыворотке крови на 6-19%, уменьшением альбуминов на 5-17%, γ – глобулинов - на 36-44%, увеличением концентрации α- глобулинов- на 71-114%, β- глобулинов- на 48-140%.</w:t>
      </w:r>
      <w:r w:rsidR="00640648">
        <w:rPr>
          <w:snapToGrid w:val="0"/>
        </w:rPr>
        <w:t xml:space="preserve"> </w:t>
      </w:r>
    </w:p>
    <w:p w:rsidR="00F4654E" w:rsidRDefault="00F4654E">
      <w:pPr>
        <w:pStyle w:val="a6"/>
        <w:rPr>
          <w:snapToGrid w:val="0"/>
        </w:rPr>
      </w:pPr>
      <w:r>
        <w:rPr>
          <w:snapToGrid w:val="0"/>
        </w:rPr>
        <w:t>Применение натрия сульфида в качестве антидота оказывает благ</w:t>
      </w:r>
      <w:r>
        <w:rPr>
          <w:snapToGrid w:val="0"/>
        </w:rPr>
        <w:t>о</w:t>
      </w:r>
      <w:r>
        <w:rPr>
          <w:snapToGrid w:val="0"/>
        </w:rPr>
        <w:t>приятное влияние на белковый обмен, что хара</w:t>
      </w:r>
      <w:r>
        <w:rPr>
          <w:snapToGrid w:val="0"/>
        </w:rPr>
        <w:t>к</w:t>
      </w:r>
      <w:r>
        <w:rPr>
          <w:snapToGrid w:val="0"/>
        </w:rPr>
        <w:t>теризуется увеличением содержания общего белка, гамма- глобулинов и нормализацией соотнош</w:t>
      </w:r>
      <w:r>
        <w:rPr>
          <w:snapToGrid w:val="0"/>
        </w:rPr>
        <w:t>е</w:t>
      </w:r>
      <w:r>
        <w:rPr>
          <w:snapToGrid w:val="0"/>
        </w:rPr>
        <w:t>ния белковых фракций.</w:t>
      </w:r>
    </w:p>
    <w:p w:rsidR="00640648" w:rsidRDefault="00640648">
      <w:pPr>
        <w:pStyle w:val="a4"/>
        <w:rPr>
          <w:snapToGrid w:val="0"/>
        </w:rPr>
      </w:pPr>
      <w:bookmarkStart w:id="1346" w:name="BITSoft"/>
      <w:bookmarkEnd w:id="1346"/>
    </w:p>
    <w:p w:rsidR="00640648" w:rsidRDefault="00640648">
      <w:pPr>
        <w:pStyle w:val="a4"/>
        <w:rPr>
          <w:snapToGrid w:val="0"/>
        </w:rPr>
      </w:pPr>
    </w:p>
    <w:p w:rsidR="00F4654E" w:rsidRDefault="00F4654E">
      <w:pPr>
        <w:pStyle w:val="a4"/>
        <w:rPr>
          <w:snapToGrid w:val="0"/>
        </w:rPr>
      </w:pPr>
      <w:r>
        <w:rPr>
          <w:snapToGrid w:val="0"/>
        </w:rPr>
        <w:lastRenderedPageBreak/>
        <w:t>УДК 619:615.9:546.81</w:t>
      </w:r>
    </w:p>
    <w:p w:rsidR="00F4654E" w:rsidRDefault="00F4654E">
      <w:pPr>
        <w:pStyle w:val="1"/>
        <w:rPr>
          <w:snapToGrid w:val="0"/>
        </w:rPr>
      </w:pPr>
      <w:bookmarkStart w:id="1347" w:name="_Toc10731181"/>
      <w:bookmarkStart w:id="1348" w:name="_Toc10731842"/>
      <w:bookmarkStart w:id="1349" w:name="_Toc10891683"/>
      <w:bookmarkStart w:id="1350" w:name="_Toc10892358"/>
      <w:bookmarkStart w:id="1351" w:name="_Toc11390225"/>
      <w:bookmarkStart w:id="1352" w:name="_Toc11839902"/>
      <w:bookmarkStart w:id="1353" w:name="_Toc11937438"/>
      <w:r>
        <w:rPr>
          <w:snapToGrid w:val="0"/>
        </w:rPr>
        <w:t>ФАРМАКОРРЕКЦИЯ ИММУНОБИОЛОГИЧЕСКОЙ РЕАКТИВНОСТИ ОРГАНИЗМА ПРИ ХРОНИЧЕСКОЙ ИНТОКСИКАЦИИ ЖИВОТНЫХ СВИН</w:t>
      </w:r>
      <w:r>
        <w:rPr>
          <w:caps w:val="0"/>
          <w:snapToGrid w:val="0"/>
        </w:rPr>
        <w:t>Ц</w:t>
      </w:r>
      <w:r>
        <w:rPr>
          <w:snapToGrid w:val="0"/>
        </w:rPr>
        <w:t>ОМ</w:t>
      </w:r>
      <w:bookmarkEnd w:id="1347"/>
      <w:bookmarkEnd w:id="1348"/>
      <w:bookmarkEnd w:id="1349"/>
      <w:bookmarkEnd w:id="1350"/>
      <w:bookmarkEnd w:id="1351"/>
      <w:bookmarkEnd w:id="1352"/>
      <w:bookmarkEnd w:id="1353"/>
    </w:p>
    <w:p w:rsidR="00F4654E" w:rsidRDefault="00F4654E">
      <w:pPr>
        <w:pStyle w:val="2"/>
        <w:rPr>
          <w:snapToGrid w:val="0"/>
        </w:rPr>
      </w:pPr>
      <w:bookmarkStart w:id="1354" w:name="_Toc10731182"/>
      <w:bookmarkStart w:id="1355" w:name="_Toc10731843"/>
      <w:bookmarkStart w:id="1356" w:name="_Toc10891684"/>
      <w:bookmarkStart w:id="1357" w:name="_Toc10892359"/>
      <w:bookmarkStart w:id="1358" w:name="_Toc11390226"/>
      <w:bookmarkStart w:id="1359" w:name="_Toc11937439"/>
      <w:r>
        <w:rPr>
          <w:snapToGrid w:val="0"/>
        </w:rPr>
        <w:t>Гизатуллин Р.Р. , Новиков В.А.</w:t>
      </w:r>
      <w:bookmarkEnd w:id="1354"/>
      <w:bookmarkEnd w:id="1355"/>
      <w:bookmarkEnd w:id="1356"/>
      <w:bookmarkEnd w:id="1357"/>
      <w:bookmarkEnd w:id="1358"/>
      <w:bookmarkEnd w:id="1359"/>
    </w:p>
    <w:p w:rsidR="00F4654E" w:rsidRDefault="00F4654E">
      <w:pPr>
        <w:pStyle w:val="a5"/>
        <w:rPr>
          <w:snapToGrid w:val="0"/>
        </w:rPr>
      </w:pPr>
      <w:r>
        <w:rPr>
          <w:snapToGrid w:val="0"/>
        </w:rPr>
        <w:t>Всероссийский научно-исследовательский ветеринарный институт</w:t>
      </w:r>
    </w:p>
    <w:p w:rsidR="00F4654E" w:rsidRDefault="00F4654E">
      <w:pPr>
        <w:pStyle w:val="a6"/>
        <w:rPr>
          <w:snapToGrid w:val="0"/>
        </w:rPr>
      </w:pPr>
      <w:r>
        <w:rPr>
          <w:snapToGrid w:val="0"/>
        </w:rPr>
        <w:t>Целью настоящего исследования являлось изучение возможности коррекции натрия сульфидом показателей иммунобиологической реакти</w:t>
      </w:r>
      <w:r>
        <w:rPr>
          <w:snapToGrid w:val="0"/>
        </w:rPr>
        <w:t>в</w:t>
      </w:r>
      <w:r>
        <w:rPr>
          <w:snapToGrid w:val="0"/>
        </w:rPr>
        <w:t>ности кроликов при хронической затравке их  свинцом.</w:t>
      </w:r>
    </w:p>
    <w:p w:rsidR="00F4654E" w:rsidRDefault="00F4654E">
      <w:pPr>
        <w:pStyle w:val="a6"/>
      </w:pPr>
      <w:r>
        <w:t>Опыты проведены на шести кроликах массой 3,2-3,8 кг, разделенных на опытную и контрольную группы. Животным контрольной группы в т</w:t>
      </w:r>
      <w:r>
        <w:t>е</w:t>
      </w:r>
      <w:r>
        <w:t>чение 30 дней скармливали комбикорм, загрязненный свинца ацетатом в дозе 25 мг/кг корма, что составляло 5 МДУ для этого токсичного элемента. Опытным животным, наряду со свинцом, давали с кормом в качестве а</w:t>
      </w:r>
      <w:r>
        <w:t>н</w:t>
      </w:r>
      <w:r>
        <w:t>тидота натрия сульфид в дозе 10 мг/кг массы тела. Свинца ацетат и натрия сульфид задавали кроликам с первой порцией комбикорма, затем скармл</w:t>
      </w:r>
      <w:r>
        <w:t>и</w:t>
      </w:r>
      <w:r>
        <w:t>вали основной рацион.</w:t>
      </w:r>
    </w:p>
    <w:p w:rsidR="00F4654E" w:rsidRDefault="00F4654E">
      <w:pPr>
        <w:pStyle w:val="a6"/>
        <w:rPr>
          <w:snapToGrid w:val="0"/>
        </w:rPr>
      </w:pPr>
      <w:r>
        <w:rPr>
          <w:snapToGrid w:val="0"/>
        </w:rPr>
        <w:t>Иммунобиологическую реактивность животных оценивали по колич</w:t>
      </w:r>
      <w:r>
        <w:rPr>
          <w:snapToGrid w:val="0"/>
        </w:rPr>
        <w:t>е</w:t>
      </w:r>
      <w:r>
        <w:rPr>
          <w:snapToGrid w:val="0"/>
        </w:rPr>
        <w:t>ственным показателям Т- и В- лимфоцитов. Кровь для исследования на с</w:t>
      </w:r>
      <w:r>
        <w:rPr>
          <w:snapToGrid w:val="0"/>
        </w:rPr>
        <w:t>о</w:t>
      </w:r>
      <w:r>
        <w:rPr>
          <w:snapToGrid w:val="0"/>
        </w:rPr>
        <w:t>держание Т- и В- лимфоцитов  брали из ушной вены до затравки, затем ч</w:t>
      </w:r>
      <w:r>
        <w:rPr>
          <w:snapToGrid w:val="0"/>
        </w:rPr>
        <w:t>е</w:t>
      </w:r>
      <w:r>
        <w:rPr>
          <w:snapToGrid w:val="0"/>
        </w:rPr>
        <w:t>рез 10, 20 и 30 дней после начала затравки свинца ацетатом и применения натрия сульфида.</w:t>
      </w:r>
    </w:p>
    <w:p w:rsidR="00F4654E" w:rsidRDefault="00F4654E">
      <w:pPr>
        <w:pStyle w:val="a6"/>
        <w:rPr>
          <w:snapToGrid w:val="0"/>
        </w:rPr>
      </w:pPr>
      <w:r>
        <w:rPr>
          <w:snapToGrid w:val="0"/>
        </w:rPr>
        <w:t>Установлено, что поступление в организм свинца ацетата в дозе 25 мг/кг корма в течение 30 дней не вызывало внешних клинических призн</w:t>
      </w:r>
      <w:r>
        <w:rPr>
          <w:snapToGrid w:val="0"/>
        </w:rPr>
        <w:t>а</w:t>
      </w:r>
      <w:r>
        <w:rPr>
          <w:snapToGrid w:val="0"/>
        </w:rPr>
        <w:t>ков отравления у животных. Однако хроническая интоксикация свинцом сопровождалось угнетением иммунобиологической реактивности живо</w:t>
      </w:r>
      <w:r>
        <w:rPr>
          <w:snapToGrid w:val="0"/>
        </w:rPr>
        <w:t>т</w:t>
      </w:r>
      <w:r>
        <w:rPr>
          <w:snapToGrid w:val="0"/>
        </w:rPr>
        <w:t>ных, что проявлялось снижением содержания Т-лимфоцитов через 10, 20 и 30 дней на 33,50 и 60%. Количество В-лимфоцитов в эти сроки также уменьшалось соответственно на 17, 39 и 50%.</w:t>
      </w:r>
    </w:p>
    <w:p w:rsidR="00F4654E" w:rsidRDefault="00F4654E">
      <w:pPr>
        <w:pStyle w:val="a6"/>
        <w:rPr>
          <w:snapToGrid w:val="0"/>
        </w:rPr>
      </w:pPr>
      <w:r>
        <w:rPr>
          <w:snapToGrid w:val="0"/>
        </w:rPr>
        <w:t>Применение натрия сульфида оказывало коррегирующее действие на иммуннобиологическую реактивность животных, что характеризовалось нормализацией и повышением количества Т- и В- лимфоцитов. У живо</w:t>
      </w:r>
      <w:r>
        <w:rPr>
          <w:snapToGrid w:val="0"/>
        </w:rPr>
        <w:t>т</w:t>
      </w:r>
      <w:r>
        <w:rPr>
          <w:snapToGrid w:val="0"/>
        </w:rPr>
        <w:t>ных, получавших с кормом натрия сульфид, количество Т- лимфоцитов на 10-й день повышалось на 17%, на 20 и 30-е сутки- на 28,5%. Содержание В- лимфоцитов на фоне хронической интоксикации свинцом и применении натрия сульфида увеличивалось через 10 и 20 дней на 25% , на 30-й день оно находилось на уровне фоновых величин.</w:t>
      </w:r>
    </w:p>
    <w:p w:rsidR="00F4654E" w:rsidRDefault="00F4654E">
      <w:pPr>
        <w:pStyle w:val="a6"/>
      </w:pPr>
      <w:r>
        <w:t>Таким образом, введение натрия сульфида в рацион животных сп</w:t>
      </w:r>
      <w:r>
        <w:t>о</w:t>
      </w:r>
      <w:r>
        <w:t>собствует нормализации иммунного статуса животных, нарушенного при хронической интоксикации кроликов свинцом.</w:t>
      </w:r>
    </w:p>
    <w:p w:rsidR="00640648" w:rsidRDefault="00640648">
      <w:pPr>
        <w:pStyle w:val="a4"/>
      </w:pPr>
    </w:p>
    <w:p w:rsidR="00F4654E" w:rsidRDefault="00F4654E">
      <w:pPr>
        <w:pStyle w:val="a4"/>
      </w:pPr>
      <w:r>
        <w:lastRenderedPageBreak/>
        <w:t>УДК 619:616.98:577.2.083</w:t>
      </w:r>
    </w:p>
    <w:p w:rsidR="00F4654E" w:rsidRDefault="00F4654E">
      <w:pPr>
        <w:pStyle w:val="1"/>
      </w:pPr>
      <w:bookmarkStart w:id="1360" w:name="_Toc10731183"/>
      <w:bookmarkStart w:id="1361" w:name="_Toc10731844"/>
      <w:bookmarkStart w:id="1362" w:name="_Toc10891685"/>
      <w:bookmarkStart w:id="1363" w:name="_Toc10892360"/>
      <w:bookmarkStart w:id="1364" w:name="_Toc11390227"/>
      <w:bookmarkStart w:id="1365" w:name="_Toc11839904"/>
      <w:bookmarkStart w:id="1366" w:name="_Toc11937440"/>
      <w:r>
        <w:t>Выявление ДНК вируса ИРТ КРС в пробах биоматериала от больных телят при помощи ПЦР</w:t>
      </w:r>
      <w:bookmarkEnd w:id="1360"/>
      <w:bookmarkEnd w:id="1361"/>
      <w:bookmarkEnd w:id="1362"/>
      <w:bookmarkEnd w:id="1363"/>
      <w:bookmarkEnd w:id="1364"/>
      <w:bookmarkEnd w:id="1365"/>
      <w:bookmarkEnd w:id="1366"/>
    </w:p>
    <w:p w:rsidR="00F4654E" w:rsidRDefault="00F4654E">
      <w:pPr>
        <w:pStyle w:val="2"/>
      </w:pPr>
      <w:bookmarkStart w:id="1367" w:name="_Toc10731184"/>
      <w:bookmarkStart w:id="1368" w:name="_Toc10731845"/>
      <w:bookmarkStart w:id="1369" w:name="_Toc10891686"/>
      <w:bookmarkStart w:id="1370" w:name="_Toc10892361"/>
      <w:bookmarkStart w:id="1371" w:name="_Toc11390228"/>
      <w:bookmarkStart w:id="1372" w:name="_Toc11937441"/>
      <w:r>
        <w:t>Глотов А.Г., Котенева С.В., Глотова Т.И., Нефедченко А.В.,</w:t>
      </w:r>
      <w:r>
        <w:br/>
        <w:t>Носкова Н.В.*, Суслопаров М.А.*</w:t>
      </w:r>
      <w:bookmarkEnd w:id="1367"/>
      <w:bookmarkEnd w:id="1368"/>
      <w:bookmarkEnd w:id="1369"/>
      <w:bookmarkEnd w:id="1370"/>
      <w:bookmarkEnd w:id="1371"/>
      <w:bookmarkEnd w:id="1372"/>
    </w:p>
    <w:p w:rsidR="00F4654E" w:rsidRDefault="00F4654E">
      <w:pPr>
        <w:pStyle w:val="a5"/>
      </w:pPr>
      <w:r>
        <w:t>Институт экспериментальной ветеринарии Сибири и Дальнего Востока *Государственный научный центр «Вектор»</w:t>
      </w:r>
    </w:p>
    <w:p w:rsidR="00F4654E" w:rsidRDefault="00F4654E">
      <w:pPr>
        <w:pStyle w:val="a6"/>
      </w:pPr>
      <w:r>
        <w:t>Инфекционный ринотрахеит (ИРТ КРС) – контагиозное заболевание крупного рогатого скота, характеризующееся у молодняка поражениями респираторного тракта, конъюнктивитами, менингоэнцефалитами, реже артритами,  развитием поражений репродуктивного тракта у взрослых ж</w:t>
      </w:r>
      <w:r>
        <w:t>и</w:t>
      </w:r>
      <w:r>
        <w:t>вотных.  Возбудителем заболевания является герпесвирус КРС 1-го типа (BHV-1). Ранняя и быстрая диагностика ИРТ КРС, является одним из о</w:t>
      </w:r>
      <w:r>
        <w:t>с</w:t>
      </w:r>
      <w:r>
        <w:t>новных факторов при оздоровлении хозяйств и недопущении распростр</w:t>
      </w:r>
      <w:r>
        <w:t>а</w:t>
      </w:r>
      <w:r>
        <w:t>нения инфекции. Традиционные методы диагностики (реакция нейтрал</w:t>
      </w:r>
      <w:r>
        <w:t>и</w:t>
      </w:r>
      <w:r>
        <w:t>зации, выделение вируса в культуре клеток) имеют недостатки, связанные с трудоемкостью, длительностью постановки, недостаточной чувствител</w:t>
      </w:r>
      <w:r>
        <w:t>ь</w:t>
      </w:r>
      <w:r>
        <w:t>ностью. Необходима разработка и внедрение в лабораторную практику в</w:t>
      </w:r>
      <w:r>
        <w:t>ы</w:t>
      </w:r>
      <w:r>
        <w:t>сокочувствительных и специфичных методов, позволяющих выявлять во</w:t>
      </w:r>
      <w:r>
        <w:t>з</w:t>
      </w:r>
      <w:r>
        <w:t xml:space="preserve">будителя на любой стадии заболевания. </w:t>
      </w:r>
    </w:p>
    <w:p w:rsidR="00F4654E" w:rsidRDefault="00F4654E">
      <w:pPr>
        <w:pStyle w:val="a6"/>
      </w:pPr>
      <w:r>
        <w:t>Целью исследований являлось выявление генома BHV-1 в пробах биоматериала с помощью ПЦР. Праймеры для детекции ДНК BHV-1 были синтезированы на район гена тимидинкиназы. Выбор данного района об</w:t>
      </w:r>
      <w:r>
        <w:t>у</w:t>
      </w:r>
      <w:r>
        <w:t>словлен жизненной важностью этого белка для вирусной репликации и в</w:t>
      </w:r>
      <w:r>
        <w:t>ы</w:t>
      </w:r>
      <w:r>
        <w:t>сокой консервативностью его аминокислотных последовательностей. В случае положительной реакции на BHV-1 синтезируется фрагмент 221 п. о. Препараты ДНК близкородственных  вирусов (BHV-2, BHV-4, SHV-1)  при этом не амплифицируются. Чувствительность разработанной ПЦР сост</w:t>
      </w:r>
      <w:r>
        <w:t>а</w:t>
      </w:r>
      <w:r>
        <w:t>вила 10</w:t>
      </w:r>
      <w:r>
        <w:rPr>
          <w:vertAlign w:val="superscript"/>
        </w:rPr>
        <w:t xml:space="preserve">2 </w:t>
      </w:r>
      <w:r>
        <w:t>ТЦД</w:t>
      </w:r>
      <w:r>
        <w:rPr>
          <w:vertAlign w:val="subscript"/>
        </w:rPr>
        <w:t>50/мл</w:t>
      </w:r>
      <w:r>
        <w:t>.</w:t>
      </w:r>
    </w:p>
    <w:p w:rsidR="00F4654E" w:rsidRDefault="00F4654E">
      <w:pPr>
        <w:pStyle w:val="a6"/>
      </w:pPr>
      <w:r>
        <w:t>С помощью разработанной методики исследовали пробы органов абортплодов и больных телят из хозяйств Новосибирской и Кемеровской областей. Из проб органов готовили 10%-ные суспензии, ДНК выделяли фенольно-хлороформной экстракцией. Специфический фрагмент генома BHV-1 был обнаружен в пробах головного мозга абортплодов, слизистой оболочки носа телят в возрасте 2-3 месяцев. Параллельно все пробы иссл</w:t>
      </w:r>
      <w:r>
        <w:t>е</w:t>
      </w:r>
      <w:r>
        <w:t>довали методом молекулярной гибридизации при помощи разработанной тест-системы. Выделение и идентификацию вируса проводили в перев</w:t>
      </w:r>
      <w:r>
        <w:t>и</w:t>
      </w:r>
      <w:r>
        <w:t xml:space="preserve">ваемой линии культуры клеток MDBK. </w:t>
      </w:r>
    </w:p>
    <w:p w:rsidR="00F4654E" w:rsidRDefault="00F4654E">
      <w:pPr>
        <w:pStyle w:val="a6"/>
      </w:pPr>
      <w:r>
        <w:t>Наличие ДНК BHV-1 подтверждено выделением вируса в культуре клеток с типизацией в реакции нейтрализации и положительным результ</w:t>
      </w:r>
      <w:r>
        <w:t>а</w:t>
      </w:r>
      <w:r>
        <w:t>том молекулярной гибридизации. Полученные данные позволяют испол</w:t>
      </w:r>
      <w:r>
        <w:t>ь</w:t>
      </w:r>
      <w:r>
        <w:t xml:space="preserve">зовать разработанную ПЦР для лабораторной диагностики ИРТ КРС. </w:t>
      </w:r>
    </w:p>
    <w:p w:rsidR="00F4654E" w:rsidRDefault="00F4654E">
      <w:pPr>
        <w:pStyle w:val="a4"/>
      </w:pPr>
      <w:r>
        <w:lastRenderedPageBreak/>
        <w:t>УДК 619:628.8:636.22/.28</w:t>
      </w:r>
    </w:p>
    <w:p w:rsidR="00F4654E" w:rsidRDefault="00F4654E">
      <w:pPr>
        <w:pStyle w:val="1"/>
      </w:pPr>
      <w:bookmarkStart w:id="1373" w:name="_Toc10731185"/>
      <w:bookmarkStart w:id="1374" w:name="_Toc10731846"/>
      <w:bookmarkStart w:id="1375" w:name="_Toc10891687"/>
      <w:bookmarkStart w:id="1376" w:name="_Toc10892362"/>
      <w:bookmarkStart w:id="1377" w:name="_Toc11390229"/>
      <w:bookmarkStart w:id="1378" w:name="_Toc11839906"/>
      <w:bookmarkStart w:id="1379" w:name="_Toc11937442"/>
      <w:r>
        <w:t>ВЛИЯНИЕ  НЕКОТОРЫХ  ФАКТОРОВ  НА  ЗАБОЛЕВАЕМОСТЬ НОВОРОЖДЕННЫХ  ТЕЛЯТ  В  ВОЛОГОДСКОЙ  ОБЛАСТИ</w:t>
      </w:r>
      <w:bookmarkEnd w:id="1373"/>
      <w:bookmarkEnd w:id="1374"/>
      <w:bookmarkEnd w:id="1375"/>
      <w:bookmarkEnd w:id="1376"/>
      <w:bookmarkEnd w:id="1377"/>
      <w:bookmarkEnd w:id="1378"/>
      <w:bookmarkEnd w:id="1379"/>
    </w:p>
    <w:p w:rsidR="00F4654E" w:rsidRDefault="00F4654E">
      <w:pPr>
        <w:pStyle w:val="2"/>
      </w:pPr>
      <w:bookmarkStart w:id="1380" w:name="_Toc10731186"/>
      <w:bookmarkStart w:id="1381" w:name="_Toc10731847"/>
      <w:bookmarkStart w:id="1382" w:name="_Toc10891688"/>
      <w:bookmarkStart w:id="1383" w:name="_Toc10892363"/>
      <w:bookmarkStart w:id="1384" w:name="_Toc11390230"/>
      <w:bookmarkStart w:id="1385" w:name="_Toc11937443"/>
      <w:r>
        <w:t>Горбунов А.П., Морогина З.Н., Попова Н.В.</w:t>
      </w:r>
      <w:bookmarkEnd w:id="1380"/>
      <w:bookmarkEnd w:id="1381"/>
      <w:bookmarkEnd w:id="1382"/>
      <w:bookmarkEnd w:id="1383"/>
      <w:bookmarkEnd w:id="1384"/>
      <w:bookmarkEnd w:id="1385"/>
    </w:p>
    <w:p w:rsidR="00F4654E" w:rsidRDefault="00F4654E">
      <w:pPr>
        <w:pStyle w:val="a5"/>
      </w:pPr>
      <w:r>
        <w:t>Вологодская научно-исследовательская ветеринарная станция</w:t>
      </w:r>
    </w:p>
    <w:p w:rsidR="00F4654E" w:rsidRDefault="00F4654E">
      <w:pPr>
        <w:pStyle w:val="a6"/>
      </w:pPr>
      <w:r>
        <w:t>В Северном регионе НЗ РФ, в том числе и Вологодской области, на протяжении многих лет наблюдается высокая заболеваемость новоро</w:t>
      </w:r>
      <w:r>
        <w:t>ж</w:t>
      </w:r>
      <w:r>
        <w:t>денных телят с картиной поражения желудочно-кишечного тракта. Пр</w:t>
      </w:r>
      <w:r>
        <w:t>и</w:t>
      </w:r>
      <w:r>
        <w:t>чём, эта величина довольно постоянна и не имеет тенденции к снижению.</w:t>
      </w:r>
    </w:p>
    <w:p w:rsidR="00F4654E" w:rsidRDefault="00F4654E">
      <w:pPr>
        <w:pStyle w:val="a6"/>
      </w:pPr>
      <w:r>
        <w:t>Согласно ветеринарной отчётности от 96,4 до 99% этих болезней, п</w:t>
      </w:r>
      <w:r>
        <w:t>о</w:t>
      </w:r>
      <w:r>
        <w:t>падают в группу незаразных.  Однако, схожесть динамики проявления не</w:t>
      </w:r>
      <w:r>
        <w:softHyphen/>
        <w:t>заразных болезней органов пищеварения и инфекционных (коэф</w:t>
      </w:r>
      <w:r>
        <w:softHyphen/>
        <w:t>фициент корреляции равен 0,72) указывает на наличие общих причин, вызывающих их, и можно сделать предположение, что инфекционные болезни встреч</w:t>
      </w:r>
      <w:r>
        <w:t>а</w:t>
      </w:r>
      <w:r>
        <w:t>ются значительно чаще, чем регистрируются.</w:t>
      </w:r>
    </w:p>
    <w:p w:rsidR="00F4654E" w:rsidRDefault="00F4654E">
      <w:pPr>
        <w:pStyle w:val="a6"/>
      </w:pPr>
      <w:r>
        <w:t>Из инфекционных болезней новорожденных телят в области регист</w:t>
      </w:r>
      <w:r>
        <w:softHyphen/>
        <w:t>рируются колибактериоз, сальмонеллёз, диплококкоз и пастереллёз.  Н</w:t>
      </w:r>
      <w:r>
        <w:t>е</w:t>
      </w:r>
      <w:r>
        <w:t>смотря на то, что объём вакцинации животных против этих инфекций в последние годы возрос, снижения заболеваемости не произошло. Эпиз</w:t>
      </w:r>
      <w:r>
        <w:t>о</w:t>
      </w:r>
      <w:r>
        <w:t>отическая си</w:t>
      </w:r>
      <w:r>
        <w:softHyphen/>
        <w:t>туация за это время по колибактериозу и сальмонеллёзу н</w:t>
      </w:r>
      <w:r>
        <w:t>а</w:t>
      </w:r>
      <w:r>
        <w:t>оборот ухуд</w:t>
      </w:r>
      <w:r>
        <w:softHyphen/>
        <w:t>шилась: увеличилось количество неблагополучных пунктов почти в 1,8 раза, повысилась заболеваемость в расчёте на 1000 голов в 3,2 и 4,8 раза соответственно. Причина вероятно в том, что вакцинация против указанных болезней проводится вынужденно после постановки диагноза.  Кроме того, как счи</w:t>
      </w:r>
      <w:r>
        <w:softHyphen/>
        <w:t>тают большинство исследователей, в возникновении этих болезней наряду с микробным, большая роль принадлежит способс</w:t>
      </w:r>
      <w:r>
        <w:t>т</w:t>
      </w:r>
      <w:r>
        <w:t>вующим факторам.</w:t>
      </w:r>
    </w:p>
    <w:p w:rsidR="00F4654E" w:rsidRPr="00640648" w:rsidRDefault="00F4654E">
      <w:pPr>
        <w:pStyle w:val="a6"/>
        <w:rPr>
          <w:spacing w:val="-2"/>
        </w:rPr>
      </w:pPr>
      <w:r w:rsidRPr="00640648">
        <w:rPr>
          <w:spacing w:val="-2"/>
        </w:rPr>
        <w:t>Как показали наши исследования, на территории области острые жел</w:t>
      </w:r>
      <w:r w:rsidRPr="00640648">
        <w:rPr>
          <w:spacing w:val="-2"/>
        </w:rPr>
        <w:t>у</w:t>
      </w:r>
      <w:r w:rsidRPr="00640648">
        <w:rPr>
          <w:spacing w:val="-2"/>
        </w:rPr>
        <w:t>дочно-кишечные заболевания (OЖК3) новорожденных телят распр</w:t>
      </w:r>
      <w:r w:rsidRPr="00640648">
        <w:rPr>
          <w:spacing w:val="-2"/>
        </w:rPr>
        <w:t>о</w:t>
      </w:r>
      <w:r w:rsidRPr="00640648">
        <w:rPr>
          <w:spacing w:val="-2"/>
        </w:rPr>
        <w:t>стране</w:t>
      </w:r>
      <w:r w:rsidRPr="00640648">
        <w:rPr>
          <w:spacing w:val="-2"/>
        </w:rPr>
        <w:softHyphen/>
        <w:t>ны неравномерно.  Из шести агроклиматических зон наибольшая забол</w:t>
      </w:r>
      <w:r w:rsidRPr="00640648">
        <w:rPr>
          <w:spacing w:val="-2"/>
        </w:rPr>
        <w:t>е</w:t>
      </w:r>
      <w:r w:rsidRPr="00640648">
        <w:rPr>
          <w:spacing w:val="-2"/>
        </w:rPr>
        <w:t>ваемость ими отмечена в юго-западной (59,2%), наименьшая - в сев</w:t>
      </w:r>
      <w:r w:rsidRPr="00640648">
        <w:rPr>
          <w:spacing w:val="-2"/>
        </w:rPr>
        <w:t>е</w:t>
      </w:r>
      <w:r w:rsidRPr="00640648">
        <w:rPr>
          <w:spacing w:val="-2"/>
        </w:rPr>
        <w:t>ро-восточной зоне (39,7%).  Доля влияния агроклиматических факторов в о</w:t>
      </w:r>
      <w:r w:rsidRPr="00640648">
        <w:rPr>
          <w:spacing w:val="-2"/>
        </w:rPr>
        <w:t>б</w:t>
      </w:r>
      <w:r w:rsidRPr="00640648">
        <w:rPr>
          <w:spacing w:val="-2"/>
        </w:rPr>
        <w:t>щем комплексе причин, способствующих появлению ОЖКЗ, равна 34% (Р&gt;0,95).  Кроме т</w:t>
      </w:r>
      <w:r w:rsidRPr="00640648">
        <w:rPr>
          <w:spacing w:val="-2"/>
        </w:rPr>
        <w:t>о</w:t>
      </w:r>
      <w:r w:rsidRPr="00640648">
        <w:rPr>
          <w:spacing w:val="-2"/>
        </w:rPr>
        <w:t>го, нами отмечено, что заболеваемость новорожденных телят ОЖКЗ на фе</w:t>
      </w:r>
      <w:r w:rsidRPr="00640648">
        <w:rPr>
          <w:spacing w:val="-2"/>
        </w:rPr>
        <w:t>р</w:t>
      </w:r>
      <w:r w:rsidRPr="00640648">
        <w:rPr>
          <w:spacing w:val="-2"/>
        </w:rPr>
        <w:t>мах, за</w:t>
      </w:r>
      <w:r w:rsidRPr="00640648">
        <w:rPr>
          <w:spacing w:val="-2"/>
        </w:rPr>
        <w:softHyphen/>
        <w:t>висит от концентрации скота.  Так, в районах, где 30-60% скота сосре</w:t>
      </w:r>
      <w:r w:rsidRPr="00640648">
        <w:rPr>
          <w:spacing w:val="-2"/>
        </w:rPr>
        <w:softHyphen/>
        <w:t>доточено на фермах на 200 коров и более, заболева</w:t>
      </w:r>
      <w:r w:rsidRPr="00640648">
        <w:rPr>
          <w:spacing w:val="-2"/>
        </w:rPr>
        <w:t>е</w:t>
      </w:r>
      <w:r w:rsidRPr="00640648">
        <w:rPr>
          <w:spacing w:val="-2"/>
        </w:rPr>
        <w:t>мость телят соста</w:t>
      </w:r>
      <w:r w:rsidRPr="00640648">
        <w:rPr>
          <w:spacing w:val="-2"/>
        </w:rPr>
        <w:softHyphen/>
        <w:t>вила в среднем 48,9%, что в 1,3 раза выше, чем в ра</w:t>
      </w:r>
      <w:r w:rsidRPr="00640648">
        <w:rPr>
          <w:spacing w:val="-2"/>
        </w:rPr>
        <w:t>й</w:t>
      </w:r>
      <w:r w:rsidRPr="00640648">
        <w:rPr>
          <w:spacing w:val="-2"/>
        </w:rPr>
        <w:t>онах, где этот показатель не превышал 16%. Коэффициент корреляции между уровнем концентрации ск</w:t>
      </w:r>
      <w:r w:rsidRPr="00640648">
        <w:rPr>
          <w:spacing w:val="-2"/>
        </w:rPr>
        <w:t>о</w:t>
      </w:r>
      <w:r w:rsidRPr="00640648">
        <w:rPr>
          <w:spacing w:val="-2"/>
        </w:rPr>
        <w:t>та и ОЖКЗ по нашим данным составил 0,41.</w:t>
      </w:r>
    </w:p>
    <w:p w:rsidR="00F4654E" w:rsidRDefault="00F4654E">
      <w:pPr>
        <w:pStyle w:val="a6"/>
      </w:pPr>
      <w:r>
        <w:t>В условиях крупных ферм при достаточно интенсивном использов</w:t>
      </w:r>
      <w:r>
        <w:t>а</w:t>
      </w:r>
      <w:r>
        <w:t xml:space="preserve">нии профилакториев уровень микробной контаминации быстро нарастает, а это, в свою очередь, пагубно отражается на состоянии здоровья телят; </w:t>
      </w:r>
      <w:r>
        <w:lastRenderedPageBreak/>
        <w:t>создаются условия для повышения вирулентных свойств у микрооргани</w:t>
      </w:r>
      <w:r>
        <w:t>з</w:t>
      </w:r>
      <w:r>
        <w:t>мов, образования ассоциаций их с токсигенными свойствами.</w:t>
      </w:r>
    </w:p>
    <w:p w:rsidR="00F4654E" w:rsidRDefault="00F4654E">
      <w:pPr>
        <w:pStyle w:val="a6"/>
      </w:pPr>
      <w:r>
        <w:t>Исследованиями установлено, что на общую микробную загрязне</w:t>
      </w:r>
      <w:r>
        <w:t>н</w:t>
      </w:r>
      <w:r>
        <w:t>ность воздуха профилакториев влияет количество животных, находящихся в помещении и длительность эксплуатации его без полной ветсанобрабо</w:t>
      </w:r>
      <w:r>
        <w:t>т</w:t>
      </w:r>
      <w:r>
        <w:t>ки.  Для недопущения этого испытали содержание новорожденных телят до 20-дневного возраста в индивидуальных клетках однозального, секц</w:t>
      </w:r>
      <w:r>
        <w:t>и</w:t>
      </w:r>
      <w:r>
        <w:t>он</w:t>
      </w:r>
      <w:r>
        <w:softHyphen/>
        <w:t>ного профилактория и выращивание их на открытом воздухе. Оказалось, что телята, находившиеся в секционном профилактории, болели 0ЖКЗ в 1,8 раза, а на открытом воздухе в 3 раза меньше, и сред</w:t>
      </w:r>
      <w:r>
        <w:softHyphen/>
        <w:t>несуточные прив</w:t>
      </w:r>
      <w:r>
        <w:t>е</w:t>
      </w:r>
      <w:r>
        <w:t>сы у них были выше на 49 г и 109 г соответственно по сравнению с живо</w:t>
      </w:r>
      <w:r>
        <w:t>т</w:t>
      </w:r>
      <w:r>
        <w:t>ными, выращенными в однозальном профилактории.</w:t>
      </w:r>
    </w:p>
    <w:p w:rsidR="00F4654E" w:rsidRDefault="00F4654E">
      <w:pPr>
        <w:pStyle w:val="a6"/>
      </w:pPr>
      <w:r>
        <w:t>Для снижения микробной загрязненности воздуха профилакториев изучили возможность использования торфа в качестве подстилки под клетки.  В секциях, где использовали торф, общая микробная загрязненно</w:t>
      </w:r>
      <w:r>
        <w:softHyphen/>
        <w:t>сть воздуха была ниже в среднем на 21%, а содержание Escherichia coli в нём на 32%, а также заболеваемость телят ниже на 16% по сравнению с живот</w:t>
      </w:r>
      <w:r>
        <w:softHyphen/>
        <w:t>ными в боксах, где торф не применяли.</w:t>
      </w:r>
    </w:p>
    <w:p w:rsidR="00F4654E" w:rsidRDefault="00F4654E">
      <w:pPr>
        <w:pStyle w:val="a6"/>
      </w:pPr>
      <w:r>
        <w:t>На основании проведенных исследовании была разработана система профилактических мероприятий, включающая в себя: 1) выращивание т</w:t>
      </w:r>
      <w:r>
        <w:t>е</w:t>
      </w:r>
      <w:r>
        <w:t>лят в боксах секционного профилактория или с середины марта по октябрь - в индивидуальных клетках-домиках на открытом воз</w:t>
      </w:r>
      <w:r>
        <w:softHyphen/>
        <w:t>духе; 2) размещение новорожденных телят в индивидуальных деревянных клетках на ножках высотой 40-45см, использование подсушенного торфа в качестве подсти</w:t>
      </w:r>
      <w:r>
        <w:t>л</w:t>
      </w:r>
      <w:r>
        <w:t>ки под клетки; 3) проведение радикальной санации боксов не реже 1 раза в месяц; использование секций профилактория по принципу «всё свободно - всё занято».</w:t>
      </w:r>
    </w:p>
    <w:p w:rsidR="00F4654E" w:rsidRDefault="00F4654E">
      <w:pPr>
        <w:pStyle w:val="a4"/>
      </w:pPr>
      <w:r>
        <w:t>УДК 619:616.33-002</w:t>
      </w:r>
    </w:p>
    <w:p w:rsidR="00F4654E" w:rsidRDefault="00F4654E">
      <w:pPr>
        <w:pStyle w:val="1"/>
      </w:pPr>
      <w:bookmarkStart w:id="1386" w:name="_Toc10731187"/>
      <w:bookmarkStart w:id="1387" w:name="_Toc10731848"/>
      <w:bookmarkStart w:id="1388" w:name="_Toc10891689"/>
      <w:bookmarkStart w:id="1389" w:name="_Toc10892364"/>
      <w:bookmarkStart w:id="1390" w:name="_Toc11390231"/>
      <w:bookmarkStart w:id="1391" w:name="_Toc11839908"/>
      <w:bookmarkStart w:id="1392" w:name="_Toc11937444"/>
      <w:r>
        <w:t>ПРИМЕНЕНИЕ ПРЕПАРАТА ТОДИКАМП - ИДЕАЛ ДЛЯ ЛЕЧЕНИЯ ДИАРЕЙНОГО СИНДРОМА У НОВОРОЖДЕННЫХ ТЕЛЯТ</w:t>
      </w:r>
      <w:bookmarkEnd w:id="1386"/>
      <w:bookmarkEnd w:id="1387"/>
      <w:bookmarkEnd w:id="1388"/>
      <w:bookmarkEnd w:id="1389"/>
      <w:bookmarkEnd w:id="1390"/>
      <w:bookmarkEnd w:id="1391"/>
      <w:bookmarkEnd w:id="1392"/>
    </w:p>
    <w:p w:rsidR="00F4654E" w:rsidRDefault="00F4654E">
      <w:pPr>
        <w:pStyle w:val="2"/>
      </w:pPr>
      <w:bookmarkStart w:id="1393" w:name="_Toc10731188"/>
      <w:bookmarkStart w:id="1394" w:name="_Toc10731849"/>
      <w:bookmarkStart w:id="1395" w:name="_Toc10891690"/>
      <w:bookmarkStart w:id="1396" w:name="_Toc10892365"/>
      <w:bookmarkStart w:id="1397" w:name="_Toc11390232"/>
      <w:bookmarkStart w:id="1398" w:name="_Toc11937445"/>
      <w:r>
        <w:t>Горлов И.Ф., Тимофеев Б.А., Юрина О.С.</w:t>
      </w:r>
      <w:bookmarkEnd w:id="1393"/>
      <w:bookmarkEnd w:id="1394"/>
      <w:bookmarkEnd w:id="1395"/>
      <w:bookmarkEnd w:id="1396"/>
      <w:bookmarkEnd w:id="1397"/>
      <w:bookmarkEnd w:id="1398"/>
    </w:p>
    <w:p w:rsidR="00F4654E" w:rsidRDefault="00F4654E">
      <w:pPr>
        <w:pStyle w:val="a5"/>
      </w:pPr>
      <w:r>
        <w:t xml:space="preserve">Волгоградский научно-исследовательский институт мясо-молочного скотоводства </w:t>
      </w:r>
      <w:r>
        <w:br/>
        <w:t>и переработки продукции животноводства</w:t>
      </w:r>
    </w:p>
    <w:p w:rsidR="00F4654E" w:rsidRDefault="00F4654E">
      <w:pPr>
        <w:pStyle w:val="a6"/>
      </w:pPr>
      <w:r>
        <w:tab/>
        <w:t>Тодикамп - идеал  представляет собой экстракт грецких орехов м</w:t>
      </w:r>
      <w:r>
        <w:t>о</w:t>
      </w:r>
      <w:r>
        <w:t>лочно - восковой спелости в авиационном керосине с добавлением цвето</w:t>
      </w:r>
      <w:r>
        <w:t>ч</w:t>
      </w:r>
      <w:r>
        <w:t>ной пыльцы и прополиса. Экстракт зеленых грецких орехов в керосине нашел широкое применение в медицине и в ветеринарии: оказался эффе</w:t>
      </w:r>
      <w:r>
        <w:t>к</w:t>
      </w:r>
      <w:r>
        <w:t>тивным при лечении радикулита, простатита, ангин, ревматоидного артр</w:t>
      </w:r>
      <w:r>
        <w:t>и</w:t>
      </w:r>
      <w:r>
        <w:t>та, тромбофлебита, простудных и других заболеваний. В ветеринарии т</w:t>
      </w:r>
      <w:r>
        <w:t>а</w:t>
      </w:r>
      <w:r>
        <w:t>кой экстракт применяется для лечения ран, ожогов, травматических п</w:t>
      </w:r>
      <w:r>
        <w:t>о</w:t>
      </w:r>
      <w:r>
        <w:t xml:space="preserve">вреждений тканей, дерматитов сельскохозяйственных животных. В 1997 - </w:t>
      </w:r>
      <w:r>
        <w:lastRenderedPageBreak/>
        <w:t>2000 г.г. в журнале «Фармация» опубликован ряд работ, где орехи молочно - восковой спелости настаивают в авиационном керосине, причем прив</w:t>
      </w:r>
      <w:r>
        <w:t>о</w:t>
      </w:r>
      <w:r>
        <w:t>дятся данные по острой, хронической и субхронической токсичности да</w:t>
      </w:r>
      <w:r>
        <w:t>н</w:t>
      </w:r>
      <w:r>
        <w:t>ного препарата и доказывается, что он малотоксичен (авторы Самылина, Стреляева и др.).</w:t>
      </w:r>
    </w:p>
    <w:p w:rsidR="00F4654E" w:rsidRDefault="00F4654E">
      <w:pPr>
        <w:pStyle w:val="a6"/>
      </w:pPr>
      <w:r>
        <w:tab/>
        <w:t xml:space="preserve">Целью настоящей работы явилось изучение применения «Тодикамп – идеала» при лечении диарейного синдрома у новорожденных телят. </w:t>
      </w:r>
    </w:p>
    <w:p w:rsidR="00F4654E" w:rsidRPr="00640648" w:rsidRDefault="00F4654E">
      <w:pPr>
        <w:pStyle w:val="a6"/>
        <w:rPr>
          <w:spacing w:val="-2"/>
        </w:rPr>
      </w:pPr>
      <w:r w:rsidRPr="00640648">
        <w:rPr>
          <w:spacing w:val="-2"/>
        </w:rPr>
        <w:tab/>
        <w:t>В настоящее время в различных хозяйствах удельный вес желудочно - кишечных заболеваний крупного рогатого скота составляет 30 - 70%, что наносит большой экономический ущерб. Расстройство пищеварения у т</w:t>
      </w:r>
      <w:r w:rsidRPr="00640648">
        <w:rPr>
          <w:spacing w:val="-2"/>
        </w:rPr>
        <w:t>е</w:t>
      </w:r>
      <w:r w:rsidRPr="00640648">
        <w:rPr>
          <w:spacing w:val="-2"/>
        </w:rPr>
        <w:t>лят в профилакторный период выращивания связано со снижением резистен</w:t>
      </w:r>
      <w:r w:rsidRPr="00640648">
        <w:rPr>
          <w:spacing w:val="-2"/>
        </w:rPr>
        <w:t>т</w:t>
      </w:r>
      <w:r w:rsidRPr="00640648">
        <w:rPr>
          <w:spacing w:val="-2"/>
        </w:rPr>
        <w:t>ности организма и активизацией условно патогенной и токсикогенной ми</w:t>
      </w:r>
      <w:r w:rsidRPr="00640648">
        <w:rPr>
          <w:spacing w:val="-2"/>
        </w:rPr>
        <w:t>к</w:t>
      </w:r>
      <w:r w:rsidRPr="00640648">
        <w:rPr>
          <w:spacing w:val="-2"/>
        </w:rPr>
        <w:t>рофлоры. Новорожденные животные особенно чувствительны к этим фа</w:t>
      </w:r>
      <w:r w:rsidRPr="00640648">
        <w:rPr>
          <w:spacing w:val="-2"/>
        </w:rPr>
        <w:t>к</w:t>
      </w:r>
      <w:r w:rsidRPr="00640648">
        <w:rPr>
          <w:spacing w:val="-2"/>
        </w:rPr>
        <w:t>торам, т.к. у них недостаточно развиты собственные защитные силы орг</w:t>
      </w:r>
      <w:r w:rsidRPr="00640648">
        <w:rPr>
          <w:spacing w:val="-2"/>
        </w:rPr>
        <w:t>а</w:t>
      </w:r>
      <w:r w:rsidRPr="00640648">
        <w:rPr>
          <w:spacing w:val="-2"/>
        </w:rPr>
        <w:t>низма и не сформирована микроэкологическая система кише</w:t>
      </w:r>
      <w:r w:rsidRPr="00640648">
        <w:rPr>
          <w:spacing w:val="-2"/>
        </w:rPr>
        <w:t>ч</w:t>
      </w:r>
      <w:r w:rsidRPr="00640648">
        <w:rPr>
          <w:spacing w:val="-2"/>
        </w:rPr>
        <w:t>ника. Поэтому вышеуказанные исследования являются особенно актуал</w:t>
      </w:r>
      <w:r w:rsidRPr="00640648">
        <w:rPr>
          <w:spacing w:val="-2"/>
        </w:rPr>
        <w:t>ь</w:t>
      </w:r>
      <w:r w:rsidRPr="00640648">
        <w:rPr>
          <w:spacing w:val="-2"/>
        </w:rPr>
        <w:t>ными.</w:t>
      </w:r>
    </w:p>
    <w:p w:rsidR="00F4654E" w:rsidRDefault="00F4654E">
      <w:pPr>
        <w:pStyle w:val="a6"/>
      </w:pPr>
      <w:r>
        <w:t>В ОПХ “Родина” Котовского района Волгоградской области проведен научно-хозяйственный опыт по лечению новорожденных телят от диаре</w:t>
      </w:r>
      <w:r>
        <w:t>й</w:t>
      </w:r>
      <w:r>
        <w:t>ного синдрома. По принципу аналогов брали две группы новорожденных телят двухдневного возраста с признаками диареи (по 20 голов в каждой). У телят наблюдали следующие признаки диареи: потеря аппетита, сухость слизистых оболочек и носового зеркала. Температура тела в первые 15-20 часов находилась в пределах 38,5 – 39,3</w:t>
      </w:r>
      <w:r>
        <w:rPr>
          <w:vertAlign w:val="superscript"/>
        </w:rPr>
        <w:t>0</w:t>
      </w:r>
      <w:r>
        <w:t>С, фекалии зловонные и водян</w:t>
      </w:r>
      <w:r>
        <w:t>и</w:t>
      </w:r>
      <w:r>
        <w:t>стые. Бактериологическое исследование исключило наличие колибакт</w:t>
      </w:r>
      <w:r>
        <w:t>е</w:t>
      </w:r>
      <w:r>
        <w:t>риоза и вирусных болезней.  Опытная группа получала «Тодикамп-идеал» в порционную дозу молозива два раза в день в течение 6 дней в дозе 6 мл на каждую голову,  контрольную группу лечили лерсом согласно наста</w:t>
      </w:r>
      <w:r>
        <w:t>в</w:t>
      </w:r>
      <w:r>
        <w:t>ления. В течение месяца учитывали клиническое состояние, сохранность, прирост живой массы телят. На 10-й день лечения проводили биохимич</w:t>
      </w:r>
      <w:r>
        <w:t>е</w:t>
      </w:r>
      <w:r>
        <w:t>ские и гематологические исследования крови больных животных. Кровь брали перед утренним кормлением на 2, 5 и  10 день от начала лечения. Как показали результаты исследований, концентрация эритроцитов и гем</w:t>
      </w:r>
      <w:r>
        <w:t>о</w:t>
      </w:r>
      <w:r>
        <w:t>глобина у телят обеих подопытных групп колебалась незначительно, одн</w:t>
      </w:r>
      <w:r>
        <w:t>а</w:t>
      </w:r>
      <w:r>
        <w:t>ко уровень лейкоцитов достоверно снижался и к 10 дню снизился в опы</w:t>
      </w:r>
      <w:r>
        <w:t>т</w:t>
      </w:r>
      <w:r>
        <w:t>ной группе на 32,8% по сравнению с контрольной - на 14%.</w:t>
      </w:r>
    </w:p>
    <w:p w:rsidR="00F4654E" w:rsidRDefault="00F4654E">
      <w:pPr>
        <w:pStyle w:val="a6"/>
      </w:pPr>
      <w:r>
        <w:t>Через 8-10  дней с начала лечения у больных животных появились следующие признаки выздоровления: появился аппетит, фекалии приобр</w:t>
      </w:r>
      <w:r>
        <w:t>е</w:t>
      </w:r>
      <w:r>
        <w:t>ли сформированный вид, исчез их зловонный запах, кожа стала эласти</w:t>
      </w:r>
      <w:r>
        <w:t>ч</w:t>
      </w:r>
      <w:r>
        <w:t>ной, шерсть – блестящей. В опытной группе от диареи пал один теленок, а в контрольной – три. Эффективность лечения составила в опытной группе – 95%, а в контрольной-85%. Преимуществами лечения диарейного си</w:t>
      </w:r>
      <w:r>
        <w:t>н</w:t>
      </w:r>
      <w:r>
        <w:t xml:space="preserve">дрома новорожденных телят с помощью «Тодикамп-идеала» являются – его эффективность, отсутствие побочных эффектов, удобство применения, </w:t>
      </w:r>
      <w:r>
        <w:lastRenderedPageBreak/>
        <w:t>широта терапевтического действия и политропность влияния. Состояние и опытной, и контрольной группы телят улучшилось на 8 – 10 день, пон</w:t>
      </w:r>
      <w:r>
        <w:t>и</w:t>
      </w:r>
      <w:r>
        <w:t>зился уровень гемоглобина, нормализовалось количество эритроцитов и лейкоцитов, содержание натрия и калия. Гематологические и биохимич</w:t>
      </w:r>
      <w:r>
        <w:t>е</w:t>
      </w:r>
      <w:r>
        <w:t>ские показатели крови контрольной группы телят несколько улучшились к 10-му дню лечения, окончательное выздоровление наступило на 20 день лечения. У опытной группы телят уже после 5-дневного приема препарата клиническое состояние стало изменяться в лучшую сторону, появился а</w:t>
      </w:r>
      <w:r>
        <w:t>п</w:t>
      </w:r>
      <w:r>
        <w:t>петит, депрессия стала исчезать, понос ослабел, исчезли тремор, телята стали подниматься. Окончательное выздоровление наступило на 10 дней лечения. Эффективность лечения: процент выздоровления телят в опытной группе составил 95%, а в контрольной – 85%.</w:t>
      </w:r>
    </w:p>
    <w:p w:rsidR="00F4654E" w:rsidRDefault="00F4654E">
      <w:pPr>
        <w:pStyle w:val="a6"/>
      </w:pPr>
      <w:r>
        <w:t>Лечебная эффективность препарата при лечении диарейного синдрома у новорожденных телят была проверена в хозяйствах Волгоградской о</w:t>
      </w:r>
      <w:r>
        <w:t>б</w:t>
      </w:r>
      <w:r>
        <w:t>ласти: ТОО “Новонадеждинский”, обработано 60 телят; ТОО “64-я А</w:t>
      </w:r>
      <w:r>
        <w:t>р</w:t>
      </w:r>
      <w:r>
        <w:t>мия”, обработано 40 телят;  Племзавод “Кузьмичевский” обработано 34 т</w:t>
      </w:r>
      <w:r>
        <w:t>е</w:t>
      </w:r>
      <w:r>
        <w:t>ленка. Процент выздоровления в этих хозяйствах составил 99-100%. Пр</w:t>
      </w:r>
      <w:r>
        <w:t>е</w:t>
      </w:r>
      <w:r>
        <w:t>имуществами способа лечения диарейного синдрома «Тодикамп- идеалом» являются: сокращение времени лечения телят; эффективность выздоровл</w:t>
      </w:r>
      <w:r>
        <w:t>е</w:t>
      </w:r>
      <w:r>
        <w:t>ния телят; отсутствие побочных эффектов при лечении.</w:t>
      </w:r>
    </w:p>
    <w:p w:rsidR="00F4654E" w:rsidRDefault="00F4654E">
      <w:pPr>
        <w:pStyle w:val="a6"/>
        <w:rPr>
          <w:spacing w:val="-2"/>
        </w:rPr>
      </w:pPr>
      <w:r w:rsidRPr="00640648">
        <w:rPr>
          <w:spacing w:val="-2"/>
        </w:rPr>
        <w:t>Таким  образом, для лечения диарейного синдрома у новорожденных телят использован новый препарат «Тодикап – идеал», который относится к средствам природного происхождения. Препарат «Тодикамп – идеал» явл</w:t>
      </w:r>
      <w:r w:rsidRPr="00640648">
        <w:rPr>
          <w:spacing w:val="-2"/>
        </w:rPr>
        <w:t>я</w:t>
      </w:r>
      <w:r w:rsidRPr="00640648">
        <w:rPr>
          <w:spacing w:val="-2"/>
        </w:rPr>
        <w:t>ется более эффективным и удобным средством для лечения диарейного синдрома, чем традиционные препараты (в частности, такие известные, как лерс). Проведенные исследования нашли широкое подтверждение в расш</w:t>
      </w:r>
      <w:r w:rsidRPr="00640648">
        <w:rPr>
          <w:spacing w:val="-2"/>
        </w:rPr>
        <w:t>и</w:t>
      </w:r>
      <w:r w:rsidRPr="00640648">
        <w:rPr>
          <w:spacing w:val="-2"/>
        </w:rPr>
        <w:t>ренных опытах по лечению диареи в хозяйствах Волгоградской о</w:t>
      </w:r>
      <w:r w:rsidRPr="00640648">
        <w:rPr>
          <w:spacing w:val="-2"/>
        </w:rPr>
        <w:t>б</w:t>
      </w:r>
      <w:r w:rsidRPr="00640648">
        <w:rPr>
          <w:spacing w:val="-2"/>
        </w:rPr>
        <w:t>ласти.</w:t>
      </w:r>
    </w:p>
    <w:p w:rsidR="00F4654E" w:rsidRDefault="00F4654E">
      <w:pPr>
        <w:pStyle w:val="a4"/>
      </w:pPr>
      <w:r>
        <w:t>УДК 636.22/.28:636.082.4.35</w:t>
      </w:r>
    </w:p>
    <w:p w:rsidR="00F4654E" w:rsidRDefault="00F4654E">
      <w:pPr>
        <w:pStyle w:val="1"/>
      </w:pPr>
      <w:bookmarkStart w:id="1399" w:name="_Toc10731189"/>
      <w:bookmarkStart w:id="1400" w:name="_Toc10731850"/>
      <w:bookmarkStart w:id="1401" w:name="_Toc10891691"/>
      <w:bookmarkStart w:id="1402" w:name="_Toc10892366"/>
      <w:bookmarkStart w:id="1403" w:name="_Toc11390233"/>
      <w:bookmarkStart w:id="1404" w:name="_Toc11839910"/>
      <w:bookmarkStart w:id="1405" w:name="_Toc11937446"/>
      <w:r>
        <w:t xml:space="preserve">К причинам низких показателей воспроизводства </w:t>
      </w:r>
      <w:r>
        <w:br/>
        <w:t>крупного рогатого скота и сохранности молодняка</w:t>
      </w:r>
      <w:bookmarkEnd w:id="1399"/>
      <w:bookmarkEnd w:id="1400"/>
      <w:bookmarkEnd w:id="1401"/>
      <w:bookmarkEnd w:id="1402"/>
      <w:bookmarkEnd w:id="1403"/>
      <w:bookmarkEnd w:id="1404"/>
      <w:bookmarkEnd w:id="1405"/>
    </w:p>
    <w:p w:rsidR="00F4654E" w:rsidRDefault="00F4654E">
      <w:pPr>
        <w:pStyle w:val="2"/>
      </w:pPr>
      <w:bookmarkStart w:id="1406" w:name="_Toc10731190"/>
      <w:bookmarkStart w:id="1407" w:name="_Toc10731851"/>
      <w:bookmarkStart w:id="1408" w:name="_Toc10891692"/>
      <w:bookmarkStart w:id="1409" w:name="_Toc10892367"/>
      <w:bookmarkStart w:id="1410" w:name="_Toc11390234"/>
      <w:bookmarkStart w:id="1411" w:name="_Toc11937447"/>
      <w:r>
        <w:t>Горчаков В.В., Косорлукова З.Я., Ким Р.Е.</w:t>
      </w:r>
      <w:bookmarkEnd w:id="1406"/>
      <w:bookmarkEnd w:id="1407"/>
      <w:bookmarkEnd w:id="1408"/>
      <w:bookmarkEnd w:id="1409"/>
      <w:bookmarkEnd w:id="1410"/>
      <w:bookmarkEnd w:id="1411"/>
    </w:p>
    <w:p w:rsidR="00F4654E" w:rsidRDefault="00F4654E">
      <w:pPr>
        <w:pStyle w:val="a5"/>
      </w:pPr>
      <w:r>
        <w:t>Научно-исследовательский ветеринарный институт Нечерноземной зоны РФ</w:t>
      </w:r>
    </w:p>
    <w:p w:rsidR="00F4654E" w:rsidRDefault="00F4654E">
      <w:pPr>
        <w:pStyle w:val="a6"/>
      </w:pPr>
      <w:r>
        <w:t>Высокий уровень воспроизводства стада крупного рогатого скота обеспечивается нормальным функционированием всех органов и систем организма. Снижение воспроизводительной способности и продуктивн</w:t>
      </w:r>
      <w:r>
        <w:t>о</w:t>
      </w:r>
      <w:r>
        <w:t>сти коров, рождение нежизнеспособного приплода, его высокая забол</w:t>
      </w:r>
      <w:r>
        <w:t>е</w:t>
      </w:r>
      <w:r>
        <w:t>ваемость и отход обуславливаются различными негативными факторами внешней среды, включающими нарушения в кормлении, содержании, эк</w:t>
      </w:r>
      <w:r>
        <w:t>с</w:t>
      </w:r>
      <w:r>
        <w:t>плуатации животных  и др.</w:t>
      </w:r>
    </w:p>
    <w:p w:rsidR="00F4654E" w:rsidRDefault="00F4654E">
      <w:pPr>
        <w:pStyle w:val="a6"/>
      </w:pPr>
      <w:r>
        <w:t xml:space="preserve">Целью наших исследований было выявление влияния фасциолезной инвазии на воспроизводительную функцию коров и сохранность приплода. </w:t>
      </w:r>
    </w:p>
    <w:p w:rsidR="00F4654E" w:rsidRDefault="00F4654E">
      <w:pPr>
        <w:pStyle w:val="a6"/>
      </w:pPr>
      <w:r>
        <w:lastRenderedPageBreak/>
        <w:t>Работу проводили в течение трех лет в 4 неблагополучных по фасци</w:t>
      </w:r>
      <w:r>
        <w:t>о</w:t>
      </w:r>
      <w:r>
        <w:t>лезу хозяйствах Уренского района Нижегородской области, расположе</w:t>
      </w:r>
      <w:r>
        <w:t>н</w:t>
      </w:r>
      <w:r>
        <w:t>ных в «зоне повышенного риска» фасциолезной инвазии с общим пог</w:t>
      </w:r>
      <w:r>
        <w:t>о</w:t>
      </w:r>
      <w:r>
        <w:t>ловьем 2,5 тыс. коров черно-пестрой породы. Хозяйства благополучны по инфекционным болезням. Кормление и содержание животных отвечало физиологическим потребностям, нарушений в работе по искусственному осеменению коров и телок не было. Однако выход телят в течение ряда лет составлял лишь 73-76%, их сохранность – 82-85%, продуктивность коров – 2680-3000 кг.</w:t>
      </w:r>
    </w:p>
    <w:p w:rsidR="00F4654E" w:rsidRDefault="00F4654E">
      <w:pPr>
        <w:pStyle w:val="a6"/>
      </w:pPr>
      <w:r>
        <w:t>Первичными исследованиями выявили высокую степень инвазир</w:t>
      </w:r>
      <w:r>
        <w:t>о</w:t>
      </w:r>
      <w:r>
        <w:t>ванности животных фасциолами, составлявшую 62-75% от общего погол</w:t>
      </w:r>
      <w:r>
        <w:t>о</w:t>
      </w:r>
      <w:r>
        <w:t>вья. Анализ результатов работ по воспроизводству стада показал, что инв</w:t>
      </w:r>
      <w:r>
        <w:t>а</w:t>
      </w:r>
      <w:r>
        <w:t>зированные фасциолами коровы являются «проблемными» для искусс</w:t>
      </w:r>
      <w:r>
        <w:t>т</w:t>
      </w:r>
      <w:r>
        <w:t>венного осеменения. По сравнению с неинвазированным поголовьем сроки инволюции матки после отела у них были выше в 2,2 раза, индекс оплод</w:t>
      </w:r>
      <w:r>
        <w:t>о</w:t>
      </w:r>
      <w:r>
        <w:t>творения – в 2,5 раза, продолжительность бесплодия – в 2,9 раза, забол</w:t>
      </w:r>
      <w:r>
        <w:t>е</w:t>
      </w:r>
      <w:r>
        <w:t>ваемость акушерско-гинекологическими болезнями – в 3,2 раза. Забол</w:t>
      </w:r>
      <w:r>
        <w:t>е</w:t>
      </w:r>
      <w:r>
        <w:t>ваемость и отход телят от инвазированных коров были выше соответс</w:t>
      </w:r>
      <w:r>
        <w:t>т</w:t>
      </w:r>
      <w:r>
        <w:t>венно в 1,6 и 2 раза.</w:t>
      </w:r>
    </w:p>
    <w:p w:rsidR="00F4654E" w:rsidRDefault="00F4654E">
      <w:pPr>
        <w:pStyle w:val="a6"/>
      </w:pPr>
      <w:r>
        <w:t>С целью определения состояния иммунного статуса провели лабор</w:t>
      </w:r>
      <w:r>
        <w:t>а</w:t>
      </w:r>
      <w:r>
        <w:t>торные исследования крови по показателям клеточного и гуморального иммунитета 2 групп коров (инвазированных и не инвазированных фасци</w:t>
      </w:r>
      <w:r>
        <w:t>о</w:t>
      </w:r>
      <w:r>
        <w:t>лами) 6-6,5-мес. стельности. При этом у инвазированных фасциолами к</w:t>
      </w:r>
      <w:r>
        <w:t>о</w:t>
      </w:r>
      <w:r>
        <w:t>ров выявлено иммунодефицитное состояние. Так, в сравнении с неинваз</w:t>
      </w:r>
      <w:r>
        <w:t>и</w:t>
      </w:r>
      <w:r>
        <w:t>рованными животными   общее  количество  лимфоцитов у них было в 2,2 раза меньше, Т-лимфоцитов - в 1,5 раза, В-лимфоцитов – в 2 раза, бактер</w:t>
      </w:r>
      <w:r>
        <w:t>и</w:t>
      </w:r>
      <w:r>
        <w:t xml:space="preserve">цидная активность сыворотки крови ниже на 27%,  лизоцимная активность – на 39%. </w:t>
      </w:r>
    </w:p>
    <w:p w:rsidR="00F4654E" w:rsidRDefault="00F4654E">
      <w:pPr>
        <w:pStyle w:val="a6"/>
      </w:pPr>
      <w:r>
        <w:t>С учетом полученных результатов исследований разработали и апр</w:t>
      </w:r>
      <w:r>
        <w:t>о</w:t>
      </w:r>
      <w:r>
        <w:t>бировали комплекс противофасциолезных мероприятий, содержащих ряд общехозяйственных и специальных мер, включая диагностические обсл</w:t>
      </w:r>
      <w:r>
        <w:t>е</w:t>
      </w:r>
      <w:r>
        <w:t>дования, пастбищную профилактику и лечебно-профилактические дегел</w:t>
      </w:r>
      <w:r>
        <w:t>ь</w:t>
      </w:r>
      <w:r>
        <w:t>минтизации.</w:t>
      </w:r>
    </w:p>
    <w:p w:rsidR="00F4654E" w:rsidRDefault="00F4654E">
      <w:pPr>
        <w:pStyle w:val="a6"/>
      </w:pPr>
      <w:r>
        <w:t>Отличительной особенностью лечебно-профилактических дегельми</w:t>
      </w:r>
      <w:r>
        <w:t>н</w:t>
      </w:r>
      <w:r>
        <w:t>тизаций скота явилось применение, кроме антгельминтиков, иммуноко</w:t>
      </w:r>
      <w:r>
        <w:t>р</w:t>
      </w:r>
      <w:r>
        <w:t>ригирующих средств. В качестве последних использовали разработанные нами на основе растительного сырья препараты ПАРП-1, 2 и 3 для акти</w:t>
      </w:r>
      <w:r>
        <w:t>в</w:t>
      </w:r>
      <w:r>
        <w:t>ной регенерации печени. Их применение позволяло сократить сроки рег</w:t>
      </w:r>
      <w:r>
        <w:t>е</w:t>
      </w:r>
      <w:r>
        <w:t>нерации печени в 2,8 раза.</w:t>
      </w:r>
    </w:p>
    <w:p w:rsidR="00F4654E" w:rsidRDefault="00F4654E">
      <w:pPr>
        <w:pStyle w:val="a6"/>
      </w:pPr>
      <w:r>
        <w:t>Внедрение комплекса противофасциолезных мероприятий позволило снизить уровень инвазированности скота фасциолами до 2-2,3%. Это ок</w:t>
      </w:r>
      <w:r>
        <w:t>а</w:t>
      </w:r>
      <w:r>
        <w:t xml:space="preserve">зало положительное влияние на состояние здоровья коров и их потомства. Выход телят увеличился до 91-95%, при этом сервис-период сократился в </w:t>
      </w:r>
      <w:r>
        <w:lastRenderedPageBreak/>
        <w:t>1,6-1,9 раза, индекс оплодотворения – в 1,9-2,1 раза, заболеваемость р</w:t>
      </w:r>
      <w:r>
        <w:t>е</w:t>
      </w:r>
      <w:r>
        <w:t>продуктивных органов – в 2,3 раза. Молочная продуктивность повысилась до 3,7-4,9 тыс. кг, сохранность телят – до 96-98%. Последующие лабор</w:t>
      </w:r>
      <w:r>
        <w:t>а</w:t>
      </w:r>
      <w:r>
        <w:t>торные исследования крови коров свидетельствовали о нормализации и</w:t>
      </w:r>
      <w:r>
        <w:t>м</w:t>
      </w:r>
      <w:r>
        <w:t>мунобиологических показателей.</w:t>
      </w:r>
    </w:p>
    <w:p w:rsidR="00F4654E" w:rsidRDefault="00F4654E">
      <w:pPr>
        <w:pStyle w:val="a6"/>
      </w:pPr>
      <w:r>
        <w:t>Таким образом, установлено, что фасциолезная инвазия протекает на фоне иммунодефицитного состояния и оказывает отрицательное влияние на воспроизводительную функцию, молочную продуктивность коров и с</w:t>
      </w:r>
      <w:r>
        <w:t>о</w:t>
      </w:r>
      <w:r>
        <w:t>хранность телят. Следовательно, при выяснении причин низких темпов воспроизводства крупного рогатого скота  и разработке соответствующих мероприятий необходимо учитывать фактор фасциолезной инвазии.</w:t>
      </w:r>
    </w:p>
    <w:p w:rsidR="00F4654E" w:rsidRDefault="00F4654E">
      <w:pPr>
        <w:pStyle w:val="a4"/>
      </w:pPr>
      <w:r>
        <w:t>УДК 619:616.3/.4:577.4:636.22/.28</w:t>
      </w:r>
    </w:p>
    <w:p w:rsidR="00F4654E" w:rsidRDefault="00F4654E">
      <w:pPr>
        <w:pStyle w:val="1"/>
      </w:pPr>
      <w:bookmarkStart w:id="1412" w:name="_Toc10731191"/>
      <w:bookmarkStart w:id="1413" w:name="_Toc10731852"/>
      <w:bookmarkStart w:id="1414" w:name="_Toc10891693"/>
      <w:bookmarkStart w:id="1415" w:name="_Toc10892368"/>
      <w:bookmarkStart w:id="1416" w:name="_Toc11390235"/>
      <w:bookmarkStart w:id="1417" w:name="_Toc11839912"/>
      <w:bookmarkStart w:id="1418" w:name="_Toc11937448"/>
      <w:r>
        <w:t>МОРФОГИСТОХИМИЧЕСКИЕ ИЗМЕНЕНИЯ В ЩИТОВИДНОЙ ЖЕЛЕЗЕ И ПЕЧЕНИ НОВОРОЖДЕННЫХ ТЕЛЯТ ИЗ ЗОНЫ С ПОВЫШЕННЫМ СОДЕРЖАНИЕМ СОЛЕЙ ТЯЖЕЛЫХ МЕТАЛЛОВ</w:t>
      </w:r>
      <w:bookmarkEnd w:id="1412"/>
      <w:bookmarkEnd w:id="1413"/>
      <w:bookmarkEnd w:id="1414"/>
      <w:bookmarkEnd w:id="1415"/>
      <w:bookmarkEnd w:id="1416"/>
      <w:bookmarkEnd w:id="1417"/>
      <w:bookmarkEnd w:id="1418"/>
    </w:p>
    <w:p w:rsidR="00F4654E" w:rsidRDefault="00F4654E">
      <w:pPr>
        <w:pStyle w:val="2"/>
      </w:pPr>
      <w:bookmarkStart w:id="1419" w:name="_Toc10731192"/>
      <w:bookmarkStart w:id="1420" w:name="_Toc10731853"/>
      <w:bookmarkStart w:id="1421" w:name="_Toc10891694"/>
      <w:bookmarkStart w:id="1422" w:name="_Toc10892369"/>
      <w:bookmarkStart w:id="1423" w:name="_Toc11390236"/>
      <w:bookmarkStart w:id="1424" w:name="_Toc11937449"/>
      <w:r>
        <w:t>Гребенщиков А.В., Толкачев И.С., Куцеволова С.В., Подъяблонский А.Н.</w:t>
      </w:r>
      <w:bookmarkEnd w:id="1419"/>
      <w:bookmarkEnd w:id="1420"/>
      <w:bookmarkEnd w:id="1421"/>
      <w:bookmarkEnd w:id="1422"/>
      <w:bookmarkEnd w:id="1423"/>
      <w:bookmarkEnd w:id="1424"/>
    </w:p>
    <w:p w:rsidR="00F4654E" w:rsidRDefault="00F4654E">
      <w:pPr>
        <w:pStyle w:val="a5"/>
      </w:pPr>
      <w:r>
        <w:t>Всероссийский НИВИ патологии, фармакологии и терапии</w:t>
      </w:r>
    </w:p>
    <w:p w:rsidR="00F4654E" w:rsidRDefault="00F4654E">
      <w:pPr>
        <w:pStyle w:val="a6"/>
      </w:pPr>
      <w:r>
        <w:t>Известно, что почва является аккумулятором многих веществ, в том числе и вредных. Это значит, что, даже в случае прекращения поступления поллютантов, почва, в отличие от воздуха и воды, ещё долгие годы может быть источником загрязнения растительной продукции, используемой в пищу человеку и животным. Особенно сильные техногенные нагрузки и</w:t>
      </w:r>
      <w:r>
        <w:t>с</w:t>
      </w:r>
      <w:r>
        <w:t>пытывают земли, прилегающие к крупным промышленным предприятиям.</w:t>
      </w:r>
    </w:p>
    <w:p w:rsidR="00F4654E" w:rsidRDefault="00F4654E">
      <w:pPr>
        <w:pStyle w:val="a6"/>
      </w:pPr>
      <w:r>
        <w:t>Высокая антропогенная нагрузка является основной причиной загря</w:t>
      </w:r>
      <w:r>
        <w:t>з</w:t>
      </w:r>
      <w:r>
        <w:t>нения сельскохозяйственных угодий токсическими веществами 1 и 2 кла</w:t>
      </w:r>
      <w:r>
        <w:t>с</w:t>
      </w:r>
      <w:r>
        <w:t>сами опасности – кадмием и свинцом.</w:t>
      </w:r>
    </w:p>
    <w:p w:rsidR="00F4654E" w:rsidRDefault="00F4654E">
      <w:pPr>
        <w:pStyle w:val="a6"/>
      </w:pPr>
      <w:r>
        <w:t>Фактически, вокруг большинства крупных предприятий и промы</w:t>
      </w:r>
      <w:r>
        <w:t>ш</w:t>
      </w:r>
      <w:r>
        <w:t>ленных центров формируется геохимические аномалии из-за сильного з</w:t>
      </w:r>
      <w:r>
        <w:t>а</w:t>
      </w:r>
      <w:r>
        <w:t>грязнения почв тяжелыми металлами.</w:t>
      </w:r>
    </w:p>
    <w:p w:rsidR="00F4654E" w:rsidRDefault="00F4654E">
      <w:pPr>
        <w:pStyle w:val="a6"/>
      </w:pPr>
      <w:r>
        <w:t>Комплексное взаимодействие ксенобиотиков антропогенного прои</w:t>
      </w:r>
      <w:r>
        <w:t>с</w:t>
      </w:r>
      <w:r>
        <w:t>хождения оказывают прямое и опосредованное поражающее воздействие на органы и организм животного в целом.</w:t>
      </w:r>
    </w:p>
    <w:p w:rsidR="00F4654E" w:rsidRDefault="00F4654E">
      <w:pPr>
        <w:pStyle w:val="a6"/>
      </w:pPr>
      <w:r>
        <w:t>Поэтому у новорожденных телят из хозяйства, расположенного в н</w:t>
      </w:r>
      <w:r>
        <w:t>е</w:t>
      </w:r>
      <w:r>
        <w:t>посредственной близости с крупным химкомбинатом по производству м</w:t>
      </w:r>
      <w:r>
        <w:t>и</w:t>
      </w:r>
      <w:r>
        <w:t xml:space="preserve">неральных удобрений, были исследованы такие взаимосвязанные между собой органы, как щитовидная железа. </w:t>
      </w:r>
    </w:p>
    <w:p w:rsidR="00F4654E" w:rsidRDefault="00F4654E">
      <w:pPr>
        <w:pStyle w:val="a6"/>
      </w:pPr>
      <w:r>
        <w:t>В качестве контроля изучались органы телят из хозяйства, удаленного от химкомбината.</w:t>
      </w:r>
    </w:p>
    <w:p w:rsidR="00F4654E" w:rsidRDefault="00F4654E">
      <w:pPr>
        <w:pStyle w:val="a6"/>
      </w:pPr>
      <w:r>
        <w:t>В зоне химического загрязнения окружающей среды у новорожде</w:t>
      </w:r>
      <w:r>
        <w:t>н</w:t>
      </w:r>
      <w:r>
        <w:t>ных телят наблюдалась гипофункция щитовидной железы. При этом отм</w:t>
      </w:r>
      <w:r>
        <w:t>е</w:t>
      </w:r>
      <w:r>
        <w:t xml:space="preserve">чалось расширение просвета кровеносных сосудов и капилляров стромы, </w:t>
      </w:r>
      <w:r>
        <w:lastRenderedPageBreak/>
        <w:t>местами она выглядела отёчной, а паренхима железы преимущественно была представлена крупными фолликулами, заполненными оптически плотным гомогенным коллоидом.</w:t>
      </w:r>
    </w:p>
    <w:p w:rsidR="00F4654E" w:rsidRDefault="00F4654E">
      <w:pPr>
        <w:pStyle w:val="a6"/>
      </w:pPr>
      <w:r>
        <w:t>Для того чтобы оценить интенсивность окислительных процессы в паренхиме железы, исследовали активность такого фермента, как цит</w:t>
      </w:r>
      <w:r>
        <w:t>о</w:t>
      </w:r>
      <w:r>
        <w:t>хромоксидаза. В целом, активность фермента в железе у животных из зоны химического загрязнения была низкой, на 54 % ниже, чем у контрольных животных и составляла 0,22</w:t>
      </w:r>
      <w:r>
        <w:sym w:font="Symbol" w:char="F0B1"/>
      </w:r>
      <w:r>
        <w:t>0,03 ед. опт. пл., тогда как в контроле 0,48</w:t>
      </w:r>
      <w:r>
        <w:sym w:font="Symbol" w:char="F0B1"/>
      </w:r>
      <w:r>
        <w:t>0.03 ед. опт. пл.</w:t>
      </w:r>
    </w:p>
    <w:p w:rsidR="00F4654E" w:rsidRDefault="00F4654E">
      <w:pPr>
        <w:pStyle w:val="a6"/>
      </w:pPr>
      <w:r>
        <w:t>В печени животных выявлялись гемодинамические расстройства, расширение кровеносного русла как крупных, так и мелких сосудов, о</w:t>
      </w:r>
      <w:r>
        <w:t>т</w:t>
      </w:r>
      <w:r>
        <w:t>дельные кровоизлияния, инфильтраты. Кроме того, отмечалось нарушение структуры печёночных балок, их деформация.</w:t>
      </w:r>
    </w:p>
    <w:p w:rsidR="00F4654E" w:rsidRDefault="00F4654E">
      <w:pPr>
        <w:pStyle w:val="a6"/>
      </w:pPr>
      <w:r>
        <w:t>Активность цитохромоксидазы в паренхиме печени у животных из зоны химического загрязнения была также низкой и составляла 0,28</w:t>
      </w:r>
      <w:r>
        <w:sym w:font="Symbol" w:char="F0B1"/>
      </w:r>
      <w:r>
        <w:t>0,02 ед. пот. пл., что на 61,5 % ниже, чем у контрольных животных, у которых активность фермента оставляла 0,74</w:t>
      </w:r>
      <w:r>
        <w:sym w:font="Symbol" w:char="F0B1"/>
      </w:r>
      <w:r>
        <w:t>0,03 ед. опт. пл.</w:t>
      </w:r>
    </w:p>
    <w:p w:rsidR="00F4654E" w:rsidRDefault="00F4654E">
      <w:pPr>
        <w:pStyle w:val="a6"/>
      </w:pPr>
      <w:r>
        <w:t>Таким образом, в исследуемых органах обнаруживались гемодинам</w:t>
      </w:r>
      <w:r>
        <w:t>и</w:t>
      </w:r>
      <w:r>
        <w:t>ческие расстройства, деструктивные процессы в тканях щитовидной жел</w:t>
      </w:r>
      <w:r>
        <w:t>е</w:t>
      </w:r>
      <w:r>
        <w:t>зы и печени. Кроме того, выявлено значительное снижение окислительн</w:t>
      </w:r>
      <w:r>
        <w:t>о</w:t>
      </w:r>
      <w:r>
        <w:t xml:space="preserve">го метаболизма в клетках, о чем свидетельствует значительное снижение активности цитохромоксидазы на 54 % в щитовидной железе и на 61,5 % в печени. </w:t>
      </w:r>
    </w:p>
    <w:p w:rsidR="00F4654E" w:rsidRDefault="00F4654E">
      <w:pPr>
        <w:pStyle w:val="a4"/>
      </w:pPr>
      <w:r>
        <w:t xml:space="preserve"> УДК 611-018:616 – 099:615.91</w:t>
      </w:r>
    </w:p>
    <w:p w:rsidR="00F4654E" w:rsidRDefault="00F4654E">
      <w:pPr>
        <w:pStyle w:val="1"/>
      </w:pPr>
      <w:bookmarkStart w:id="1425" w:name="_Toc10731193"/>
      <w:bookmarkStart w:id="1426" w:name="_Toc10731854"/>
      <w:bookmarkStart w:id="1427" w:name="_Toc10891695"/>
      <w:bookmarkStart w:id="1428" w:name="_Toc10892370"/>
      <w:bookmarkStart w:id="1429" w:name="_Toc11390237"/>
      <w:bookmarkStart w:id="1430" w:name="_Toc11839914"/>
      <w:bookmarkStart w:id="1431" w:name="_Toc11937450"/>
      <w:r>
        <w:t>МОРФОЛОГИЧЕСКАЯ ХАРАКТЕРИСТИКА ОСТРОГО ОТРАВЛЕНИЯ БЕЛЫХ КРЫС ФУРАДАНОМ В ЭКСПЕРИМЕНТЕ</w:t>
      </w:r>
      <w:bookmarkEnd w:id="1425"/>
      <w:bookmarkEnd w:id="1426"/>
      <w:bookmarkEnd w:id="1427"/>
      <w:bookmarkEnd w:id="1428"/>
      <w:bookmarkEnd w:id="1429"/>
      <w:bookmarkEnd w:id="1430"/>
      <w:bookmarkEnd w:id="1431"/>
    </w:p>
    <w:p w:rsidR="00F4654E" w:rsidRDefault="00F4654E">
      <w:pPr>
        <w:pStyle w:val="2"/>
      </w:pPr>
      <w:bookmarkStart w:id="1432" w:name="_Toc10731194"/>
      <w:bookmarkStart w:id="1433" w:name="_Toc10731855"/>
      <w:bookmarkStart w:id="1434" w:name="_Toc10891696"/>
      <w:bookmarkStart w:id="1435" w:name="_Toc10892371"/>
      <w:bookmarkStart w:id="1436" w:name="_Toc11390238"/>
      <w:bookmarkStart w:id="1437" w:name="_Toc11937451"/>
      <w:r>
        <w:t>Гребенщиков А.В., Часовников М.В., Подъяблонский А.Н.</w:t>
      </w:r>
      <w:bookmarkEnd w:id="1432"/>
      <w:bookmarkEnd w:id="1433"/>
      <w:bookmarkEnd w:id="1434"/>
      <w:bookmarkEnd w:id="1435"/>
      <w:bookmarkEnd w:id="1436"/>
      <w:bookmarkEnd w:id="1437"/>
    </w:p>
    <w:p w:rsidR="00F4654E" w:rsidRDefault="00F4654E">
      <w:pPr>
        <w:pStyle w:val="a5"/>
      </w:pPr>
      <w:r>
        <w:t>Всероссийский НИВИ патологии, фармакологии и терапии</w:t>
      </w:r>
    </w:p>
    <w:p w:rsidR="00F4654E" w:rsidRDefault="00F4654E">
      <w:pPr>
        <w:pStyle w:val="a6"/>
      </w:pPr>
      <w:r>
        <w:t>Возрастающий объем пестицидов создает объективные предпосылки для увеличения контакта продуктивных животных с токсическими преп</w:t>
      </w:r>
      <w:r>
        <w:t>а</w:t>
      </w:r>
      <w:r>
        <w:t>ратами, возможности острых и хронических отравлений, загрязнение об</w:t>
      </w:r>
      <w:r>
        <w:t>ъ</w:t>
      </w:r>
      <w:r>
        <w:t>ектов внешней среды, в том числе и продуктов питания человека.</w:t>
      </w:r>
    </w:p>
    <w:p w:rsidR="00F4654E" w:rsidRDefault="00F4654E">
      <w:pPr>
        <w:pStyle w:val="a6"/>
      </w:pPr>
      <w:r>
        <w:t>Учитывая, что подавляющее число токсических веществ реализует своё действие путём  нарушений ферментных систем организма, была из</w:t>
      </w:r>
      <w:r>
        <w:t>у</w:t>
      </w:r>
      <w:r>
        <w:t>чена активность неспецифических эстераз карбоновых кислот в органах экспериментальных животных (белых крыс) на фоне общей оценки кла</w:t>
      </w:r>
      <w:r>
        <w:t>с</w:t>
      </w:r>
      <w:r>
        <w:t>сических морфологических изменений.</w:t>
      </w:r>
    </w:p>
    <w:p w:rsidR="00F4654E" w:rsidRDefault="00F4654E">
      <w:pPr>
        <w:pStyle w:val="a6"/>
      </w:pPr>
      <w:r>
        <w:t>Гистологическая картина при остром отравлении экспериментальных животных фураданом имела общие черты, т.е. во всех случаях у всех ж</w:t>
      </w:r>
      <w:r>
        <w:t>и</w:t>
      </w:r>
      <w:r>
        <w:t>вотных наблюдались расстройства гемодинамики, уменьшение просвета крупных кровеносных сосудов и капилляров. Вместе с тем, при остром о</w:t>
      </w:r>
      <w:r>
        <w:t>т</w:t>
      </w:r>
      <w:r>
        <w:lastRenderedPageBreak/>
        <w:t>равлении были наиболее характерны отёки легких и увеличение объёма печени, в её паренхиме отмечалось значительное увеличение пространств Диссе и деформация печёночных балок (сдавливание). В межбалочных пространствах встречались отдельные эритроциты.</w:t>
      </w:r>
    </w:p>
    <w:p w:rsidR="00F4654E" w:rsidRDefault="00F4654E">
      <w:pPr>
        <w:pStyle w:val="a6"/>
      </w:pPr>
      <w:r>
        <w:t>Отмечалось уплотнение структуры ткани селезёнки.</w:t>
      </w:r>
    </w:p>
    <w:p w:rsidR="00F4654E" w:rsidRDefault="00F4654E">
      <w:pPr>
        <w:pStyle w:val="a6"/>
      </w:pPr>
      <w:r>
        <w:t>В почках наблюдалось разрыхление стромальных элементов при н</w:t>
      </w:r>
      <w:r>
        <w:t>а</w:t>
      </w:r>
      <w:r>
        <w:t>личии некротических изменений в эпителиях извитых канальцев.</w:t>
      </w:r>
    </w:p>
    <w:p w:rsidR="00F4654E" w:rsidRPr="00640648" w:rsidRDefault="00F4654E">
      <w:pPr>
        <w:pStyle w:val="a6"/>
        <w:rPr>
          <w:spacing w:val="-2"/>
        </w:rPr>
      </w:pPr>
      <w:r w:rsidRPr="00640648">
        <w:rPr>
          <w:spacing w:val="-2"/>
        </w:rPr>
        <w:t>Отмечались глубокие изменения в головном мозге, перицеллюлярные и периваскулярные отёки. Некротические изменения ткани головного мо</w:t>
      </w:r>
      <w:r w:rsidRPr="00640648">
        <w:rPr>
          <w:spacing w:val="-2"/>
        </w:rPr>
        <w:t>з</w:t>
      </w:r>
      <w:r w:rsidRPr="00640648">
        <w:rPr>
          <w:spacing w:val="-2"/>
        </w:rPr>
        <w:t>га наблюдали в центральных и периферических зонах больших полуш</w:t>
      </w:r>
      <w:r w:rsidRPr="00640648">
        <w:rPr>
          <w:spacing w:val="-2"/>
        </w:rPr>
        <w:t>а</w:t>
      </w:r>
      <w:r w:rsidRPr="00640648">
        <w:rPr>
          <w:spacing w:val="-2"/>
        </w:rPr>
        <w:t>рий.</w:t>
      </w:r>
    </w:p>
    <w:p w:rsidR="00F4654E" w:rsidRDefault="00F4654E">
      <w:pPr>
        <w:pStyle w:val="a6"/>
      </w:pPr>
      <w:r>
        <w:t>Гистохимически фурадан нарушал окислительно-восстановительные процессы путём воздействия на активность регулирующих их ферментов. В частности, мы выяснили, что под влиянием фурадана активность несп</w:t>
      </w:r>
      <w:r>
        <w:t>е</w:t>
      </w:r>
      <w:r>
        <w:t>цифических эстераз в органах экспериментальных животных достоверно (Р</w:t>
      </w:r>
      <w:r>
        <w:sym w:font="Symbol" w:char="F0A3"/>
      </w:r>
      <w:r>
        <w:t>0,05) увеличивалась.</w:t>
      </w:r>
    </w:p>
    <w:p w:rsidR="00F4654E" w:rsidRPr="00640648" w:rsidRDefault="00F4654E">
      <w:pPr>
        <w:pStyle w:val="a6"/>
        <w:rPr>
          <w:spacing w:val="-2"/>
        </w:rPr>
      </w:pPr>
      <w:r w:rsidRPr="00640648">
        <w:rPr>
          <w:spacing w:val="-2"/>
        </w:rPr>
        <w:t>При цитофотометрировании эпителия извитых канальцев оказалось, что активность неспецифических эстераз карбоновых кислот в почках эк</w:t>
      </w:r>
      <w:r w:rsidRPr="00640648">
        <w:rPr>
          <w:spacing w:val="-2"/>
        </w:rPr>
        <w:t>с</w:t>
      </w:r>
      <w:r w:rsidRPr="00640648">
        <w:rPr>
          <w:spacing w:val="-2"/>
        </w:rPr>
        <w:t>пер</w:t>
      </w:r>
      <w:r w:rsidRPr="00640648">
        <w:rPr>
          <w:spacing w:val="-2"/>
        </w:rPr>
        <w:t>и</w:t>
      </w:r>
      <w:r w:rsidRPr="00640648">
        <w:rPr>
          <w:spacing w:val="-2"/>
        </w:rPr>
        <w:t>ментальных животных была выше на 37,7 % и составила 0,53</w:t>
      </w:r>
      <w:r w:rsidRPr="00640648">
        <w:rPr>
          <w:spacing w:val="-2"/>
        </w:rPr>
        <w:sym w:font="Symbol" w:char="F0B1"/>
      </w:r>
      <w:r w:rsidRPr="00640648">
        <w:rPr>
          <w:spacing w:val="-2"/>
        </w:rPr>
        <w:t>0,010 ед. опт. пл. В контроле активность фермента составляла 0,33</w:t>
      </w:r>
      <w:r w:rsidRPr="00640648">
        <w:rPr>
          <w:spacing w:val="-2"/>
        </w:rPr>
        <w:sym w:font="Symbol" w:char="F0B1"/>
      </w:r>
      <w:r w:rsidRPr="00640648">
        <w:rPr>
          <w:spacing w:val="-2"/>
        </w:rPr>
        <w:t>0,020 ед. опт. пл.</w:t>
      </w:r>
    </w:p>
    <w:p w:rsidR="00F4654E" w:rsidRDefault="00F4654E">
      <w:pPr>
        <w:pStyle w:val="a6"/>
      </w:pPr>
      <w:r>
        <w:t>В печени экспериментальных животных активность неспецифических эстераз карбоновых кислот была выше, чем у контрольных на 15,7 % и с</w:t>
      </w:r>
      <w:r>
        <w:t>о</w:t>
      </w:r>
      <w:r>
        <w:t>ставила 0,7</w:t>
      </w:r>
      <w:r>
        <w:sym w:font="Symbol" w:char="F0B1"/>
      </w:r>
      <w:r>
        <w:t>0,01 ед. опт. пл., в то время как у контрольных – 0,59</w:t>
      </w:r>
      <w:r>
        <w:sym w:font="Symbol" w:char="F0B1"/>
      </w:r>
      <w:r>
        <w:t xml:space="preserve">0,010 ед. опт. пл.  </w:t>
      </w:r>
    </w:p>
    <w:p w:rsidR="00F4654E" w:rsidRDefault="00F4654E">
      <w:pPr>
        <w:pStyle w:val="a6"/>
      </w:pPr>
      <w:r w:rsidRPr="00640648">
        <w:rPr>
          <w:spacing w:val="-2"/>
        </w:rPr>
        <w:t>Таким образом, при остром отравлении фураданом у животных разв</w:t>
      </w:r>
      <w:r w:rsidRPr="00640648">
        <w:rPr>
          <w:spacing w:val="-2"/>
        </w:rPr>
        <w:t>и</w:t>
      </w:r>
      <w:r w:rsidRPr="00640648">
        <w:rPr>
          <w:spacing w:val="-2"/>
        </w:rPr>
        <w:t>вались расстройства гемодинамики, обмена тканевой жидкости, дестру</w:t>
      </w:r>
      <w:r w:rsidRPr="00640648">
        <w:rPr>
          <w:spacing w:val="-2"/>
        </w:rPr>
        <w:t>к</w:t>
      </w:r>
      <w:r w:rsidRPr="00640648">
        <w:rPr>
          <w:spacing w:val="-2"/>
        </w:rPr>
        <w:t>тивные изменения в паренхимальных органах. При этом происходило нек</w:t>
      </w:r>
      <w:r w:rsidRPr="00640648">
        <w:rPr>
          <w:spacing w:val="-2"/>
        </w:rPr>
        <w:t>о</w:t>
      </w:r>
      <w:r w:rsidRPr="00640648">
        <w:rPr>
          <w:spacing w:val="-2"/>
        </w:rPr>
        <w:t>торое увеличение активности неспецифических эстераз карбоновых к</w:t>
      </w:r>
      <w:r w:rsidRPr="00640648">
        <w:rPr>
          <w:spacing w:val="-2"/>
        </w:rPr>
        <w:t>и</w:t>
      </w:r>
      <w:r w:rsidRPr="00640648">
        <w:rPr>
          <w:spacing w:val="-2"/>
        </w:rPr>
        <w:t>слот</w:t>
      </w:r>
      <w:r>
        <w:t>.</w:t>
      </w:r>
    </w:p>
    <w:p w:rsidR="00F4654E" w:rsidRDefault="00F4654E">
      <w:pPr>
        <w:pStyle w:val="1"/>
      </w:pPr>
      <w:bookmarkStart w:id="1438" w:name="_Toc10731195"/>
      <w:bookmarkStart w:id="1439" w:name="_Toc10731856"/>
      <w:bookmarkStart w:id="1440" w:name="_Toc10891697"/>
      <w:bookmarkStart w:id="1441" w:name="_Toc10892372"/>
      <w:bookmarkStart w:id="1442" w:name="_Toc11390239"/>
      <w:bookmarkStart w:id="1443" w:name="_Toc11839916"/>
      <w:bookmarkStart w:id="1444" w:name="_Toc11937452"/>
      <w:r>
        <w:t>ВЛИЯНИЕ ПРЕПАРАТА СОЛУНАТ НА ФАКТОРЫ ЕСТЕСТВЕННОЙ РЕЗИСТЕНТНОСТИ И ПРОДУКТИВНОСТЬ МОЛОДНЯКА КРУПНОГО РОГАТОГО СКОТА</w:t>
      </w:r>
      <w:bookmarkEnd w:id="1438"/>
      <w:bookmarkEnd w:id="1439"/>
      <w:bookmarkEnd w:id="1440"/>
      <w:bookmarkEnd w:id="1441"/>
      <w:bookmarkEnd w:id="1442"/>
      <w:bookmarkEnd w:id="1443"/>
      <w:bookmarkEnd w:id="1444"/>
    </w:p>
    <w:p w:rsidR="00F4654E" w:rsidRDefault="00F4654E">
      <w:pPr>
        <w:pStyle w:val="2"/>
      </w:pPr>
      <w:bookmarkStart w:id="1445" w:name="_Toc10731196"/>
      <w:bookmarkStart w:id="1446" w:name="_Toc10731857"/>
      <w:bookmarkStart w:id="1447" w:name="_Toc10891698"/>
      <w:bookmarkStart w:id="1448" w:name="_Toc10892373"/>
      <w:bookmarkStart w:id="1449" w:name="_Toc11390240"/>
      <w:bookmarkStart w:id="1450" w:name="_Toc11937453"/>
      <w:r>
        <w:t>Грудина Н.В., Грудин Н.С., Луховицкий В.И.*,</w:t>
      </w:r>
      <w:r>
        <w:br/>
        <w:t xml:space="preserve"> Соловьев А.М.**, Жуков И.В.***</w:t>
      </w:r>
      <w:bookmarkEnd w:id="1445"/>
      <w:bookmarkEnd w:id="1446"/>
      <w:bookmarkEnd w:id="1447"/>
      <w:bookmarkEnd w:id="1448"/>
      <w:bookmarkEnd w:id="1449"/>
      <w:bookmarkEnd w:id="1450"/>
    </w:p>
    <w:p w:rsidR="00F4654E" w:rsidRPr="00640648" w:rsidRDefault="00F4654E" w:rsidP="00640648">
      <w:pPr>
        <w:pStyle w:val="a5"/>
      </w:pPr>
      <w:r w:rsidRPr="00640648">
        <w:t xml:space="preserve">Всероссийский НИИ сельскохозяйственной радиологии и агроэкологии </w:t>
      </w:r>
      <w:r w:rsidR="00640648" w:rsidRPr="00640648">
        <w:br/>
      </w:r>
      <w:r w:rsidRPr="00640648">
        <w:t xml:space="preserve">*Филиал ГНЦ РФ НИФХИ им. Л.Я. Карпова </w:t>
      </w:r>
      <w:r w:rsidR="00640648" w:rsidRPr="00640648">
        <w:br/>
      </w:r>
      <w:r w:rsidRPr="00640648">
        <w:t xml:space="preserve">**Всероссийский НИИ физиологии, биохимии и питания </w:t>
      </w:r>
      <w:r w:rsidR="00640648">
        <w:br/>
      </w:r>
      <w:r w:rsidRPr="00640648">
        <w:t>сельскохозяйственных</w:t>
      </w:r>
      <w:r w:rsidR="00640648">
        <w:t xml:space="preserve"> </w:t>
      </w:r>
      <w:r w:rsidRPr="00640648">
        <w:t>ж</w:t>
      </w:r>
      <w:r w:rsidRPr="00640648">
        <w:t>и</w:t>
      </w:r>
      <w:r w:rsidR="00640648">
        <w:t>вотных</w:t>
      </w:r>
      <w:r w:rsidR="00640648" w:rsidRPr="00640648">
        <w:br/>
      </w:r>
      <w:r w:rsidRPr="00640648">
        <w:t>***Липецкая областная ветеринарная лаборатория</w:t>
      </w:r>
    </w:p>
    <w:p w:rsidR="00F4654E" w:rsidRDefault="00F4654E">
      <w:pPr>
        <w:pStyle w:val="a6"/>
      </w:pPr>
      <w:r>
        <w:t>Целью настоящей работы было определение эффективности скармл</w:t>
      </w:r>
      <w:r>
        <w:t>и</w:t>
      </w:r>
      <w:r>
        <w:t>вания препарата Солунат, разработанного на основе смеси водораствор</w:t>
      </w:r>
      <w:r>
        <w:t>и</w:t>
      </w:r>
      <w:r>
        <w:t>мых полимеров бычкам на откорме для повышения их резистентности и продуктивности.</w:t>
      </w:r>
    </w:p>
    <w:p w:rsidR="00F4654E" w:rsidRDefault="00F4654E">
      <w:pPr>
        <w:pStyle w:val="a6"/>
      </w:pPr>
      <w:r>
        <w:lastRenderedPageBreak/>
        <w:t>Для изучения действия препарата было проведено его испытание на 22 откормочных бычках симментальской породы в возрасте 9 месяцев в ПСХ совхоз «Новолипецкий» ОАО НЛМК отделение Сухая Лубна, Липе</w:t>
      </w:r>
      <w:r>
        <w:t>ц</w:t>
      </w:r>
      <w:r>
        <w:t>кой области. Для этого по принципу аналогов были сформированы две группы по 11 животных в каждой: контрольная и опытная. Опыт продо</w:t>
      </w:r>
      <w:r>
        <w:t>л</w:t>
      </w:r>
      <w:r>
        <w:t>жался в течение трех месяцев.</w:t>
      </w:r>
    </w:p>
    <w:p w:rsidR="00F4654E" w:rsidRDefault="00F4654E">
      <w:pPr>
        <w:pStyle w:val="a6"/>
      </w:pPr>
      <w:r>
        <w:t>Животным опытной группы ежедневно вводили в рацион испытуемый препарат Солунат, которым обрабатывали жмых подсолнечника. Конце</w:t>
      </w:r>
      <w:r>
        <w:t>н</w:t>
      </w:r>
      <w:r>
        <w:t>трация препарата составляла 0,025% к корму. Бычки контрольной группы получали тот же рацион, но без испытуемого препарата.</w:t>
      </w:r>
    </w:p>
    <w:p w:rsidR="00F4654E" w:rsidRDefault="00F4654E">
      <w:pPr>
        <w:pStyle w:val="a6"/>
      </w:pPr>
      <w:r>
        <w:t>В течение эксперимента за бычками проводились клинические н</w:t>
      </w:r>
      <w:r>
        <w:t>а</w:t>
      </w:r>
      <w:r>
        <w:t>блюдения. Один раз в месяц отбирали кровь, и исследовали ее гематолог</w:t>
      </w:r>
      <w:r>
        <w:t>и</w:t>
      </w:r>
      <w:r>
        <w:t>ческими, биохимическими иммунологическими методами. Животных взвешивали перед началом опыта и далее ежемесячно.</w:t>
      </w:r>
    </w:p>
    <w:p w:rsidR="00F4654E" w:rsidRDefault="00F4654E">
      <w:pPr>
        <w:pStyle w:val="a6"/>
      </w:pPr>
      <w:r>
        <w:t>При клиническом обследовании в течение всего эксперимента темп</w:t>
      </w:r>
      <w:r>
        <w:t>е</w:t>
      </w:r>
      <w:r>
        <w:t>ратура тела, частота пульса, дыхания, как у контрольных, так и у опытных животных, были в пределах физиологической нормы и существенно не различались.</w:t>
      </w:r>
    </w:p>
    <w:p w:rsidR="00F4654E" w:rsidRDefault="00F4654E">
      <w:pPr>
        <w:pStyle w:val="a6"/>
      </w:pPr>
      <w:r>
        <w:t>Гематологические исследования показали, что потребление животн</w:t>
      </w:r>
      <w:r>
        <w:t>ы</w:t>
      </w:r>
      <w:r>
        <w:t>ми препарата Солунат с кормом не оказывало отрицательного влияния на картину периферической крови. Такие показатели, как количество лейк</w:t>
      </w:r>
      <w:r>
        <w:t>о</w:t>
      </w:r>
      <w:r>
        <w:t>цитов, эритроцитов, уровень гемоглобина у животных обеих групп нах</w:t>
      </w:r>
      <w:r>
        <w:t>о</w:t>
      </w:r>
      <w:r>
        <w:t>дились в пределах физиологической нормы. Биохимические и иммунол</w:t>
      </w:r>
      <w:r>
        <w:t>о</w:t>
      </w:r>
      <w:r>
        <w:t>гические исследования выявили тенденцию к увеличению в плазме крови опытных бычков концентрации сахара, витаминов А и Е, каротина, общего белка и уровня гамма-глобулинов.</w:t>
      </w:r>
    </w:p>
    <w:p w:rsidR="00F4654E" w:rsidRDefault="00F4654E">
      <w:pPr>
        <w:pStyle w:val="a6"/>
      </w:pPr>
      <w:r>
        <w:t>Увеличение уровня гамма-глобулинов в плазме крови опытных бы</w:t>
      </w:r>
      <w:r>
        <w:t>ч</w:t>
      </w:r>
      <w:r>
        <w:t>ков по сравнению с контрольными на фоне повышения таких иммунолог</w:t>
      </w:r>
      <w:r>
        <w:t>и</w:t>
      </w:r>
      <w:r>
        <w:t>ческих показателей, как фагоцитарная и бактерицидная активность пер</w:t>
      </w:r>
      <w:r>
        <w:t>и</w:t>
      </w:r>
      <w:r>
        <w:t>ферической крови, свидетельствовали об усилении общих иммунологич</w:t>
      </w:r>
      <w:r>
        <w:t>е</w:t>
      </w:r>
      <w:r>
        <w:t>ских факторов защиты организма, а, следовательно, и повышении общей резистентности животных.</w:t>
      </w:r>
    </w:p>
    <w:p w:rsidR="00F4654E" w:rsidRDefault="00F4654E">
      <w:pPr>
        <w:pStyle w:val="a6"/>
      </w:pPr>
      <w:r>
        <w:t>Интегральным показателем повышения устойчивости бычков, улу</w:t>
      </w:r>
      <w:r>
        <w:t>ч</w:t>
      </w:r>
      <w:r>
        <w:t>шения обменных процессов и, как следствие, ускорение роста и развития молодняка при применении препарата Солунат, явились увеличение сре</w:t>
      </w:r>
      <w:r>
        <w:t>д</w:t>
      </w:r>
      <w:r>
        <w:t>несуточного прироста живой массы. В течение трех месяцев эксперимента ежесуточный прирост живой массы бычков опытной группы составлял 1075±12,5 г, а в контрольной - 875±10,5 г.</w:t>
      </w:r>
    </w:p>
    <w:p w:rsidR="00F4654E" w:rsidRDefault="00F4654E">
      <w:pPr>
        <w:pStyle w:val="a6"/>
      </w:pPr>
      <w:r>
        <w:t>Таким образом, потребление бычками препарата Солунат с кормом благоприятно сказывалось на их общем физиологическом состоянии, их продуктивных качествах.</w:t>
      </w:r>
    </w:p>
    <w:p w:rsidR="00640648" w:rsidRDefault="00640648">
      <w:pPr>
        <w:pStyle w:val="a6"/>
      </w:pPr>
    </w:p>
    <w:p w:rsidR="00F4654E" w:rsidRDefault="00F4654E">
      <w:pPr>
        <w:pStyle w:val="a4"/>
      </w:pPr>
      <w:r>
        <w:lastRenderedPageBreak/>
        <w:t xml:space="preserve">УДК 619:616.98:578.824.11:615.371 </w:t>
      </w:r>
    </w:p>
    <w:p w:rsidR="00F4654E" w:rsidRDefault="00F4654E">
      <w:pPr>
        <w:pStyle w:val="1"/>
      </w:pPr>
      <w:bookmarkStart w:id="1451" w:name="_Toc10731173"/>
      <w:bookmarkStart w:id="1452" w:name="_Toc10731834"/>
      <w:bookmarkStart w:id="1453" w:name="_Toc10891675"/>
      <w:bookmarkStart w:id="1454" w:name="_Toc10892350"/>
      <w:bookmarkStart w:id="1455" w:name="_Toc11390217"/>
      <w:bookmarkStart w:id="1456" w:name="_Toc11839918"/>
      <w:bookmarkStart w:id="1457" w:name="_Toc11937454"/>
      <w:r>
        <w:t>Изучение стабильности иммуногенных свойств вакцины против болезни Ауески из делеционного штамма “ВК” в процессе хранения</w:t>
      </w:r>
      <w:bookmarkEnd w:id="1451"/>
      <w:bookmarkEnd w:id="1452"/>
      <w:bookmarkEnd w:id="1453"/>
      <w:bookmarkEnd w:id="1454"/>
      <w:bookmarkEnd w:id="1455"/>
      <w:bookmarkEnd w:id="1456"/>
      <w:bookmarkEnd w:id="1457"/>
    </w:p>
    <w:p w:rsidR="00F4654E" w:rsidRDefault="00F4654E">
      <w:pPr>
        <w:pStyle w:val="2"/>
      </w:pPr>
      <w:bookmarkStart w:id="1458" w:name="_Toc10731174"/>
      <w:bookmarkStart w:id="1459" w:name="_Toc10731835"/>
      <w:bookmarkStart w:id="1460" w:name="_Toc10891676"/>
      <w:bookmarkStart w:id="1461" w:name="_Toc10892351"/>
      <w:bookmarkStart w:id="1462" w:name="_Toc11390218"/>
      <w:bookmarkStart w:id="1463" w:name="_Toc11937455"/>
      <w:r>
        <w:t>Гусева М.Н., Михалишин В.В.</w:t>
      </w:r>
      <w:bookmarkEnd w:id="1458"/>
      <w:bookmarkEnd w:id="1459"/>
      <w:bookmarkEnd w:id="1460"/>
      <w:bookmarkEnd w:id="1461"/>
      <w:bookmarkEnd w:id="1462"/>
      <w:bookmarkEnd w:id="1463"/>
    </w:p>
    <w:p w:rsidR="00F4654E" w:rsidRDefault="00F4654E">
      <w:pPr>
        <w:pStyle w:val="a5"/>
      </w:pPr>
      <w:r>
        <w:t>Всероссийский научно-исследовательский институт защиты животных</w:t>
      </w:r>
    </w:p>
    <w:p w:rsidR="00F4654E" w:rsidRDefault="00F4654E">
      <w:pPr>
        <w:pStyle w:val="a6"/>
      </w:pPr>
      <w:r>
        <w:t>Болезнь Ауески - остро протекающая болезнь сельскохозяйственных животных всех видов, особенно у молодняка. Мировой опыт борьбы с этой болезнью показывает, что традиционными вакцинами трудно ликвидир</w:t>
      </w:r>
      <w:r>
        <w:t>о</w:t>
      </w:r>
      <w:r>
        <w:t>вать болезнь; более радикальным является убой всех серопозитивных ж</w:t>
      </w:r>
      <w:r>
        <w:t>и</w:t>
      </w:r>
      <w:r>
        <w:t>вотных. В этой связи перспективным является применение маркированных вакцин, например, эмульсионной инактивированной вакцины против б</w:t>
      </w:r>
      <w:r>
        <w:t>о</w:t>
      </w:r>
      <w:r>
        <w:t>лезни Ауески из штамма “ВК”, делеционного по гликопротеину Е.</w:t>
      </w:r>
    </w:p>
    <w:p w:rsidR="00F4654E" w:rsidRDefault="00F4654E">
      <w:pPr>
        <w:pStyle w:val="a6"/>
      </w:pPr>
      <w:r>
        <w:t>Целью нашей работы было исследование стабильности иммуногенных свойств вакцины против ВБА из делеционного штамма “ВК” на протяж</w:t>
      </w:r>
      <w:r>
        <w:t>е</w:t>
      </w:r>
      <w:r>
        <w:t>нии 40 месяцев хранения  при температуре 4-8</w:t>
      </w:r>
      <w:r>
        <w:rPr>
          <w:vertAlign w:val="superscript"/>
        </w:rPr>
        <w:t>0</w:t>
      </w:r>
      <w:r>
        <w:t>С.</w:t>
      </w:r>
    </w:p>
    <w:p w:rsidR="00F4654E" w:rsidRDefault="00F4654E">
      <w:pPr>
        <w:pStyle w:val="a6"/>
      </w:pPr>
      <w:r>
        <w:t>В опытах использовали вакцины против болезни Ауески из делецио</w:t>
      </w:r>
      <w:r>
        <w:t>н</w:t>
      </w:r>
      <w:r>
        <w:t>ного штамма “ВК”, изготовленные из вируса, выращенного в суспензио</w:t>
      </w:r>
      <w:r>
        <w:t>н</w:t>
      </w:r>
      <w:r>
        <w:t>ной культуре клеток ВНК-21 и инактивированного аминоэтилэтиленим</w:t>
      </w:r>
      <w:r>
        <w:t>и</w:t>
      </w:r>
      <w:r>
        <w:t>ном. Эмульсионные вакцины готовили путем диспергирования равных объемов антигена и масляного адъюванта до получения стабильной эмул</w:t>
      </w:r>
      <w:r>
        <w:t>ь</w:t>
      </w:r>
      <w:r>
        <w:t>сии типа “вода-масло”. Иммунологическую активность вакцины оценивали на морских свинках массой 300-400 г путем определения  пятидесятипр</w:t>
      </w:r>
      <w:r>
        <w:t>о</w:t>
      </w:r>
      <w:r>
        <w:t>центной защитной дозы (ИмД</w:t>
      </w:r>
      <w:r>
        <w:rPr>
          <w:vertAlign w:val="subscript"/>
        </w:rPr>
        <w:t xml:space="preserve">50 </w:t>
      </w:r>
      <w:r>
        <w:t xml:space="preserve"> в мл) и по титру  вируснейтрализующих антител (ВНА) через 1, 15, 26, 40 мес хранения при температуре 4-8</w:t>
      </w:r>
      <w:r>
        <w:rPr>
          <w:vertAlign w:val="superscript"/>
        </w:rPr>
        <w:t>0</w:t>
      </w:r>
      <w:r>
        <w:t>С.</w:t>
      </w:r>
    </w:p>
    <w:p w:rsidR="00F4654E" w:rsidRDefault="00F4654E">
      <w:pPr>
        <w:pStyle w:val="a6"/>
      </w:pPr>
      <w:r>
        <w:t>Животных прививали подкожно различными дозами вакцины (от 0,1 до 0,9 мл). Каждой дозой прививали по 6-7 животных. Группа невакцин</w:t>
      </w:r>
      <w:r>
        <w:t>и</w:t>
      </w:r>
      <w:r>
        <w:t>рованных морских свинок служила контролем вирулентности вируса. Ко</w:t>
      </w:r>
      <w:r>
        <w:t>н</w:t>
      </w:r>
      <w:r>
        <w:t>трольное заражение производили в дозе 10 ЛД</w:t>
      </w:r>
      <w:r>
        <w:rPr>
          <w:vertAlign w:val="subscript"/>
        </w:rPr>
        <w:t>100</w:t>
      </w:r>
      <w:r>
        <w:t xml:space="preserve"> для морских свинок штаммом “К” спустя 21 день после вакцинации. Результаты опыта учит</w:t>
      </w:r>
      <w:r>
        <w:t>ы</w:t>
      </w:r>
      <w:r>
        <w:t>вали в течение 14 дней после заражения.</w:t>
      </w:r>
    </w:p>
    <w:p w:rsidR="00F4654E" w:rsidRDefault="00F4654E">
      <w:pPr>
        <w:pStyle w:val="a6"/>
      </w:pPr>
      <w:r>
        <w:t>Титр вируснейтрализующих антител в сыворотках крови привитых животных определяли в реакции нейтрализации на культуре клеток свиной почки (СП) с использованием двукратных разведений сыворотки и пост</w:t>
      </w:r>
      <w:r>
        <w:t>о</w:t>
      </w:r>
      <w:r>
        <w:t>янной дозой вируса (штамм “К”, 100-1000 ТЦД</w:t>
      </w:r>
      <w:r>
        <w:rPr>
          <w:vertAlign w:val="subscript"/>
        </w:rPr>
        <w:t>50</w:t>
      </w:r>
      <w:r>
        <w:t>/0,1 мл). Оценку наличия антител к гликопротеинам Е и В  (гликопротеин В принадлежит к классу наиболее консервативных гликопротеинов альфа-герпесвирусов) вируса болезни Ауески в сыворотке крови животных осуществляли при помощи прямого блокирующего иммуноферментного анализа (ИФА) с использов</w:t>
      </w:r>
      <w:r>
        <w:t>а</w:t>
      </w:r>
      <w:r>
        <w:t>нием конъюгатов пероксидазы с gЕ и gВ.</w:t>
      </w:r>
    </w:p>
    <w:p w:rsidR="00F4654E" w:rsidRDefault="00F4654E">
      <w:pPr>
        <w:pStyle w:val="a6"/>
      </w:pPr>
      <w:r>
        <w:lastRenderedPageBreak/>
        <w:t>Стабильность иммуногенных свойств эмульсионной вакцины   иссл</w:t>
      </w:r>
      <w:r>
        <w:t>е</w:t>
      </w:r>
      <w:r>
        <w:t>довали у двух экспериментальных серий: с.401 и с.407. Серию 401 хранили в течение 15 мес., а серию 407 - 40 мес. (срок наблюдения) при 4-8</w:t>
      </w:r>
      <w:r>
        <w:rPr>
          <w:vertAlign w:val="superscript"/>
        </w:rPr>
        <w:t>0</w:t>
      </w:r>
      <w:r>
        <w:t>С.</w:t>
      </w:r>
      <w:r>
        <w:tab/>
      </w:r>
    </w:p>
    <w:p w:rsidR="00F4654E" w:rsidRDefault="00F4654E">
      <w:pPr>
        <w:pStyle w:val="a6"/>
      </w:pPr>
      <w:r>
        <w:t>В результате проведенных исследований было установлено, что титры вируснейтрализующих антител в сыворотках крови привитых животных существенно не менялись на протяжении срока хранения применяемых вакцин. После изготовления вакцин титры ВНА в РН составляли 2,3-9,5 лог</w:t>
      </w:r>
      <w:r>
        <w:rPr>
          <w:vertAlign w:val="subscript"/>
        </w:rPr>
        <w:t xml:space="preserve">2 </w:t>
      </w:r>
      <w:r>
        <w:t>(в зависимости от дозы введения вакцин). Через 15 мес. хранения ти</w:t>
      </w:r>
      <w:r>
        <w:t>т</w:t>
      </w:r>
      <w:r>
        <w:t>ры ВНА были в пределах 3,3-8,0 лог</w:t>
      </w:r>
      <w:r>
        <w:rPr>
          <w:vertAlign w:val="subscript"/>
        </w:rPr>
        <w:t>2</w:t>
      </w:r>
      <w:r>
        <w:t>, через 26 мес. - 2,3-9,0 лог</w:t>
      </w:r>
      <w:r>
        <w:rPr>
          <w:vertAlign w:val="subscript"/>
        </w:rPr>
        <w:t>2</w:t>
      </w:r>
      <w:r>
        <w:t>, а через 40 мес. - 3,0- 8,0 лог</w:t>
      </w:r>
      <w:r>
        <w:rPr>
          <w:vertAlign w:val="subscript"/>
        </w:rPr>
        <w:t>2</w:t>
      </w:r>
      <w:r>
        <w:t>.</w:t>
      </w:r>
    </w:p>
    <w:p w:rsidR="00F4654E" w:rsidRDefault="00F4654E">
      <w:pPr>
        <w:pStyle w:val="a6"/>
      </w:pPr>
      <w:r>
        <w:t>Титры антител к гликопротеину В в сыворотках крови привитых ж</w:t>
      </w:r>
      <w:r>
        <w:t>и</w:t>
      </w:r>
      <w:r>
        <w:t>вотных составляли после применения только что приготовленных вакцин 2,0-11,0 лог</w:t>
      </w:r>
      <w:r>
        <w:rPr>
          <w:vertAlign w:val="subscript"/>
        </w:rPr>
        <w:t>2</w:t>
      </w:r>
      <w:r>
        <w:t>, а через 15 мес. хранения - 3,0-10,0 лог</w:t>
      </w:r>
      <w:r>
        <w:rPr>
          <w:vertAlign w:val="subscript"/>
        </w:rPr>
        <w:t>2</w:t>
      </w:r>
      <w:r>
        <w:t xml:space="preserve"> (в зависимости от д</w:t>
      </w:r>
      <w:r>
        <w:t>о</w:t>
      </w:r>
      <w:r>
        <w:t>зы введения). Таким образом, титры антител к gВ  в сыворотках крови ж</w:t>
      </w:r>
      <w:r>
        <w:t>и</w:t>
      </w:r>
      <w:r>
        <w:t>вотных также не менялись после использования вакцин через 15 мес. хр</w:t>
      </w:r>
      <w:r>
        <w:t>а</w:t>
      </w:r>
      <w:r>
        <w:t>нения при 4-8</w:t>
      </w:r>
      <w:r>
        <w:rPr>
          <w:vertAlign w:val="superscript"/>
        </w:rPr>
        <w:t>0</w:t>
      </w:r>
      <w:r>
        <w:t>С.</w:t>
      </w:r>
    </w:p>
    <w:p w:rsidR="00F4654E" w:rsidRDefault="00F4654E">
      <w:pPr>
        <w:pStyle w:val="a6"/>
      </w:pPr>
      <w:r>
        <w:t>ИмД</w:t>
      </w:r>
      <w:r>
        <w:rPr>
          <w:vertAlign w:val="subscript"/>
        </w:rPr>
        <w:t>50</w:t>
      </w:r>
      <w:r>
        <w:t xml:space="preserve"> вакцины после изготовления составляла  серии 401 - 0,39 мл, а  серии 407 - 0,16 мл; через 15 мес. хранения иммунизирующая защитная д</w:t>
      </w:r>
      <w:r>
        <w:t>о</w:t>
      </w:r>
      <w:r>
        <w:t xml:space="preserve">за  серии 401 была 0,36 мл, а  серии 407 - 0,19 мл. После 26 мес. хранения ИмД </w:t>
      </w:r>
      <w:r>
        <w:rPr>
          <w:vertAlign w:val="subscript"/>
        </w:rPr>
        <w:t>50</w:t>
      </w:r>
      <w:r>
        <w:t xml:space="preserve"> вакцины серии 407 была 0,13 мл, а через 40 мес. - 0,22, т.е. увел</w:t>
      </w:r>
      <w:r>
        <w:t>и</w:t>
      </w:r>
      <w:r>
        <w:t>чилась примерно в 2 раза. Антитела к гликопротеину Е не были обнаруж</w:t>
      </w:r>
      <w:r>
        <w:t>е</w:t>
      </w:r>
      <w:r>
        <w:t>ны ни в одной из сывороток, т.е. вакцины были “маркированы” по глик</w:t>
      </w:r>
      <w:r>
        <w:t>о</w:t>
      </w:r>
      <w:r>
        <w:t>протеину Е.</w:t>
      </w:r>
    </w:p>
    <w:p w:rsidR="00F4654E" w:rsidRDefault="00F4654E">
      <w:pPr>
        <w:pStyle w:val="a6"/>
      </w:pPr>
      <w:r>
        <w:t>Таким образом, инактивированная эмульсионная вакцина против б</w:t>
      </w:r>
      <w:r>
        <w:t>о</w:t>
      </w:r>
      <w:r>
        <w:t>лезни Ауески из делеционного штамма “ВК” при температуре 4-8</w:t>
      </w:r>
      <w:r>
        <w:rPr>
          <w:vertAlign w:val="superscript"/>
        </w:rPr>
        <w:t>0</w:t>
      </w:r>
      <w:r>
        <w:t>С не снижала своей иммуногенной активности на протяжении 26 мес., а через 40 мес. иммуногенная активность уменьшалась, при этом титр ВНА изм</w:t>
      </w:r>
      <w:r>
        <w:t>е</w:t>
      </w:r>
      <w:r>
        <w:t>нялся незначительно. Между напряженностью иммунитета и высотой ти</w:t>
      </w:r>
      <w:r>
        <w:t>т</w:t>
      </w:r>
      <w:r>
        <w:t>ра ВНА корр</w:t>
      </w:r>
      <w:r>
        <w:t>е</w:t>
      </w:r>
      <w:r>
        <w:t>ляция не была установлена, что отмечали также Сюрин и др. (1998 г).</w:t>
      </w:r>
    </w:p>
    <w:p w:rsidR="00F4654E" w:rsidRDefault="00F4654E">
      <w:pPr>
        <w:pStyle w:val="a4"/>
      </w:pPr>
      <w:r>
        <w:t>УДК 619</w:t>
      </w:r>
    </w:p>
    <w:p w:rsidR="00F4654E" w:rsidRDefault="00F4654E">
      <w:pPr>
        <w:pStyle w:val="1"/>
      </w:pPr>
      <w:bookmarkStart w:id="1464" w:name="_Toc11839920"/>
      <w:bookmarkStart w:id="1465" w:name="_Toc11937456"/>
      <w:r>
        <w:t>МОНИТОРИНГ ВОЗБУДИТЕЛЕЙ БАКТЕРИАЛЬНЫХ ИНФЕКЦИЙ ПТИЦ В ПРОМЫШЛЕННОМ ПТИЦЕВОДСТВЕ</w:t>
      </w:r>
      <w:bookmarkEnd w:id="1464"/>
      <w:bookmarkEnd w:id="1465"/>
    </w:p>
    <w:p w:rsidR="00F4654E" w:rsidRDefault="00F4654E">
      <w:pPr>
        <w:pStyle w:val="2"/>
      </w:pPr>
      <w:bookmarkStart w:id="1466" w:name="_Toc11937457"/>
      <w:r>
        <w:t>Гусев В.В., Теймуразов М.Г.</w:t>
      </w:r>
      <w:bookmarkEnd w:id="1466"/>
    </w:p>
    <w:p w:rsidR="00F4654E" w:rsidRDefault="00F4654E">
      <w:pPr>
        <w:pStyle w:val="a5"/>
      </w:pPr>
      <w:r>
        <w:t xml:space="preserve">Государственный научный центр прикладной микробиологии </w:t>
      </w:r>
      <w:r>
        <w:br/>
        <w:t>п. Оболенск, Московская область</w:t>
      </w:r>
    </w:p>
    <w:p w:rsidR="00F4654E" w:rsidRDefault="00F4654E">
      <w:pPr>
        <w:pStyle w:val="a6"/>
      </w:pPr>
      <w:r>
        <w:t>Проведен анализ результатов исследованного патологического мат</w:t>
      </w:r>
      <w:r>
        <w:t>е</w:t>
      </w:r>
      <w:r>
        <w:t>риала (куры, индейки) на наличие возбудителей бактериальных инфекций птиц по 13 областям Российской Федерации: Московской, Калужской, Л</w:t>
      </w:r>
      <w:r>
        <w:t>и</w:t>
      </w:r>
      <w:r>
        <w:t>пецкой, Челябинской, Тверской, Нижегородской, Белгородской, Вороне</w:t>
      </w:r>
      <w:r>
        <w:t>ж</w:t>
      </w:r>
      <w:r>
        <w:lastRenderedPageBreak/>
        <w:t>ской, Астраханской, Орловской, Ленинградской, Смоленской, Тульской, а также Донецкой области Украины.</w:t>
      </w:r>
    </w:p>
    <w:p w:rsidR="00F4654E" w:rsidRPr="00640648" w:rsidRDefault="00F4654E">
      <w:pPr>
        <w:pStyle w:val="a6"/>
        <w:rPr>
          <w:spacing w:val="-4"/>
        </w:rPr>
      </w:pPr>
      <w:r w:rsidRPr="00640648">
        <w:rPr>
          <w:spacing w:val="-4"/>
        </w:rPr>
        <w:t>Полученные результаты свидетельствуют о наличии эшерихий в 60%, сальмонелл в 30%, стафилококков в 15%, стрептококков в 20%, пастерелл в 3%, синегнойной палочки в 2% исследованного патологического мат</w:t>
      </w:r>
      <w:r w:rsidRPr="00640648">
        <w:rPr>
          <w:spacing w:val="-4"/>
        </w:rPr>
        <w:t>е</w:t>
      </w:r>
      <w:r w:rsidRPr="00640648">
        <w:rPr>
          <w:spacing w:val="-4"/>
        </w:rPr>
        <w:t>риала.</w:t>
      </w:r>
    </w:p>
    <w:p w:rsidR="00F4654E" w:rsidRDefault="00F4654E">
      <w:pPr>
        <w:pStyle w:val="a6"/>
      </w:pPr>
      <w:r>
        <w:t>Создана коллекция микроорганизмов циркулирующих в отдельных хозяйствах. Проведено серотипирование выделенных штаммов эшерихий и проверены  их биохимические свойства. Определена видовая принадле</w:t>
      </w:r>
      <w:r>
        <w:t>ж</w:t>
      </w:r>
      <w:r>
        <w:t>ность сальмонелл. Из полученных штаммов 90% отнесены к S. enteritidis, 10% к S. pullorum-gallinarum.</w:t>
      </w:r>
    </w:p>
    <w:p w:rsidR="00F4654E" w:rsidRDefault="00F4654E">
      <w:pPr>
        <w:pStyle w:val="a6"/>
      </w:pPr>
      <w:r>
        <w:t>Анализ антибиотикограммы обнаружил широкий спектр чувствител</w:t>
      </w:r>
      <w:r>
        <w:t>ь</w:t>
      </w:r>
      <w:r>
        <w:t>ности возбудителей к различным группам антибиотиков, нитрофурановым и сульфаниламидным препаратам. Зарегистрированы хозяйства, где возб</w:t>
      </w:r>
      <w:r>
        <w:t>у</w:t>
      </w:r>
      <w:r>
        <w:t>дители бактериальных инфекций имеют 90-100% устойчивость ко всем группам антибиотиков.</w:t>
      </w:r>
    </w:p>
    <w:p w:rsidR="00F4654E" w:rsidRDefault="00F4654E">
      <w:pPr>
        <w:pStyle w:val="a6"/>
      </w:pPr>
      <w:r>
        <w:t>Наряду  с общеизвестными возбудителями бактериальных инфекций птиц, из паренхиматозных органов, в отдельных случаях выделены кле</w:t>
      </w:r>
      <w:r>
        <w:t>б</w:t>
      </w:r>
      <w:r>
        <w:t>сиеллы, протей, Citrobacter diver, Kluyvera  ascorbata, Esherichia vulneris, Enterobacter cloacae, Serratia odorifera этиологическая роль которых в во</w:t>
      </w:r>
      <w:r>
        <w:t>з</w:t>
      </w:r>
      <w:r>
        <w:t>никновении инфекционных заболеваний птиц изучается сотрудниками ГНЦ ПМ.</w:t>
      </w:r>
    </w:p>
    <w:p w:rsidR="00F4654E" w:rsidRDefault="00F4654E">
      <w:pPr>
        <w:pStyle w:val="a6"/>
      </w:pPr>
      <w:r>
        <w:t>Из содержимого кишечника, паренхиматозных органов выделены штаммы Campilobacter jejuni и Campilobacter coli. Бактериологические и</w:t>
      </w:r>
      <w:r>
        <w:t>с</w:t>
      </w:r>
      <w:r>
        <w:t>следования на наличие кампилобактерий в тушках птиц дали положител</w:t>
      </w:r>
      <w:r>
        <w:t>ь</w:t>
      </w:r>
      <w:r>
        <w:t>ные результаты, что представляет угрозу для человека.</w:t>
      </w:r>
    </w:p>
    <w:p w:rsidR="00F4654E" w:rsidRDefault="00F4654E">
      <w:pPr>
        <w:pStyle w:val="a6"/>
      </w:pPr>
      <w:r>
        <w:t>Проведенный мониторинг показал, что возбудители бактериальных инфекций птиц остаются актуальной проблемой в промышленном птиц</w:t>
      </w:r>
      <w:r>
        <w:t>е</w:t>
      </w:r>
      <w:r>
        <w:t>водстве и требуют дальнейшей работы по совершенствованию диагност</w:t>
      </w:r>
      <w:r>
        <w:t>и</w:t>
      </w:r>
      <w:r>
        <w:t xml:space="preserve">ки, профилактики и лечения.  </w:t>
      </w:r>
    </w:p>
    <w:p w:rsidR="00F4654E" w:rsidRDefault="00F4654E">
      <w:pPr>
        <w:pStyle w:val="a4"/>
      </w:pPr>
      <w:r>
        <w:t>УДК 619:616-099:615.91</w:t>
      </w:r>
    </w:p>
    <w:p w:rsidR="00F4654E" w:rsidRDefault="00F4654E">
      <w:pPr>
        <w:pStyle w:val="1"/>
      </w:pPr>
      <w:bookmarkStart w:id="1467" w:name="_Toc10891699"/>
      <w:bookmarkStart w:id="1468" w:name="_Toc10892374"/>
      <w:bookmarkStart w:id="1469" w:name="_Toc11390241"/>
      <w:bookmarkStart w:id="1470" w:name="_Toc11839922"/>
      <w:bookmarkStart w:id="1471" w:name="_Toc11937458"/>
      <w:r>
        <w:t>ПАРАМЕТРЫ ТОКСИЧНОСТИ КОМПЛЕКСНОГО АНТИМИКРОБНОГО ПРЕПАРАТА ЛЕВОТЕТРАСУЛЬФИН ФОРТЕ</w:t>
      </w:r>
      <w:bookmarkEnd w:id="1467"/>
      <w:bookmarkEnd w:id="1468"/>
      <w:bookmarkEnd w:id="1469"/>
      <w:bookmarkEnd w:id="1470"/>
      <w:bookmarkEnd w:id="1471"/>
    </w:p>
    <w:p w:rsidR="00F4654E" w:rsidRDefault="00F4654E">
      <w:pPr>
        <w:pStyle w:val="2"/>
      </w:pPr>
      <w:bookmarkStart w:id="1472" w:name="_Toc10891700"/>
      <w:bookmarkStart w:id="1473" w:name="_Toc10892375"/>
      <w:bookmarkStart w:id="1474" w:name="_Toc11390242"/>
      <w:bookmarkStart w:id="1475" w:name="_Toc11937459"/>
      <w:r>
        <w:t>Гуник А.В., Паршин П.А.*, Востроилова Г.А.**</w:t>
      </w:r>
      <w:bookmarkEnd w:id="1472"/>
      <w:bookmarkEnd w:id="1473"/>
      <w:bookmarkEnd w:id="1474"/>
      <w:bookmarkEnd w:id="1475"/>
      <w:r>
        <w:t xml:space="preserve"> </w:t>
      </w:r>
    </w:p>
    <w:p w:rsidR="00F4654E" w:rsidRDefault="00F4654E">
      <w:pPr>
        <w:pStyle w:val="a5"/>
      </w:pPr>
      <w:r>
        <w:t xml:space="preserve">Воронежская городская станция по борьбе с болезнями животных </w:t>
      </w:r>
      <w:r>
        <w:br/>
        <w:t xml:space="preserve">*Всероссийский НИВИ патологии, фармакологии и терапии </w:t>
      </w:r>
      <w:r>
        <w:br/>
        <w:t>**ООО «Ветеринарный диагностический центр», г. Воронеж</w:t>
      </w:r>
    </w:p>
    <w:p w:rsidR="00F4654E" w:rsidRDefault="00F4654E">
      <w:pPr>
        <w:pStyle w:val="a6"/>
      </w:pPr>
      <w:r>
        <w:t>Создание комплексных противобактериальных препаратов, содерж</w:t>
      </w:r>
      <w:r>
        <w:t>а</w:t>
      </w:r>
      <w:r>
        <w:t>щих в своем составе  антимикробные вещества различных фармакологич</w:t>
      </w:r>
      <w:r>
        <w:t>е</w:t>
      </w:r>
      <w:r>
        <w:t>ских групп  научно обосновано, так как более выраженный клинический эффект у этих лекарственных средств, по сравнению с однокомпонентн</w:t>
      </w:r>
      <w:r>
        <w:t>ы</w:t>
      </w:r>
      <w:r>
        <w:t>ми антибиотиками  сопровождается  более выгодными токсикометрич</w:t>
      </w:r>
      <w:r>
        <w:t>е</w:t>
      </w:r>
      <w:r>
        <w:lastRenderedPageBreak/>
        <w:t>скими характеристиками, вследствие снижения лечебной дозы отдельных компонентов в комплексном антимикробном веществе засчет синнергизма.</w:t>
      </w:r>
    </w:p>
    <w:p w:rsidR="00F4654E" w:rsidRDefault="00F4654E">
      <w:pPr>
        <w:pStyle w:val="a6"/>
      </w:pPr>
      <w:r>
        <w:t xml:space="preserve">  Изучены параметры токсичности комплексного анимикробного пр</w:t>
      </w:r>
      <w:r>
        <w:t>е</w:t>
      </w:r>
      <w:r>
        <w:t>парата левотетрасульфин форте, содержащий в своем составе левомиц</w:t>
      </w:r>
      <w:r>
        <w:t>е</w:t>
      </w:r>
      <w:r>
        <w:t>тин, метронидазол и стрептоцид. Токсичность левотетрасульфина форте в остром опыте определяли на белых мышах и крысах при однократном внутрибрюшинном введении. На основании первичных токсикометричес-ких исследований были получены данные для исчисления величины LD</w:t>
      </w:r>
      <w:r>
        <w:rPr>
          <w:vertAlign w:val="subscript"/>
        </w:rPr>
        <w:t>50</w:t>
      </w:r>
      <w:r>
        <w:t xml:space="preserve"> левотетрасульфина форте при внутрибрюшинном введении белым мышам и белым крысам, которая составила для мышей 5,04, для крыс – 5,90 мл/кг массы тела. Симптомы острого отравления белых мышей и белых крыс х</w:t>
      </w:r>
      <w:r>
        <w:t>а</w:t>
      </w:r>
      <w:r>
        <w:t>рактеризовались непродолжительным периодом возбуждения с усилением двигательной активности, сменяющиеся угнетением и комой. К моменту гибели животных отмечалась тахикардия, цианоз слизистых оболочек. П</w:t>
      </w:r>
      <w:r>
        <w:t>а</w:t>
      </w:r>
      <w:r>
        <w:t>тологоанатомические изменения характеризовались гемодинамическими расстройствами, системным застоем венозной крови в подкожной клетча</w:t>
      </w:r>
      <w:r>
        <w:t>т</w:t>
      </w:r>
      <w:r>
        <w:t>ке и внутренних органах. Изучение подострой токсичности левотетр</w:t>
      </w:r>
      <w:r>
        <w:t>а</w:t>
      </w:r>
      <w:r>
        <w:t xml:space="preserve">сульфина форте проводили на 40 белых крысах-самцах с массой тела 180-200 г при многократном введении. </w:t>
      </w:r>
    </w:p>
    <w:p w:rsidR="00F4654E" w:rsidRDefault="00F4654E">
      <w:pPr>
        <w:pStyle w:val="a6"/>
      </w:pPr>
      <w:r>
        <w:t>Установлено, что многократное внутримышечное применение лев</w:t>
      </w:r>
      <w:r>
        <w:t>о</w:t>
      </w:r>
      <w:r>
        <w:t>тетрасульфина форте в  дозах 0,1; 0,3; 0,6 мл/кг массы тела животного (1/50, 1/20, 1/10 от LD</w:t>
      </w:r>
      <w:r>
        <w:rPr>
          <w:vertAlign w:val="subscript"/>
        </w:rPr>
        <w:t>50</w:t>
      </w:r>
      <w:r>
        <w:t>, полученной при определении острой токсичности) не вызывает существенных изменений в клиническом состоянии и груми</w:t>
      </w:r>
      <w:r>
        <w:t>н</w:t>
      </w:r>
      <w:r>
        <w:t>ге животных. При увеличении дозы левотетрасульфина форте отмечалась устойчивая тенденция к более напряженному функционированию выдел</w:t>
      </w:r>
      <w:r>
        <w:t>и</w:t>
      </w:r>
      <w:r>
        <w:t>тельной системы и печени. Однако среднее значение этих показателей  у крыс опытной группы не выходило за верхние границы нормы для данного вида животных. С увеличением дозы левотетрасульфина форте наблюд</w:t>
      </w:r>
      <w:r>
        <w:t>а</w:t>
      </w:r>
      <w:r>
        <w:t>лось также достоверное возрастание бактерицидной активности сыворотки крови. С учетом полученных результатов при изучении подострой токси</w:t>
      </w:r>
      <w:r>
        <w:t>ч</w:t>
      </w:r>
      <w:r>
        <w:t>ности левотетрасульфина форте и LD</w:t>
      </w:r>
      <w:r>
        <w:rPr>
          <w:vertAlign w:val="subscript"/>
        </w:rPr>
        <w:t>50</w:t>
      </w:r>
      <w:r>
        <w:t>, полученной при определении ос</w:t>
      </w:r>
      <w:r>
        <w:t>т</w:t>
      </w:r>
      <w:r>
        <w:t>рой токсичности, рассчитывали коэффициент кумуляции. Левотетрасул</w:t>
      </w:r>
      <w:r>
        <w:t>ь</w:t>
      </w:r>
      <w:r>
        <w:t xml:space="preserve">фин форте обладает слабовыраженной кумуляцией (Ккум =5,01). </w:t>
      </w:r>
    </w:p>
    <w:p w:rsidR="00F4654E" w:rsidRDefault="00F4654E">
      <w:pPr>
        <w:pStyle w:val="a6"/>
      </w:pPr>
      <w:r>
        <w:t>Изучение эмбриотоксического и тератогенного действия левотетр</w:t>
      </w:r>
      <w:r>
        <w:t>а</w:t>
      </w:r>
      <w:r>
        <w:t>сульфина форте проведено по методике А.П.Шицковой с соавт. (1977) на самках белых крыс массой 220,0</w:t>
      </w:r>
      <w:r>
        <w:sym w:font="Symbol" w:char="F0B1"/>
      </w:r>
      <w:r>
        <w:t>20,0 г. Фазу полового цикла и время о</w:t>
      </w:r>
      <w:r>
        <w:t>п</w:t>
      </w:r>
      <w:r>
        <w:t>лодотворения устанавливали путем исследования вагинального содерж</w:t>
      </w:r>
      <w:r>
        <w:t>и</w:t>
      </w:r>
      <w:r>
        <w:t>мого. Животные были разделены на три группы: контрольную и две опы</w:t>
      </w:r>
      <w:r>
        <w:t>т</w:t>
      </w:r>
      <w:r>
        <w:t xml:space="preserve">ные. Крысам первой опытной группы на пятый день беременности (период имплантации) и второй опытной группы на 10 день беременности (период органогенеза) вводили внутримышечно левотетрасульфин форте в дозе 0,6 мл/кг масcы тела. Для выявления повреждающего действия препарата на плод половину самок убивали на 19-20 день беременности. Критериями </w:t>
      </w:r>
      <w:r>
        <w:lastRenderedPageBreak/>
        <w:t>оценки эмбриотоксического и тератогенного действия препарата служили показатели гибели зародышей на пред- и постимплантационных стадиях развития, наличие аномалий развития внутренних органов и скелета, ур</w:t>
      </w:r>
      <w:r>
        <w:t>о</w:t>
      </w:r>
      <w:r>
        <w:t>вень плодовитости, масса зародышей. Существенных различий в плодов</w:t>
      </w:r>
      <w:r>
        <w:t>и</w:t>
      </w:r>
      <w:r>
        <w:t>тости крыс опытных и контрольной групп не установлено. Морфологич</w:t>
      </w:r>
      <w:r>
        <w:t>е</w:t>
      </w:r>
      <w:r>
        <w:t>ские исследования показали отсутствие аномалий развития внутренних о</w:t>
      </w:r>
      <w:r>
        <w:t>р</w:t>
      </w:r>
      <w:r>
        <w:t xml:space="preserve">ганов и скелета плодов, рожденных от крыс опытных групп.   </w:t>
      </w:r>
    </w:p>
    <w:p w:rsidR="00F4654E" w:rsidRDefault="00F4654E">
      <w:pPr>
        <w:pStyle w:val="a6"/>
      </w:pPr>
      <w:r>
        <w:t>Таким образом, комплексный антимикробный препарат левотетр</w:t>
      </w:r>
      <w:r>
        <w:t>а</w:t>
      </w:r>
      <w:r>
        <w:t>сульфин форте отличается выгодными токсикометрическими характер</w:t>
      </w:r>
      <w:r>
        <w:t>и</w:t>
      </w:r>
      <w:r>
        <w:t>стиками, обладает слабовыраженной кумуляцией, не оказывает эмбриото</w:t>
      </w:r>
      <w:r>
        <w:t>к</w:t>
      </w:r>
      <w:r>
        <w:t xml:space="preserve">сическое и тератогенное действие. Левотетрасульфин форте  относится к препаратам IV класса токсичности (малотоксичные вещества).  </w:t>
      </w:r>
    </w:p>
    <w:p w:rsidR="00F4654E" w:rsidRDefault="00F4654E">
      <w:pPr>
        <w:pStyle w:val="a4"/>
      </w:pPr>
      <w:r>
        <w:t>УДК 619:615.015.45</w:t>
      </w:r>
    </w:p>
    <w:p w:rsidR="00F4654E" w:rsidRDefault="00F4654E">
      <w:pPr>
        <w:pStyle w:val="1"/>
      </w:pPr>
      <w:bookmarkStart w:id="1476" w:name="_Toc10891701"/>
      <w:bookmarkStart w:id="1477" w:name="_Toc10892376"/>
      <w:bookmarkStart w:id="1478" w:name="_Toc11390243"/>
      <w:bookmarkStart w:id="1479" w:name="_Toc11839924"/>
      <w:bookmarkStart w:id="1480" w:name="_Toc11937460"/>
      <w:r>
        <w:t>Изучение аллергизирующих свойств комплексного антимикробного препарата левотетрасульфин форте</w:t>
      </w:r>
      <w:bookmarkEnd w:id="1476"/>
      <w:bookmarkEnd w:id="1477"/>
      <w:bookmarkEnd w:id="1478"/>
      <w:bookmarkEnd w:id="1479"/>
      <w:bookmarkEnd w:id="1480"/>
    </w:p>
    <w:p w:rsidR="00F4654E" w:rsidRDefault="00F4654E">
      <w:pPr>
        <w:pStyle w:val="2"/>
      </w:pPr>
      <w:bookmarkStart w:id="1481" w:name="_Toc10891702"/>
      <w:bookmarkStart w:id="1482" w:name="_Toc10892377"/>
      <w:bookmarkStart w:id="1483" w:name="_Toc11390244"/>
      <w:bookmarkStart w:id="1484" w:name="_Toc11937461"/>
      <w:r>
        <w:t>Гуник А.В., Паршин П.А.*, Востроилова Г.А.**</w:t>
      </w:r>
      <w:bookmarkEnd w:id="1481"/>
      <w:bookmarkEnd w:id="1482"/>
      <w:bookmarkEnd w:id="1483"/>
      <w:bookmarkEnd w:id="1484"/>
    </w:p>
    <w:p w:rsidR="00F4654E" w:rsidRDefault="00F4654E">
      <w:pPr>
        <w:pStyle w:val="a5"/>
      </w:pPr>
      <w:r>
        <w:t xml:space="preserve">Воронежская городская станция по борьбе с болезнями животных </w:t>
      </w:r>
      <w:r>
        <w:br/>
        <w:t>*Всероссийский НИВИ патологии, фармакологии и терапии</w:t>
      </w:r>
      <w:r>
        <w:br/>
        <w:t>**ООО «Ветеринарный диагностический центр», г. Воронеж</w:t>
      </w:r>
    </w:p>
    <w:p w:rsidR="00F4654E" w:rsidRDefault="00F4654E">
      <w:pPr>
        <w:pStyle w:val="a6"/>
      </w:pPr>
      <w:r>
        <w:t>В современных условиях у продуктивных животных зачастую возн</w:t>
      </w:r>
      <w:r>
        <w:t>и</w:t>
      </w:r>
      <w:r>
        <w:t>кают выраженные аллергические реакции на введения лекарственных пр</w:t>
      </w:r>
      <w:r>
        <w:t>е</w:t>
      </w:r>
      <w:r>
        <w:t>паратов. Особенно это касается антибиотиков -   веществ, характеризу</w:t>
      </w:r>
      <w:r>
        <w:t>ю</w:t>
      </w:r>
      <w:r>
        <w:t>щихся тяжелыми побочными эффектами, являющихся, как правило, более токсичными, чем другие лекарственные средства. Такая ситуация обусла</w:t>
      </w:r>
      <w:r>
        <w:t>в</w:t>
      </w:r>
      <w:r>
        <w:t>ливает поиск новых антимикробных препаратов, отличающихся выгодн</w:t>
      </w:r>
      <w:r>
        <w:t>ы</w:t>
      </w:r>
      <w:r>
        <w:t xml:space="preserve">ми токсикометрическими характеристиками с минимальной возможностью аллергизации. Проведено изучение раздражающих, кожно-резорбтивных и аллергенных свойств препарата левотетрасульфин форте. </w:t>
      </w:r>
    </w:p>
    <w:p w:rsidR="00F4654E" w:rsidRDefault="00F4654E">
      <w:pPr>
        <w:pStyle w:val="a6"/>
      </w:pPr>
      <w:r>
        <w:t>Левотетрасульфин форте – комплексный антимикробный препарат содержащий в своем составе левомицетин, метронидазол и стрептоцид. Опыты по изучению раздражающего действия на кожу тела проведены на 12 кроликах с массой тела 2,2-2,4 кг. Исследуемый препарат наносили в нативном виде, площадь нанесения составляла 80-82 см</w:t>
      </w:r>
      <w:r>
        <w:rPr>
          <w:vertAlign w:val="superscript"/>
        </w:rPr>
        <w:t>2</w:t>
      </w:r>
      <w:r>
        <w:t xml:space="preserve">  (5% от общей п</w:t>
      </w:r>
      <w:r>
        <w:t>о</w:t>
      </w:r>
      <w:r>
        <w:t>верхности тела животных) в дозах от 20 до 100 мг/см</w:t>
      </w:r>
      <w:r>
        <w:rPr>
          <w:vertAlign w:val="superscript"/>
        </w:rPr>
        <w:t>2</w:t>
      </w:r>
      <w:r>
        <w:t xml:space="preserve"> (соответственно 0,02-0,10 мл/см</w:t>
      </w:r>
      <w:r>
        <w:rPr>
          <w:vertAlign w:val="superscript"/>
        </w:rPr>
        <w:t>2</w:t>
      </w:r>
      <w:r>
        <w:t>). Экспозиция 4 часа, после чего кожу аккуратно протир</w:t>
      </w:r>
      <w:r>
        <w:t>а</w:t>
      </w:r>
      <w:r>
        <w:t>ли ватным тампоном, смоченным дистиллированной водой. Реакцию кожи на воздействие препарата оценивали через 1 и 16 часов после однократн</w:t>
      </w:r>
      <w:r>
        <w:t>о</w:t>
      </w:r>
      <w:r>
        <w:t>го нанесения. Согласно полученным данным при  однократной аппликации на кожные покровы кроликам при плотности нанесения от 0,020 до 0,10 мл/см</w:t>
      </w:r>
      <w:r>
        <w:rPr>
          <w:vertAlign w:val="superscript"/>
        </w:rPr>
        <w:t>2</w:t>
      </w:r>
      <w:r>
        <w:t xml:space="preserve"> (соответственно от 20 до 100 мг/см</w:t>
      </w:r>
      <w:r>
        <w:rPr>
          <w:vertAlign w:val="superscript"/>
        </w:rPr>
        <w:t>2</w:t>
      </w:r>
      <w:r>
        <w:t>) не вызывает повреждение к</w:t>
      </w:r>
      <w:r>
        <w:t>о</w:t>
      </w:r>
      <w:r w:rsidR="00640648">
        <w:t>жи в виде эритемы или  отеков.</w:t>
      </w:r>
    </w:p>
    <w:p w:rsidR="00414261" w:rsidRDefault="00F4654E">
      <w:pPr>
        <w:pStyle w:val="a6"/>
      </w:pPr>
      <w:r>
        <w:lastRenderedPageBreak/>
        <w:t>Определение раздражающих свойств препарата оценивали методом постановки кожной и коньюнктивальной пробы. Подопытных животных фиксировали в спинном положении; на животе выстригали шерстный п</w:t>
      </w:r>
      <w:r>
        <w:t>о</w:t>
      </w:r>
      <w:r>
        <w:t>кров. Выстриженный участок кожи делили на 6 полей площадью, приме</w:t>
      </w:r>
      <w:r>
        <w:t>р</w:t>
      </w:r>
      <w:r>
        <w:t>но, 20 см</w:t>
      </w:r>
      <w:r>
        <w:rPr>
          <w:vertAlign w:val="superscript"/>
        </w:rPr>
        <w:t>2</w:t>
      </w:r>
      <w:r>
        <w:t>. В центре 3 полей каждого кролика вводили левотетрасульфин форте. Препарат вводили внутрикожно в объеме 0,3 см</w:t>
      </w:r>
      <w:r>
        <w:rPr>
          <w:vertAlign w:val="superscript"/>
        </w:rPr>
        <w:t>3</w:t>
      </w:r>
      <w:r>
        <w:t>. Через 20 минут после введения внутривенно вводили 1% раствор трепанового синего в д</w:t>
      </w:r>
      <w:r>
        <w:t>о</w:t>
      </w:r>
      <w:r>
        <w:t>зе 1 см</w:t>
      </w:r>
      <w:r>
        <w:rPr>
          <w:vertAlign w:val="superscript"/>
        </w:rPr>
        <w:t>3</w:t>
      </w:r>
      <w:r>
        <w:t>/кг массы тела кролика. Через 30, 60 и 180 минут после введения красителя исследовали окраску кожных зон в местах инъекции левотетр</w:t>
      </w:r>
      <w:r>
        <w:t>а</w:t>
      </w:r>
      <w:r>
        <w:t xml:space="preserve">сульфина форте. </w:t>
      </w:r>
    </w:p>
    <w:p w:rsidR="00F4654E" w:rsidRDefault="00F4654E">
      <w:pPr>
        <w:pStyle w:val="a6"/>
      </w:pPr>
      <w:r>
        <w:t>В опыте установлено, что через 30 минут после введения красителя левотетрасульфин форте оказывал слабое раздражающее дейс</w:t>
      </w:r>
      <w:r>
        <w:t>т</w:t>
      </w:r>
      <w:r>
        <w:t>вие, через 60 и 180 минут раздражающее действие препарата было умере</w:t>
      </w:r>
      <w:r>
        <w:t>н</w:t>
      </w:r>
      <w:r>
        <w:t xml:space="preserve">ным, через 4 часа – слабым, а через 5 часов отсутствовало. </w:t>
      </w:r>
    </w:p>
    <w:p w:rsidR="00414261" w:rsidRDefault="00F4654E">
      <w:pPr>
        <w:pStyle w:val="a6"/>
      </w:pPr>
      <w:r>
        <w:t>Изучение раздражающего действия левотетрасульфина форте на конъюнктиву глаз кроликов проводили визуально. Установлено, что пр</w:t>
      </w:r>
      <w:r>
        <w:t>е</w:t>
      </w:r>
      <w:r>
        <w:t>парат левотетрасульфин форте вызывает слабое раздражение конъюнктивы в течение 4-х часов после введения его в область века. Исследования по изучению кожно-резорбтивного действия левотетрасульфина форте в</w:t>
      </w:r>
      <w:r>
        <w:t>ы</w:t>
      </w:r>
      <w:r>
        <w:t>полнены на белых мышах и крысах. Оценка кожно-резорбтивного дейс</w:t>
      </w:r>
      <w:r>
        <w:t>т</w:t>
      </w:r>
      <w:r>
        <w:t xml:space="preserve">вия левотетрасульфина форте на 40 белых мышах с массой тела 20 </w:t>
      </w:r>
      <w:r>
        <w:sym w:font="Symbol" w:char="F0B1"/>
      </w:r>
      <w:r>
        <w:t xml:space="preserve"> 2 г проведена с использованием «пробирочного метода». При этом использ</w:t>
      </w:r>
      <w:r>
        <w:t>о</w:t>
      </w:r>
      <w:r>
        <w:t xml:space="preserve">вали нативный препарат. Время экспозиции по 2 часа в сутки в течение 14 суток. Учет реакции проводили по гибели животных, по изменению массы и температуры тела, состава периферической крови, общему состоянию и внешнему виду животных. </w:t>
      </w:r>
    </w:p>
    <w:p w:rsidR="00F4654E" w:rsidRDefault="00F4654E">
      <w:pPr>
        <w:pStyle w:val="a6"/>
      </w:pPr>
      <w:r>
        <w:t>Полученные данные свидетельствуют, что препарат не обладает ко</w:t>
      </w:r>
      <w:r>
        <w:t>ж</w:t>
      </w:r>
      <w:r>
        <w:t xml:space="preserve">но-резорбтивным эффектом. </w:t>
      </w:r>
    </w:p>
    <w:p w:rsidR="00414261" w:rsidRDefault="00F4654E">
      <w:pPr>
        <w:pStyle w:val="a6"/>
      </w:pPr>
      <w:r>
        <w:t>Опыты по изучению аллергенных свойств левотетрасульфина форте проведены на белых беспородных крысах массой 200-220 г. (n=16). Ж</w:t>
      </w:r>
      <w:r>
        <w:t>и</w:t>
      </w:r>
      <w:r>
        <w:t>вотным опытных групп на выстриженные участки кожи боковой повер</w:t>
      </w:r>
      <w:r>
        <w:t>х</w:t>
      </w:r>
      <w:r>
        <w:t>ности, ближе к середине туловища, наносили левотетрасульфин форте на площадь 5 см</w:t>
      </w:r>
      <w:r>
        <w:rPr>
          <w:vertAlign w:val="superscript"/>
        </w:rPr>
        <w:t>2</w:t>
      </w:r>
      <w:r>
        <w:t>, плотностью 0,1 мл /см</w:t>
      </w:r>
      <w:r>
        <w:rPr>
          <w:vertAlign w:val="superscript"/>
        </w:rPr>
        <w:t>2</w:t>
      </w:r>
      <w:r>
        <w:t xml:space="preserve">. Вещество наносили на протяжении трех недель по 6 раз в неделю. </w:t>
      </w:r>
    </w:p>
    <w:p w:rsidR="00F4654E" w:rsidRDefault="00F4654E">
      <w:pPr>
        <w:pStyle w:val="a6"/>
      </w:pPr>
      <w:r>
        <w:t>В эксперименте установлено что 20-ти кратная аппликация препарата не вызывает явлений сенсибилизации.</w:t>
      </w:r>
    </w:p>
    <w:p w:rsidR="00F4654E" w:rsidRDefault="00F4654E">
      <w:pPr>
        <w:pStyle w:val="a6"/>
      </w:pPr>
      <w:r>
        <w:t>Таким образом, экспериментами показано, что комплексный антимик-робный препарат левотетрасульфин форте не оказывает кожно-резорб-тивного, раздражающего и аллергического воздействие на организм.</w:t>
      </w:r>
    </w:p>
    <w:p w:rsidR="00414261" w:rsidRDefault="00414261">
      <w:pPr>
        <w:pStyle w:val="a4"/>
      </w:pPr>
    </w:p>
    <w:p w:rsidR="00414261" w:rsidRDefault="00414261">
      <w:pPr>
        <w:pStyle w:val="a4"/>
      </w:pPr>
    </w:p>
    <w:p w:rsidR="00F4654E" w:rsidRDefault="00F4654E">
      <w:pPr>
        <w:pStyle w:val="a4"/>
      </w:pPr>
      <w:r>
        <w:lastRenderedPageBreak/>
        <w:t>УДК 636.2:612.017</w:t>
      </w:r>
    </w:p>
    <w:p w:rsidR="00F4654E" w:rsidRDefault="00F4654E">
      <w:pPr>
        <w:pStyle w:val="1"/>
      </w:pPr>
      <w:bookmarkStart w:id="1485" w:name="_Toc10891703"/>
      <w:bookmarkStart w:id="1486" w:name="_Toc10892378"/>
      <w:bookmarkStart w:id="1487" w:name="_Toc11390245"/>
      <w:bookmarkStart w:id="1488" w:name="_Toc11839926"/>
      <w:bookmarkStart w:id="1489" w:name="_Toc11937462"/>
      <w:r>
        <w:t>Становление иммунобиологического статуса  у телят в постнатальный период в условиях биогеохимической зоны</w:t>
      </w:r>
      <w:bookmarkEnd w:id="1485"/>
      <w:bookmarkEnd w:id="1486"/>
      <w:bookmarkEnd w:id="1487"/>
      <w:bookmarkEnd w:id="1488"/>
      <w:bookmarkEnd w:id="1489"/>
    </w:p>
    <w:p w:rsidR="00F4654E" w:rsidRDefault="00F4654E">
      <w:pPr>
        <w:pStyle w:val="2"/>
      </w:pPr>
      <w:bookmarkStart w:id="1490" w:name="_Toc10891704"/>
      <w:bookmarkStart w:id="1491" w:name="_Toc10892379"/>
      <w:bookmarkStart w:id="1492" w:name="_Toc11390246"/>
      <w:bookmarkStart w:id="1493" w:name="_Toc11937463"/>
      <w:r>
        <w:t>Григорьева Т.Е., Кириллов Н. К., Кульмакова Н.И., Иванов Г. И.</w:t>
      </w:r>
      <w:bookmarkEnd w:id="1490"/>
      <w:bookmarkEnd w:id="1491"/>
      <w:bookmarkEnd w:id="1492"/>
      <w:bookmarkEnd w:id="1493"/>
    </w:p>
    <w:p w:rsidR="00F4654E" w:rsidRDefault="00F4654E">
      <w:pPr>
        <w:pStyle w:val="a5"/>
      </w:pPr>
      <w:r>
        <w:t>Чувашская государственная сельскохозяйственная академия</w:t>
      </w:r>
    </w:p>
    <w:p w:rsidR="00F4654E" w:rsidRDefault="00F4654E">
      <w:pPr>
        <w:pStyle w:val="a6"/>
      </w:pPr>
      <w:r>
        <w:tab/>
        <w:t>В условиях рыночной экономики для успешного ведения скотово</w:t>
      </w:r>
      <w:r>
        <w:t>д</w:t>
      </w:r>
      <w:r>
        <w:t xml:space="preserve">ства важное значение имеет получение и сохранение молодняка. В этом существенную роль играет состояние иммунной системы, обмена веществ у коров-матерей и новорожденных телят. </w:t>
      </w:r>
    </w:p>
    <w:p w:rsidR="00F4654E" w:rsidRDefault="00F4654E">
      <w:pPr>
        <w:pStyle w:val="a6"/>
      </w:pPr>
      <w:r>
        <w:t>Известно, что в условиях Нечерноземной зоны РФ и Чувашской Ре</w:t>
      </w:r>
      <w:r>
        <w:t>с</w:t>
      </w:r>
      <w:r>
        <w:t>публики обеспеченность коров некоторыми минеральными веществами  за счет основных кормов недостаточна и требуется обогащение рационов.</w:t>
      </w:r>
    </w:p>
    <w:p w:rsidR="00F4654E" w:rsidRDefault="00F4654E">
      <w:pPr>
        <w:pStyle w:val="a6"/>
      </w:pPr>
      <w:r>
        <w:t>Целью работы явилось – выявить особенности формирования белк</w:t>
      </w:r>
      <w:r>
        <w:t>о</w:t>
      </w:r>
      <w:r>
        <w:t xml:space="preserve">вого обмена у телят в динамике роста в зависимости от времени получения первой порции молозива. </w:t>
      </w:r>
    </w:p>
    <w:p w:rsidR="00F4654E" w:rsidRDefault="00F4654E">
      <w:pPr>
        <w:pStyle w:val="a6"/>
      </w:pPr>
      <w:r>
        <w:t>Работа выполнена в КП «Дружба» Аликовского района Чувашской Республики. В опытах находились телята в возрасте от 1 до 60 дней. В н</w:t>
      </w:r>
      <w:r>
        <w:t>а</w:t>
      </w:r>
      <w:r>
        <w:t>блюдаемый период телятам выпаивали молозиво из сосковых поилок. С 1-го по 10-ый день телята получали молозиво своей матери, затем сборное молоко и настой из лекарственных трав. С 10-го дня в кормушку подкл</w:t>
      </w:r>
      <w:r>
        <w:t>а</w:t>
      </w:r>
      <w:r>
        <w:t>дывали сено вволю.</w:t>
      </w:r>
    </w:p>
    <w:p w:rsidR="00F4654E" w:rsidRDefault="00F4654E">
      <w:pPr>
        <w:pStyle w:val="a6"/>
      </w:pPr>
      <w:r>
        <w:t>Для оценки иммунобиологического статуса телят учитывалось время получения первой порции молозива. Телята были разделены на 4 группы: I группа  получала первую порцию молозива через 1-2 часа после рождения, II , III и  IV – с задержкой на 3-4, 5-6 и 7-12 часов соответственно. Иссл</w:t>
      </w:r>
      <w:r>
        <w:t>е</w:t>
      </w:r>
      <w:r>
        <w:t>дование крови от телят было проведено в 1-ый день после получения м</w:t>
      </w:r>
      <w:r>
        <w:t>о</w:t>
      </w:r>
      <w:r>
        <w:t>лозива, на 5-й, 10-й, 30-й, 60-й дни.</w:t>
      </w:r>
    </w:p>
    <w:p w:rsidR="00F4654E" w:rsidRPr="00414261" w:rsidRDefault="00F4654E">
      <w:pPr>
        <w:pStyle w:val="a6"/>
        <w:rPr>
          <w:spacing w:val="-2"/>
        </w:rPr>
      </w:pPr>
      <w:r w:rsidRPr="00414261">
        <w:rPr>
          <w:spacing w:val="-2"/>
        </w:rPr>
        <w:t>В исследованных группах телят, где интервал выпойки молозива был неодинаковым, концентрация общего белка в сыворотке крови имела разл</w:t>
      </w:r>
      <w:r w:rsidRPr="00414261">
        <w:rPr>
          <w:spacing w:val="-2"/>
        </w:rPr>
        <w:t>и</w:t>
      </w:r>
      <w:r w:rsidRPr="00414261">
        <w:rPr>
          <w:spacing w:val="-2"/>
        </w:rPr>
        <w:t xml:space="preserve">чия. Так, в первый день после приема молозива в сыворотке крови телят первой  группы   обнаружено 66,07 </w:t>
      </w:r>
      <w:r w:rsidRPr="00414261">
        <w:rPr>
          <w:spacing w:val="-2"/>
        </w:rPr>
        <w:fldChar w:fldCharType="begin"/>
      </w:r>
      <w:r w:rsidRPr="00414261">
        <w:rPr>
          <w:spacing w:val="-2"/>
        </w:rPr>
        <w:instrText>SYMBOL 177 \f "Symbol" \s 14</w:instrText>
      </w:r>
      <w:r w:rsidRPr="00414261">
        <w:rPr>
          <w:spacing w:val="-2"/>
        </w:rPr>
        <w:fldChar w:fldCharType="separate"/>
      </w:r>
      <w:r w:rsidRPr="00414261">
        <w:rPr>
          <w:rFonts w:ascii="Symbol" w:hAnsi="Symbol"/>
          <w:spacing w:val="-2"/>
        </w:rPr>
        <w:t>±</w:t>
      </w:r>
      <w:r w:rsidRPr="00414261">
        <w:rPr>
          <w:spacing w:val="-2"/>
        </w:rPr>
        <w:fldChar w:fldCharType="end"/>
      </w:r>
      <w:r w:rsidRPr="00414261">
        <w:rPr>
          <w:spacing w:val="-2"/>
        </w:rPr>
        <w:t xml:space="preserve"> 3,38 г/л общего белка, у телят второй – на 4,34 г/л или 6,6 % (r = +0,48),  у телят третьей - на 8,24 г/л или 12,5%, у телят четвертой – на 9,44 г/л или 14,3% меньше, чем у телят первой гру</w:t>
      </w:r>
      <w:r w:rsidRPr="00414261">
        <w:rPr>
          <w:spacing w:val="-2"/>
        </w:rPr>
        <w:t>п</w:t>
      </w:r>
      <w:r w:rsidRPr="00414261">
        <w:rPr>
          <w:spacing w:val="-2"/>
        </w:rPr>
        <w:t>пы.</w:t>
      </w:r>
    </w:p>
    <w:p w:rsidR="00F4654E" w:rsidRDefault="00F4654E">
      <w:pPr>
        <w:pStyle w:val="a6"/>
      </w:pPr>
      <w:r>
        <w:t>В 2-месячном возрасте этот показатель был ниже у телят второй, третьей, четвертой групп по сравнению с телятами первой группы на 3,71 г/л или 5,1%  (r = +0,03), на 4,45 г/л или 6,1% (r = +0,13), на 9,1 г/л или 12,5% (P&lt;0,001; r = +0,10) соответственно.</w:t>
      </w:r>
    </w:p>
    <w:p w:rsidR="00F4654E" w:rsidRDefault="00F4654E">
      <w:pPr>
        <w:pStyle w:val="a6"/>
      </w:pPr>
      <w:r>
        <w:t>Содержание белковых фракций в крови телят сравниваемых групп в динамике их развития было подвержено колебаниям.</w:t>
      </w:r>
    </w:p>
    <w:p w:rsidR="00F4654E" w:rsidRDefault="00F4654E">
      <w:pPr>
        <w:pStyle w:val="a6"/>
      </w:pPr>
      <w:r>
        <w:t>Анализируя накопление иммунных глобулинов в крови телят, нах</w:t>
      </w:r>
      <w:r>
        <w:t>о</w:t>
      </w:r>
      <w:r>
        <w:t>дящихся в условиях биогеохимической зоны, можно отметить, что на</w:t>
      </w:r>
      <w:r>
        <w:t>и</w:t>
      </w:r>
      <w:r>
        <w:lastRenderedPageBreak/>
        <w:t xml:space="preserve">большее количество гамма-глобулинов (3,40 </w:t>
      </w:r>
      <w:fldSimple w:instr="SYMBOL 177 \f &quot;Symbol&quot; \s 14">
        <w:r>
          <w:rPr>
            <w:rFonts w:ascii="Symbol" w:hAnsi="Symbol"/>
          </w:rPr>
          <w:t>±</w:t>
        </w:r>
      </w:fldSimple>
      <w:r>
        <w:t xml:space="preserve"> 0,73 г/л) в первый день жизни после выпойки молозива обнаружено в сыворотке крови телят пе</w:t>
      </w:r>
      <w:r>
        <w:t>р</w:t>
      </w:r>
      <w:r>
        <w:t>вой группы, которые получали первую порцию молозива в течение 1-2 ч</w:t>
      </w:r>
      <w:r>
        <w:t>а</w:t>
      </w:r>
      <w:r>
        <w:t>сов после рождения.</w:t>
      </w:r>
    </w:p>
    <w:p w:rsidR="00F4654E" w:rsidRDefault="00F4654E">
      <w:pPr>
        <w:pStyle w:val="a6"/>
      </w:pPr>
      <w:r>
        <w:t>Количество гамма-глобулинов в крови телят первой группы на 10-ый день жизни было выше, чем у телят второй (интервал выпойки молозива 3-4 часа), третьей  (5-6 часов),  четвертой  (7-12  часов)  групп  на  1,86 г/л   или  22,7%  (r = + 0,21), на 2,86 г/л или 34,8%, на 2,99 г/л или 36,6% (P&lt; 0,05; r = +0,58) соответственно.</w:t>
      </w:r>
    </w:p>
    <w:p w:rsidR="00F4654E" w:rsidRDefault="00F4654E">
      <w:pPr>
        <w:pStyle w:val="a6"/>
      </w:pPr>
      <w:r>
        <w:t>В 2-месячном возрасте концентрация гамма-глобулинов в крови телят второй группы была на 0,48 г/л или 4,13% (r = +0,33), третьей – на 2,28 г/л или 19,6% (P&lt;0,05; r = +0,10), четвертой – на 2,54 г/л или  21,9%  (P&lt;0,001; r = + 0,13) ниже, чем у телят первой группы.</w:t>
      </w:r>
    </w:p>
    <w:p w:rsidR="00F4654E" w:rsidRDefault="00F4654E">
      <w:pPr>
        <w:pStyle w:val="a6"/>
      </w:pPr>
      <w:r>
        <w:t>Динамика содержания Ig G в сыворотке крови телят всех групп с пе</w:t>
      </w:r>
      <w:r>
        <w:t>р</w:t>
      </w:r>
      <w:r>
        <w:t>вого по двадцатый день жизни носила волнообразный характер. По мере роста и развития телят его количество увеличивалось.</w:t>
      </w:r>
    </w:p>
    <w:p w:rsidR="00F4654E" w:rsidRDefault="00F4654E">
      <w:pPr>
        <w:pStyle w:val="a6"/>
      </w:pPr>
      <w:r>
        <w:t>У телят первой группы в сыворотке крови в первый день после при</w:t>
      </w:r>
      <w:r>
        <w:t>е</w:t>
      </w:r>
      <w:r>
        <w:t xml:space="preserve">ма молозива обнаружено 6,80 </w:t>
      </w:r>
      <w:fldSimple w:instr="SYMBOL 177 \f &quot;Symbol&quot; \s 14">
        <w:r>
          <w:rPr>
            <w:rFonts w:ascii="Symbol" w:hAnsi="Symbol"/>
          </w:rPr>
          <w:t>±</w:t>
        </w:r>
      </w:fldSimple>
      <w:r>
        <w:t xml:space="preserve"> 1,02 мг/мл Ig G. На 10-й день отмечено снижение его на 0,70 мг/мл или 10,3%. В следующие возрастные периоды наблюдалось постепенное увеличение концентрации Ig G и в 2-месячном уровне она стала равной  16,70 </w:t>
      </w:r>
      <w:fldSimple w:instr="SYMBOL 177 \f &quot;Symbol&quot; \s 14">
        <w:r>
          <w:rPr>
            <w:rFonts w:ascii="Symbol" w:hAnsi="Symbol"/>
          </w:rPr>
          <w:t>±</w:t>
        </w:r>
      </w:fldSimple>
      <w:r>
        <w:t xml:space="preserve"> 0,80 мг/мл, что на 9,90 мг/мл или 59,3 % (P&lt;0,001) больше, по сравнению с началом исследования.</w:t>
      </w:r>
    </w:p>
    <w:p w:rsidR="00F4654E" w:rsidRDefault="00F4654E">
      <w:pPr>
        <w:pStyle w:val="a6"/>
      </w:pPr>
      <w:r>
        <w:t>В сыворотке крови телят второй группы на 10-й день жизни произо</w:t>
      </w:r>
      <w:r>
        <w:t>ш</w:t>
      </w:r>
      <w:r>
        <w:t>ло снижение концентрации Ig G на 0,03 мг/мл или 4,8%.</w:t>
      </w:r>
    </w:p>
    <w:p w:rsidR="00F4654E" w:rsidRDefault="00F4654E">
      <w:pPr>
        <w:pStyle w:val="a6"/>
      </w:pPr>
      <w:r>
        <w:t>В 60-дневном возрасте она возросла по сравнению с телятами одн</w:t>
      </w:r>
      <w:r>
        <w:t>о</w:t>
      </w:r>
      <w:r>
        <w:t>дневного возраста до 14,90 </w:t>
      </w:r>
      <w:fldSimple w:instr="SYMBOL 177 \f &quot;Symbol&quot; \s 14">
        <w:r>
          <w:rPr>
            <w:rFonts w:ascii="Symbol" w:hAnsi="Symbol"/>
          </w:rPr>
          <w:t>±</w:t>
        </w:r>
      </w:fldSimple>
      <w:r>
        <w:t xml:space="preserve"> 0,70 мг/мл или на 59,7 % (P&lt;0,001).</w:t>
      </w:r>
    </w:p>
    <w:p w:rsidR="00F4654E" w:rsidRDefault="00F4654E">
      <w:pPr>
        <w:pStyle w:val="a6"/>
      </w:pPr>
      <w:r>
        <w:t>Более резкие изменения наблюдались в концентрации Ig G в сыворо</w:t>
      </w:r>
      <w:r>
        <w:t>т</w:t>
      </w:r>
      <w:r>
        <w:t>ке крови телят третьей группы с более поздним выпаиванием молозива – через 5-6 часов после рождения. В первый день содержание Ig G в сыв</w:t>
      </w:r>
      <w:r>
        <w:t>о</w:t>
      </w:r>
      <w:r>
        <w:t xml:space="preserve">ротке крови составляло 6,10 </w:t>
      </w:r>
      <w:fldSimple w:instr="SYMBOL 177 \f &quot;Symbol&quot; \s 14">
        <w:r>
          <w:rPr>
            <w:rFonts w:ascii="Symbol" w:hAnsi="Symbol"/>
          </w:rPr>
          <w:t>±</w:t>
        </w:r>
      </w:fldSimple>
      <w:r>
        <w:t xml:space="preserve"> 1,30 мг/мл. На 10-ый день оно снизилось на 1,10 мг/мл или 18,0 %. В дальнейшем оно стабилизировалось, и к 60-у дню уровень Ig G составил  14,40 </w:t>
      </w:r>
      <w:fldSimple w:instr="SYMBOL 177 \f &quot;Symbol&quot; \s 14">
        <w:r>
          <w:rPr>
            <w:rFonts w:ascii="Symbol" w:hAnsi="Symbol"/>
          </w:rPr>
          <w:t>±</w:t>
        </w:r>
      </w:fldSimple>
      <w:r>
        <w:t xml:space="preserve"> 1,10 мг/мл или на 57,6% (P&lt;0,001) выше, чем в начале исследования.</w:t>
      </w:r>
    </w:p>
    <w:p w:rsidR="00F4654E" w:rsidRDefault="00F4654E">
      <w:pPr>
        <w:pStyle w:val="a6"/>
      </w:pPr>
      <w:r>
        <w:t xml:space="preserve">Наименьшее количество Ig G (5,70 </w:t>
      </w:r>
      <w:fldSimple w:instr="SYMBOL 177 \f &quot;Symbol&quot; \s 14">
        <w:r>
          <w:rPr>
            <w:rFonts w:ascii="Symbol" w:hAnsi="Symbol"/>
          </w:rPr>
          <w:t>±</w:t>
        </w:r>
      </w:fldSimple>
      <w:r>
        <w:t xml:space="preserve"> 0,80 мг/мл) отмечено в сыворо</w:t>
      </w:r>
      <w:r>
        <w:t>т</w:t>
      </w:r>
      <w:r>
        <w:t>ке крови телят четвертой группы с временем получения первой порции молозива через 7-12 часов после рождения. На 10-е сутки оно постепенно уменьшилось на 0,60 мг/мл или 10,5%, и в 2-месячном возрасте конце</w:t>
      </w:r>
      <w:r>
        <w:t>н</w:t>
      </w:r>
      <w:r>
        <w:t xml:space="preserve">трация Ig G была на уровне 13,50 </w:t>
      </w:r>
      <w:fldSimple w:instr="SYMBOL 177 \f &quot;Symbol&quot; \s 14">
        <w:r>
          <w:rPr>
            <w:rFonts w:ascii="Symbol" w:hAnsi="Symbol"/>
          </w:rPr>
          <w:t>±</w:t>
        </w:r>
      </w:fldSimple>
      <w:r>
        <w:t xml:space="preserve"> 0,70 мг/мл, что на 7,80 мг/мл или 57,8% (P&lt;0,001) выше, чем в первый день жизни.</w:t>
      </w:r>
    </w:p>
    <w:p w:rsidR="00F4654E" w:rsidRDefault="00F4654E">
      <w:pPr>
        <w:pStyle w:val="a6"/>
      </w:pPr>
      <w:r>
        <w:t>Отмечена тенденция к увеличению концентрации Ig M с момента р</w:t>
      </w:r>
      <w:r>
        <w:t>о</w:t>
      </w:r>
      <w:r>
        <w:t xml:space="preserve">ждения и до 2-месячного возраста в сыворотке крови телят сравниваемых групп. У телят первой группы она увеличилась с  1,20 </w:t>
      </w:r>
      <w:fldSimple w:instr="SYMBOL 177 \f &quot;Symbol&quot; \s 14">
        <w:r>
          <w:rPr>
            <w:rFonts w:ascii="Symbol" w:hAnsi="Symbol"/>
          </w:rPr>
          <w:t>±</w:t>
        </w:r>
      </w:fldSimple>
      <w:r>
        <w:t xml:space="preserve"> 0,09 до 1,99 </w:t>
      </w:r>
      <w:fldSimple w:instr="SYMBOL 177 \f &quot;Symbol&quot; \s 14">
        <w:r>
          <w:rPr>
            <w:rFonts w:ascii="Symbol" w:hAnsi="Symbol"/>
          </w:rPr>
          <w:t>±</w:t>
        </w:r>
      </w:fldSimple>
      <w:r>
        <w:t xml:space="preserve"> 0,30 </w:t>
      </w:r>
      <w:r>
        <w:lastRenderedPageBreak/>
        <w:t xml:space="preserve">мг/мл или на 39,7% (P&lt;0,01), у телят второй группы – с 1,00 </w:t>
      </w:r>
      <w:fldSimple w:instr="SYMBOL 177 \f &quot;Symbol&quot; \s 14">
        <w:r>
          <w:rPr>
            <w:rFonts w:ascii="Symbol" w:hAnsi="Symbol"/>
          </w:rPr>
          <w:t>±</w:t>
        </w:r>
      </w:fldSimple>
      <w:r>
        <w:t xml:space="preserve"> 0,05 до 1,80 </w:t>
      </w:r>
      <w:fldSimple w:instr="SYMBOL 177 \f &quot;Symbol&quot; \s 14">
        <w:r>
          <w:rPr>
            <w:rFonts w:ascii="Symbol" w:hAnsi="Symbol"/>
          </w:rPr>
          <w:t>±</w:t>
        </w:r>
      </w:fldSimple>
      <w:r>
        <w:t xml:space="preserve"> 0,10 мг/мл или 44,4% (P&lt;0,001), у телят третьей группы – с 0,72 </w:t>
      </w:r>
      <w:fldSimple w:instr="SYMBOL 177 \f &quot;Symbol&quot; \s 14">
        <w:r>
          <w:rPr>
            <w:rFonts w:ascii="Symbol" w:hAnsi="Symbol"/>
          </w:rPr>
          <w:t>±</w:t>
        </w:r>
      </w:fldSimple>
      <w:r>
        <w:t xml:space="preserve"> 0,08 до 1,80 </w:t>
      </w:r>
      <w:fldSimple w:instr="SYMBOL 177 \f &quot;Symbol&quot; \s 14">
        <w:r>
          <w:rPr>
            <w:rFonts w:ascii="Symbol" w:hAnsi="Symbol"/>
          </w:rPr>
          <w:t>±</w:t>
        </w:r>
      </w:fldSimple>
      <w:r>
        <w:t xml:space="preserve"> 0,09 мг/мл или 60,0% (Р&lt;0,001), у телят четвертой группы – с 0,83 </w:t>
      </w:r>
      <w:fldSimple w:instr="SYMBOL 177 \f &quot;Symbol&quot; \s 14">
        <w:r>
          <w:rPr>
            <w:rFonts w:ascii="Symbol" w:hAnsi="Symbol"/>
          </w:rPr>
          <w:t>±</w:t>
        </w:r>
      </w:fldSimple>
      <w:r>
        <w:t xml:space="preserve"> 0,09 до 1,73 </w:t>
      </w:r>
      <w:fldSimple w:instr="SYMBOL 177 \f &quot;Symbol&quot; \s 14">
        <w:r>
          <w:rPr>
            <w:rFonts w:ascii="Symbol" w:hAnsi="Symbol"/>
          </w:rPr>
          <w:t>±</w:t>
        </w:r>
      </w:fldSimple>
      <w:r>
        <w:t xml:space="preserve"> 0,08 мг/мл или на 52,8% (P&lt;0,001). </w:t>
      </w:r>
    </w:p>
    <w:p w:rsidR="00F4654E" w:rsidRDefault="00F4654E">
      <w:pPr>
        <w:pStyle w:val="a6"/>
      </w:pPr>
      <w:r>
        <w:t>Сравнивая интенсивность белкового обмена у телят первой и четве</w:t>
      </w:r>
      <w:r>
        <w:t>р</w:t>
      </w:r>
      <w:r>
        <w:t>той групп, полученных от коров, содержавшихся в биогеохимической зоне на рационах, дефицитных по некоторым макро- и микроэлементам, нами установлено, что в первой группе животных с интервалом первой выпойки молозива 1-2 часа с момента рождения и до 2-месячного возраста происх</w:t>
      </w:r>
      <w:r>
        <w:t>о</w:t>
      </w:r>
      <w:r>
        <w:t>дило увеличение содержания общего белка на 9,0 %, а у телят четвертой группы, с интервалом первой выпойки молозива 7-12 часов – на 6,4%.</w:t>
      </w:r>
    </w:p>
    <w:p w:rsidR="00F4654E" w:rsidRDefault="00F4654E">
      <w:pPr>
        <w:pStyle w:val="a6"/>
      </w:pPr>
      <w:r>
        <w:t>Более значительные изменения наблюдались в содержании гамма-глобулинов, иммуноглобулинов G- и М- классов. В сыворотке крови телят первой группы в первый день после выпойки молозива содержалось га</w:t>
      </w:r>
      <w:r>
        <w:t>м</w:t>
      </w:r>
      <w:r>
        <w:t>ма-глобулинов на 64,4% (P&lt;0,01; r = + 0,10) больше, по сравнению с тел</w:t>
      </w:r>
      <w:r>
        <w:t>я</w:t>
      </w:r>
      <w:r>
        <w:t>тами четвертой группы. В 5-дневном возрасте – на 52,2% (Р&lt;0,001; r = + 0,08), в 10-дневном – на 36,6% (P&lt;0,05; r = +0,58), в 2-месячном – на 21,9% (P&lt;0,001; r = +0,13) соответственно. Тот уровень гамма-глобулинов, кот</w:t>
      </w:r>
      <w:r>
        <w:t>о</w:t>
      </w:r>
      <w:r>
        <w:t xml:space="preserve">рый обнаружен в крови телят четвертой группы в 2-месячном возрасте (9,08 </w:t>
      </w:r>
      <w:fldSimple w:instr="SYMBOL 177 \f &quot;Symbol&quot; \s 14">
        <w:r>
          <w:rPr>
            <w:rFonts w:ascii="Symbol" w:hAnsi="Symbol"/>
          </w:rPr>
          <w:t>±</w:t>
        </w:r>
      </w:fldSimple>
      <w:r>
        <w:t xml:space="preserve"> 0,46 г/л) у телят первой группы наблюдался в 20-дневном возрасте.</w:t>
      </w:r>
    </w:p>
    <w:p w:rsidR="00F4654E" w:rsidRDefault="00F4654E">
      <w:pPr>
        <w:pStyle w:val="a6"/>
      </w:pPr>
      <w:r>
        <w:t>В первый день жизни в крови телят первой группы в отличие от телят четвертой группы обнаружено Ig G на 16,2%, Ig М на 30,8% (P&lt;0,01) больше. На 5-ый день на 21,4% и 24,3% (P&lt;0,001), на 10-й – на 16,4 и 5,3%, на 60-й день – на 19,2 (P&lt;0,01) и 11,6% соответственно.</w:t>
      </w:r>
    </w:p>
    <w:p w:rsidR="00F4654E" w:rsidRDefault="00F4654E">
      <w:pPr>
        <w:pStyle w:val="a6"/>
      </w:pPr>
      <w:r>
        <w:t>В биогеохимической зоне с пониженным содержанием некоторых м</w:t>
      </w:r>
      <w:r>
        <w:t>и</w:t>
      </w:r>
      <w:r>
        <w:t xml:space="preserve">неральных веществ в почве, кормах, организме животных телята от коров рождаются с выраженными иммунодефицитами, характеризующимися низким уровнем общего белка, белковых фракций, особенно гамма-глобулиновой – 0,88 </w:t>
      </w:r>
      <w:r>
        <w:sym w:font="Courier New" w:char="00B1"/>
      </w:r>
      <w:r>
        <w:t xml:space="preserve"> 0,22 г/л, иммуноглобулинов G-класса – 3,81</w:t>
      </w:r>
      <w:r>
        <w:sym w:font="Courier New" w:char="00B1"/>
      </w:r>
      <w:r>
        <w:t>0,87 мг/мл, M-класса – 0,36</w:t>
      </w:r>
      <w:r>
        <w:sym w:font="Courier New" w:char="00B1"/>
      </w:r>
      <w:r>
        <w:t xml:space="preserve"> 0,09 мг/мл. </w:t>
      </w:r>
    </w:p>
    <w:p w:rsidR="00F4654E" w:rsidRDefault="00F4654E">
      <w:pPr>
        <w:pStyle w:val="a4"/>
      </w:pPr>
      <w:r>
        <w:t>УДК 619:615.244.35:636.934.2+599.742.1</w:t>
      </w:r>
    </w:p>
    <w:p w:rsidR="00F4654E" w:rsidRDefault="00F4654E">
      <w:pPr>
        <w:pStyle w:val="1"/>
      </w:pPr>
      <w:bookmarkStart w:id="1494" w:name="_Toc10115348"/>
      <w:bookmarkStart w:id="1495" w:name="_Toc10731197"/>
      <w:bookmarkStart w:id="1496" w:name="_Toc10731858"/>
      <w:bookmarkStart w:id="1497" w:name="_Toc10891705"/>
      <w:bookmarkStart w:id="1498" w:name="_Toc10892380"/>
      <w:bookmarkStart w:id="1499" w:name="_Toc11390247"/>
      <w:bookmarkStart w:id="1500" w:name="_Toc11839928"/>
      <w:bookmarkStart w:id="1501" w:name="_Toc11937464"/>
      <w:r>
        <w:t>ПОВЫШЕНИЕ ЖИЗНЕСПОСОБНОСТИ, РОСТА И РАЗВИТИЯ ЩЕНКОВ ЛИСИЦ И ПЕСЦОВ ПРИ ПРИМЕНЕНИИ ДИПРОМОНИЯ И ЭНДОВИТА</w:t>
      </w:r>
      <w:bookmarkEnd w:id="1494"/>
      <w:bookmarkEnd w:id="1495"/>
      <w:bookmarkEnd w:id="1496"/>
      <w:bookmarkEnd w:id="1497"/>
      <w:bookmarkEnd w:id="1498"/>
      <w:bookmarkEnd w:id="1499"/>
      <w:bookmarkEnd w:id="1500"/>
      <w:bookmarkEnd w:id="1501"/>
    </w:p>
    <w:p w:rsidR="00F4654E" w:rsidRDefault="00F4654E">
      <w:pPr>
        <w:pStyle w:val="2"/>
      </w:pPr>
      <w:bookmarkStart w:id="1502" w:name="_Toc10115349"/>
      <w:bookmarkStart w:id="1503" w:name="_Toc10731198"/>
      <w:bookmarkStart w:id="1504" w:name="_Toc10731859"/>
      <w:bookmarkStart w:id="1505" w:name="_Toc10891706"/>
      <w:bookmarkStart w:id="1506" w:name="_Toc10892381"/>
      <w:bookmarkStart w:id="1507" w:name="_Toc11390248"/>
      <w:bookmarkStart w:id="1508" w:name="_Toc11937465"/>
      <w:r>
        <w:t>Дашукаева К.Г., Зибров М.А.</w:t>
      </w:r>
      <w:bookmarkEnd w:id="1502"/>
      <w:bookmarkEnd w:id="1503"/>
      <w:bookmarkEnd w:id="1504"/>
      <w:bookmarkEnd w:id="1505"/>
      <w:bookmarkEnd w:id="1506"/>
      <w:bookmarkEnd w:id="1507"/>
      <w:bookmarkEnd w:id="1508"/>
    </w:p>
    <w:p w:rsidR="00F4654E" w:rsidRDefault="00F4654E">
      <w:pPr>
        <w:pStyle w:val="a5"/>
      </w:pPr>
      <w:r>
        <w:t>Воронежский государственный аграрный университет им. К.Д. Глинки</w:t>
      </w:r>
    </w:p>
    <w:p w:rsidR="00F4654E" w:rsidRDefault="00F4654E">
      <w:pPr>
        <w:pStyle w:val="a6"/>
      </w:pPr>
      <w:r>
        <w:t>Общепризнанным является то, что жизнеспособность новорожденного молодняка лисиц и песцов в значительной степени определяется физиол</w:t>
      </w:r>
      <w:r>
        <w:t>о</w:t>
      </w:r>
      <w:r>
        <w:t>гическим состоянием самок в периоды подготовки к гону, гона, береме</w:t>
      </w:r>
      <w:r>
        <w:t>н</w:t>
      </w:r>
      <w:r>
        <w:t>ности, щенения и в послеродовой период. Действие в это время патоге</w:t>
      </w:r>
      <w:r>
        <w:t>н</w:t>
      </w:r>
      <w:r>
        <w:t xml:space="preserve">ных эндогенных и экзогенных факторов приводит к нарушению гомеостаза </w:t>
      </w:r>
      <w:r>
        <w:lastRenderedPageBreak/>
        <w:t>организма самок, влекущее за собой расстройство процессов овуляции, о</w:t>
      </w:r>
      <w:r>
        <w:t>п</w:t>
      </w:r>
      <w:r>
        <w:t>лодотворения, эмбрио- и фетогенеза и, как следствие, малоплодие и бе</w:t>
      </w:r>
      <w:r>
        <w:t>с</w:t>
      </w:r>
      <w:r>
        <w:t>плодие лисиц и песцов, рождение слаборазвитого молодняка и его высокий дорегистрационный отход.</w:t>
      </w:r>
    </w:p>
    <w:p w:rsidR="00F4654E" w:rsidRDefault="00F4654E">
      <w:pPr>
        <w:pStyle w:val="a6"/>
      </w:pPr>
      <w:r>
        <w:t>Перспективным направлением в решении проблемы воспроизвод</w:t>
      </w:r>
      <w:r>
        <w:t>и</w:t>
      </w:r>
      <w:r>
        <w:t>тельной функции самок лисиц и песцов, повышение их плодовитости, а также жизнеспособности и сохранности щенков является применение би</w:t>
      </w:r>
      <w:r>
        <w:t>о</w:t>
      </w:r>
      <w:r>
        <w:t>логически активных препаратов, целенаправленно нормализующих мет</w:t>
      </w:r>
      <w:r>
        <w:t>а</w:t>
      </w:r>
      <w:r>
        <w:t>болический гомеостаз и морфофункциональный статус печени самок в наиболее ответственные периоды их репродуктивного цикла.</w:t>
      </w:r>
    </w:p>
    <w:p w:rsidR="00F4654E" w:rsidRDefault="00F4654E">
      <w:pPr>
        <w:pStyle w:val="a6"/>
      </w:pPr>
      <w:r>
        <w:t>Назначение самкам лисиц и песцов гепатотропного препарата дипр</w:t>
      </w:r>
      <w:r>
        <w:t>о</w:t>
      </w:r>
      <w:r>
        <w:t>моний и гепатотропно-витаминного препарата эндовит  в периоды гона и родов в суточной дозе 50 и 80 мг соответственно способствовало росту и развитию полученных от них щенков. После рождения вес щенков лисиц и песцов, полученных от матерей опытных групп, был выше у самцов на 8,2-23,4%, у самочек – на 12,3-19,1%. После отсадки щенки опытной группы также превосходили по развитию контрольных зверей, при этом самцы – на 5,5-10,1%, а самки – на 3,7-8,0. К 60-120 дням интенсивность роста и развития молодняка, чьим матерям назначали препараты, опережала све</w:t>
      </w:r>
      <w:r>
        <w:t>р</w:t>
      </w:r>
      <w:r>
        <w:t>стников от интактных самок у самцов – на 5,1-16,7%, у самок– на 5,8-8,4%.</w:t>
      </w:r>
    </w:p>
    <w:p w:rsidR="00F4654E" w:rsidRDefault="00F4654E">
      <w:pPr>
        <w:pStyle w:val="a6"/>
      </w:pPr>
      <w:r>
        <w:t>Проведенная визуальная оценка качества опушения зверей показала, что количество лисиц с нарушенным мехообразованием в контрольных группах было больше на 50-55% и у песцов – на 35%, чем в группах, где применялись дипромоний и эндовит.</w:t>
      </w:r>
    </w:p>
    <w:p w:rsidR="00F4654E" w:rsidRDefault="00F4654E">
      <w:pPr>
        <w:pStyle w:val="a6"/>
      </w:pPr>
      <w:r>
        <w:t>Таким образом, включение в рацион самок лисиц и песцов в течение двух недель до и одной недели после гона и двух недель до и одной недели после родов дипромония и эндовита оказало положительное влияние как на рост и развитие получаемых щенков, так и на мехообразование у них.</w:t>
      </w:r>
    </w:p>
    <w:p w:rsidR="00F4654E" w:rsidRDefault="00F4654E">
      <w:pPr>
        <w:pStyle w:val="a4"/>
      </w:pPr>
      <w:r>
        <w:t>УДК 619:618.4:56:678.048:636.2</w:t>
      </w:r>
    </w:p>
    <w:p w:rsidR="00F4654E" w:rsidRDefault="00F4654E">
      <w:pPr>
        <w:pStyle w:val="1"/>
      </w:pPr>
      <w:bookmarkStart w:id="1509" w:name="_Toc10115350"/>
      <w:bookmarkStart w:id="1510" w:name="_Toc10731199"/>
      <w:bookmarkStart w:id="1511" w:name="_Toc10731860"/>
      <w:bookmarkStart w:id="1512" w:name="_Toc10891707"/>
      <w:bookmarkStart w:id="1513" w:name="_Toc10892382"/>
      <w:bookmarkStart w:id="1514" w:name="_Toc11390249"/>
      <w:bookmarkStart w:id="1515" w:name="_Toc11839930"/>
      <w:bookmarkStart w:id="1516" w:name="_Toc11937466"/>
      <w:r>
        <w:t>ПРИМЕНЕНИЕ «СЕЛЕМАГА» ДЛЯ ПРОФИЛАКТИКИ ПАТОЛОГИИ РОДОВ И ПОСЛЕРОДОВОГО ПЕРИОДА У  КОРОВ</w:t>
      </w:r>
      <w:bookmarkEnd w:id="1509"/>
      <w:bookmarkEnd w:id="1510"/>
      <w:bookmarkEnd w:id="1511"/>
      <w:bookmarkEnd w:id="1512"/>
      <w:bookmarkEnd w:id="1513"/>
      <w:bookmarkEnd w:id="1514"/>
      <w:bookmarkEnd w:id="1515"/>
      <w:bookmarkEnd w:id="1516"/>
    </w:p>
    <w:p w:rsidR="00F4654E" w:rsidRDefault="00F4654E">
      <w:pPr>
        <w:pStyle w:val="2"/>
      </w:pPr>
      <w:bookmarkStart w:id="1517" w:name="_Toc10115351"/>
      <w:bookmarkStart w:id="1518" w:name="_Toc10731200"/>
      <w:bookmarkStart w:id="1519" w:name="_Toc10731861"/>
      <w:bookmarkStart w:id="1520" w:name="_Toc10891708"/>
      <w:bookmarkStart w:id="1521" w:name="_Toc10892383"/>
      <w:bookmarkStart w:id="1522" w:name="_Toc11390250"/>
      <w:bookmarkStart w:id="1523" w:name="_Toc11937467"/>
      <w:r>
        <w:t>Дашукаева К.Г., Зибров М.А., Сафонов В.А., Ситникова О.В.</w:t>
      </w:r>
      <w:bookmarkEnd w:id="1517"/>
      <w:bookmarkEnd w:id="1518"/>
      <w:bookmarkEnd w:id="1519"/>
      <w:bookmarkEnd w:id="1520"/>
      <w:bookmarkEnd w:id="1521"/>
      <w:bookmarkEnd w:id="1522"/>
      <w:bookmarkEnd w:id="1523"/>
    </w:p>
    <w:p w:rsidR="00F4654E" w:rsidRDefault="00F4654E">
      <w:pPr>
        <w:pStyle w:val="a5"/>
      </w:pPr>
      <w:r>
        <w:t>Воронежский государственный аграрный университет им. К.Д. Глинки</w:t>
      </w:r>
    </w:p>
    <w:p w:rsidR="00F4654E" w:rsidRDefault="00F4654E">
      <w:pPr>
        <w:pStyle w:val="a6"/>
      </w:pPr>
      <w:r>
        <w:t>Как свидетельствуют исследования большинства отечественных и з</w:t>
      </w:r>
      <w:r>
        <w:t>а</w:t>
      </w:r>
      <w:r>
        <w:t>рубежных учёных, роды и послеродовой период являются наиболее крит</w:t>
      </w:r>
      <w:r>
        <w:t>и</w:t>
      </w:r>
      <w:r>
        <w:t>ческими для развития в матке коров функциональных нарушений и восп</w:t>
      </w:r>
      <w:r>
        <w:t>а</w:t>
      </w:r>
      <w:r>
        <w:t>лительных процессов. Влияние патогенных эндогенных (фетоплацентарная недостаточность, нарушенный обмен веществ) и экзогенных (качестве</w:t>
      </w:r>
      <w:r>
        <w:t>н</w:t>
      </w:r>
      <w:r>
        <w:t>ные и количественные нарушения кормления, несоблюдение зоогигиен</w:t>
      </w:r>
      <w:r>
        <w:t>и</w:t>
      </w:r>
      <w:r>
        <w:t>ческих требований содержания и эксплуатации) факторов в период бер</w:t>
      </w:r>
      <w:r>
        <w:t>е</w:t>
      </w:r>
      <w:r>
        <w:t>менности способствуют более значительному распространению среди м</w:t>
      </w:r>
      <w:r>
        <w:t>а</w:t>
      </w:r>
      <w:r>
        <w:lastRenderedPageBreak/>
        <w:t>точного поголовья родовой и послеродовой патологии. Вследствие этого приобретает актуальность разработка методов и средств по нормализации гомеостаза в организме глубокостельных коров, способствующей физи</w:t>
      </w:r>
      <w:r>
        <w:t>о</w:t>
      </w:r>
      <w:r>
        <w:t>логическому течению процесса родов и инволюции половых органов в п</w:t>
      </w:r>
      <w:r>
        <w:t>о</w:t>
      </w:r>
      <w:r>
        <w:t>слеродовой период.</w:t>
      </w:r>
    </w:p>
    <w:p w:rsidR="00F4654E" w:rsidRDefault="00F4654E">
      <w:pPr>
        <w:pStyle w:val="a6"/>
      </w:pPr>
      <w:r>
        <w:t>Нами изучена эффективность применения селемага (в 1 мл содержи</w:t>
      </w:r>
      <w:r>
        <w:t>т</w:t>
      </w:r>
      <w:r>
        <w:t xml:space="preserve">ся витамина Е 25 мг и селенита натрия 2,2 мг) для профилактики родовой и послеродовой патологии у 30 коров, которые были распределены на 3 группы. </w:t>
      </w:r>
    </w:p>
    <w:p w:rsidR="00F4654E" w:rsidRDefault="00F4654E">
      <w:pPr>
        <w:pStyle w:val="a6"/>
      </w:pPr>
      <w:r>
        <w:t>Коровам первой группы (n=10) за 30 дней до отёла вводили селемаг однократно внутриматочно в дозе 5 мл на 100 кг массы тела (20-25 мл).  Животным второй группы (n=10) за 20 дней до отёла назначали этот же препарат в той же дозе. Коровам третьей группы (n=10) никаких препар</w:t>
      </w:r>
      <w:r>
        <w:t>а</w:t>
      </w:r>
      <w:r>
        <w:t>тов не назначали и они служили контролем. Профилактическая эффекти</w:t>
      </w:r>
      <w:r>
        <w:t>в</w:t>
      </w:r>
      <w:r>
        <w:t>ность препарата оценивалась по степени возникновения у коров акуше</w:t>
      </w:r>
      <w:r>
        <w:t>р</w:t>
      </w:r>
      <w:r>
        <w:t>ской патологии. Кроме того, учитывали процент оплодотворения живо</w:t>
      </w:r>
      <w:r>
        <w:t>т</w:t>
      </w:r>
      <w:r>
        <w:t>ных, период от отёла до оплодотворения, количество дней бесплодия, среднесуточную молочную продуктивность в послеродовой период и заб</w:t>
      </w:r>
      <w:r>
        <w:t>о</w:t>
      </w:r>
      <w:r>
        <w:t xml:space="preserve">леваемость новорождённых телят диспепсией. </w:t>
      </w:r>
    </w:p>
    <w:p w:rsidR="00F4654E" w:rsidRDefault="00F4654E">
      <w:pPr>
        <w:pStyle w:val="a6"/>
      </w:pPr>
      <w:r>
        <w:t>Контроль за характером течения родов и послеродового периода у к</w:t>
      </w:r>
      <w:r>
        <w:t>о</w:t>
      </w:r>
      <w:r>
        <w:t>ров с использованием клинико-акушерских методов исследования позв</w:t>
      </w:r>
      <w:r>
        <w:t>о</w:t>
      </w:r>
      <w:r>
        <w:t>лил зарегистрировать патологию родов (задержание последа) и послерод</w:t>
      </w:r>
      <w:r>
        <w:t>о</w:t>
      </w:r>
      <w:r>
        <w:t>вого периода (послеродовой эндометрит) в контрольной группе у 5 и 6 ж</w:t>
      </w:r>
      <w:r>
        <w:t>и</w:t>
      </w:r>
      <w:r>
        <w:t>вотных соответственно, что составило 50% и 60%. Внутримышечная ин</w:t>
      </w:r>
      <w:r>
        <w:t>ъ</w:t>
      </w:r>
      <w:r>
        <w:t>екция селемага за 30 дней до отёла обеспечила отсутствие родовой патол</w:t>
      </w:r>
      <w:r>
        <w:t>о</w:t>
      </w:r>
      <w:r>
        <w:t>гии и снижение послеродовой до 10%.</w:t>
      </w:r>
    </w:p>
    <w:p w:rsidR="00F4654E" w:rsidRDefault="00F4654E">
      <w:pPr>
        <w:pStyle w:val="a6"/>
      </w:pPr>
      <w:r>
        <w:t>При введении селемага за 20 дней до отёла задержание последа было зарегистрировано у 1 коровы (10%) и послеродовой эндометрит - у 2 (20%).</w:t>
      </w:r>
    </w:p>
    <w:p w:rsidR="00F4654E" w:rsidRDefault="00F4654E">
      <w:pPr>
        <w:pStyle w:val="a6"/>
      </w:pPr>
      <w:r>
        <w:t>Сопоставление данных по заболеваемости коров разных групп позв</w:t>
      </w:r>
      <w:r>
        <w:t>о</w:t>
      </w:r>
      <w:r>
        <w:t>ляет заключить, что выделение лохий и экссудата у животных контрол</w:t>
      </w:r>
      <w:r>
        <w:t>ь</w:t>
      </w:r>
      <w:r>
        <w:t>ной группы в среднем прекратилось через 31,8</w:t>
      </w:r>
      <w:r>
        <w:sym w:font="Symbol" w:char="F0B1"/>
      </w:r>
      <w:r>
        <w:t>0,3 дней, у коров первой группы – через 14,3</w:t>
      </w:r>
      <w:r>
        <w:sym w:font="Symbol" w:char="F0B1"/>
      </w:r>
      <w:r>
        <w:t>0,1 дней и второй – через 16,2</w:t>
      </w:r>
      <w:r>
        <w:sym w:font="Symbol" w:char="F0B1"/>
      </w:r>
      <w:r>
        <w:t>0,3 дней. Послерод</w:t>
      </w:r>
      <w:r>
        <w:t>о</w:t>
      </w:r>
      <w:r>
        <w:t>вые инволюционные процессы в половых органах завершились через 37,3</w:t>
      </w:r>
      <w:r>
        <w:sym w:font="Symbol" w:char="F0B1"/>
      </w:r>
      <w:r>
        <w:t>0,8; 24,5</w:t>
      </w:r>
      <w:r>
        <w:sym w:font="Symbol" w:char="F0B1"/>
      </w:r>
      <w:r>
        <w:t>0,2 и 28,0</w:t>
      </w:r>
      <w:r>
        <w:sym w:font="Symbol" w:char="F0B1"/>
      </w:r>
      <w:r>
        <w:t>0,5 дней соответственно. Продолжительность бесплодия в контрольной группе составила 49,4</w:t>
      </w:r>
      <w:r>
        <w:sym w:font="Symbol" w:char="F0B1"/>
      </w:r>
      <w:r>
        <w:t>2,3 дней, тогда как в пе</w:t>
      </w:r>
      <w:r>
        <w:t>р</w:t>
      </w:r>
      <w:r>
        <w:t>вой – 17,5</w:t>
      </w:r>
      <w:r>
        <w:sym w:font="Symbol" w:char="F0B1"/>
      </w:r>
      <w:r>
        <w:t>1,6 и во второй – 26,2</w:t>
      </w:r>
      <w:r>
        <w:sym w:font="Symbol" w:char="F0B1"/>
      </w:r>
      <w:r>
        <w:t>3,1 дней.</w:t>
      </w:r>
    </w:p>
    <w:p w:rsidR="00F4654E" w:rsidRDefault="00F4654E">
      <w:pPr>
        <w:pStyle w:val="a6"/>
      </w:pPr>
      <w:r>
        <w:t>Среднесуточный удой в послеродовой период у коров контрольной группы был 11,4</w:t>
      </w:r>
      <w:r>
        <w:sym w:font="Symbol" w:char="F0B1"/>
      </w:r>
      <w:r>
        <w:t>0,41 кг, а у коров опытных групп – 15,6</w:t>
      </w:r>
      <w:r>
        <w:sym w:font="Symbol" w:char="F0B1"/>
      </w:r>
      <w:r>
        <w:t>0,41 и 12,5</w:t>
      </w:r>
      <w:r>
        <w:sym w:font="Symbol" w:char="F0B1"/>
      </w:r>
      <w:r>
        <w:t>0,51 кг соответственно.</w:t>
      </w:r>
    </w:p>
    <w:p w:rsidR="00F4654E" w:rsidRDefault="00F4654E">
      <w:pPr>
        <w:pStyle w:val="a6"/>
      </w:pPr>
      <w:r>
        <w:t>Положительный эффект препарат «Селемаг» сказался и на новоро</w:t>
      </w:r>
      <w:r>
        <w:t>ж</w:t>
      </w:r>
      <w:r>
        <w:t>дённых телятах. У телят, чьим матерям вводили селемаг за 30 дней до от</w:t>
      </w:r>
      <w:r>
        <w:t>ё</w:t>
      </w:r>
      <w:r>
        <w:lastRenderedPageBreak/>
        <w:t>ла, диспепсия не была зарегистрирована. При введении препарата за 20 дней до отёла диспепсией переболело 20% новорождённых телят, тогда как в контрольной группе (препарат не назначался) – 63,6%.</w:t>
      </w:r>
    </w:p>
    <w:p w:rsidR="00F4654E" w:rsidRDefault="00F4654E">
      <w:pPr>
        <w:pStyle w:val="a6"/>
      </w:pPr>
      <w:r>
        <w:t>Таким образом,  внутримышечное введение коровам селемага за 30 дней до отёла является эффективным методом активизации инволюцио</w:t>
      </w:r>
      <w:r>
        <w:t>н</w:t>
      </w:r>
      <w:r>
        <w:t>ных процессов в половых органах и профилактики развития в них восп</w:t>
      </w:r>
      <w:r>
        <w:t>а</w:t>
      </w:r>
      <w:r>
        <w:t>лительного процесса. Заслуживает внимание для этих целей также введ</w:t>
      </w:r>
      <w:r>
        <w:t>е</w:t>
      </w:r>
      <w:r>
        <w:t>ние препарата за 20 дней до отёла.</w:t>
      </w:r>
    </w:p>
    <w:p w:rsidR="00F4654E" w:rsidRDefault="00F4654E">
      <w:pPr>
        <w:pStyle w:val="a4"/>
      </w:pPr>
      <w:r>
        <w:t>УДК 619:618.145:615.2814:619:618.36:636.2</w:t>
      </w:r>
    </w:p>
    <w:p w:rsidR="00F4654E" w:rsidRDefault="00F4654E">
      <w:pPr>
        <w:pStyle w:val="1"/>
      </w:pPr>
      <w:bookmarkStart w:id="1524" w:name="_Toc10115352"/>
      <w:bookmarkStart w:id="1525" w:name="_Toc10731201"/>
      <w:bookmarkStart w:id="1526" w:name="_Toc10731862"/>
      <w:bookmarkStart w:id="1527" w:name="_Toc10891709"/>
      <w:bookmarkStart w:id="1528" w:name="_Toc10892384"/>
      <w:bookmarkStart w:id="1529" w:name="_Toc11390251"/>
      <w:bookmarkStart w:id="1530" w:name="_Toc11839932"/>
      <w:bookmarkStart w:id="1531" w:name="_Toc11937468"/>
      <w:r>
        <w:t>ЭФФЕКТИВНОСТЬ «ЭНДОМЕТРАМАГА-К» ПРИ ТЕРАПИИ БОЛЬНЫХ ПОСЛЕРОДОВЫМ ЭНДОМЕТРИТОМ КОРОВ</w:t>
      </w:r>
      <w:bookmarkEnd w:id="1524"/>
      <w:bookmarkEnd w:id="1525"/>
      <w:bookmarkEnd w:id="1526"/>
      <w:bookmarkEnd w:id="1527"/>
      <w:bookmarkEnd w:id="1528"/>
      <w:bookmarkEnd w:id="1529"/>
      <w:bookmarkEnd w:id="1530"/>
      <w:bookmarkEnd w:id="1531"/>
    </w:p>
    <w:p w:rsidR="00F4654E" w:rsidRDefault="00F4654E">
      <w:pPr>
        <w:pStyle w:val="2"/>
      </w:pPr>
      <w:bookmarkStart w:id="1532" w:name="_Toc10115353"/>
      <w:bookmarkStart w:id="1533" w:name="_Toc10731202"/>
      <w:bookmarkStart w:id="1534" w:name="_Toc10731863"/>
      <w:bookmarkStart w:id="1535" w:name="_Toc10891710"/>
      <w:bookmarkStart w:id="1536" w:name="_Toc10892385"/>
      <w:bookmarkStart w:id="1537" w:name="_Toc11390252"/>
      <w:bookmarkStart w:id="1538" w:name="_Toc11937469"/>
      <w:r>
        <w:t>Дашукаева К.Г., Зибров М.А., Сафонов В.А., Усова Н.Е.</w:t>
      </w:r>
      <w:bookmarkEnd w:id="1532"/>
      <w:bookmarkEnd w:id="1533"/>
      <w:bookmarkEnd w:id="1534"/>
      <w:bookmarkEnd w:id="1535"/>
      <w:bookmarkEnd w:id="1536"/>
      <w:bookmarkEnd w:id="1537"/>
      <w:bookmarkEnd w:id="1538"/>
    </w:p>
    <w:p w:rsidR="00F4654E" w:rsidRDefault="00F4654E">
      <w:pPr>
        <w:pStyle w:val="a5"/>
      </w:pPr>
      <w:r>
        <w:t>Воронежский государственный аграрный университет им. К.Д. Глинки</w:t>
      </w:r>
    </w:p>
    <w:p w:rsidR="00F4654E" w:rsidRDefault="00F4654E">
      <w:pPr>
        <w:pStyle w:val="a6"/>
      </w:pPr>
      <w:r>
        <w:t>В решении проблемы повышения рентабельности молочного скот</w:t>
      </w:r>
      <w:r>
        <w:t>о</w:t>
      </w:r>
      <w:r>
        <w:t>водства большое значение имеет ликвидация симптоматического беспл</w:t>
      </w:r>
      <w:r>
        <w:t>о</w:t>
      </w:r>
      <w:r>
        <w:t>дия, обусловленного болезнями органов репродуктивной системы, из к</w:t>
      </w:r>
      <w:r>
        <w:t>о</w:t>
      </w:r>
      <w:r>
        <w:t>торых наибольший процент приходится на послеродовую патологию. Н</w:t>
      </w:r>
      <w:r>
        <w:t>е</w:t>
      </w:r>
      <w:r>
        <w:t>специфическим воспалением матки в послеродовой период переболевают до 40-80% отелившихся коров, что связано с переводом молочного скот</w:t>
      </w:r>
      <w:r>
        <w:t>о</w:t>
      </w:r>
      <w:r>
        <w:t>водства на промышленную основу, сопряжённую с сокращением до мин</w:t>
      </w:r>
      <w:r>
        <w:t>и</w:t>
      </w:r>
      <w:r>
        <w:t xml:space="preserve">мума моциона животных при однообразном неполноценном их кормлении. </w:t>
      </w:r>
    </w:p>
    <w:p w:rsidR="00F4654E" w:rsidRDefault="00F4654E">
      <w:pPr>
        <w:pStyle w:val="a6"/>
      </w:pPr>
      <w:r>
        <w:t>В настоящее время предложено и применяются разнообразные мет</w:t>
      </w:r>
      <w:r>
        <w:t>о</w:t>
      </w:r>
      <w:r>
        <w:t>ды и средства терапии коров с послеродовыми эндометритами, но вследс</w:t>
      </w:r>
      <w:r>
        <w:t>т</w:t>
      </w:r>
      <w:r>
        <w:t>вие ряда причин (появление резистентных штаммов патогенных и условно-патогенных микроорганизмов, экологическая небезопасность, высокая стоимость) ветеринарная наука и практика продолжают изыскание новых более эффективных средств и методов лечения и профилактики данной п</w:t>
      </w:r>
      <w:r>
        <w:t>а</w:t>
      </w:r>
      <w:r>
        <w:t>тологии.</w:t>
      </w:r>
    </w:p>
    <w:p w:rsidR="00F4654E" w:rsidRDefault="00F4654E">
      <w:pPr>
        <w:pStyle w:val="a6"/>
      </w:pPr>
      <w:r>
        <w:t>Нами изучена эффективность комплексного препарата «Эндометр</w:t>
      </w:r>
      <w:r>
        <w:t>а</w:t>
      </w:r>
      <w:r>
        <w:t>маг-К» (включает калистин (полимиксин), гентамицин, карбахолин, вит</w:t>
      </w:r>
      <w:r>
        <w:t>а</w:t>
      </w:r>
      <w:r>
        <w:t>мины А и Е) в терапии 30 больных послеродовым эндометритом коров, к</w:t>
      </w:r>
      <w:r>
        <w:t>о</w:t>
      </w:r>
      <w:r>
        <w:t>торые были распределены на три группы. Коровам первой группы (n=10) с первого дня лечения внутриматочно дважды с интервалом 24 часа вводили «Эндометрамаг-К» в дозе 100 мл. Животным второй группы (n=10) после диагностики острого послеродового эндометрита дважды внутриматочно вводили  препарат в той же дозе, но с интервалом введения 48 часов. Кор</w:t>
      </w:r>
      <w:r>
        <w:t>о</w:t>
      </w:r>
      <w:r>
        <w:t>вы третьей группы служили контролем и им с первого дня лечения назн</w:t>
      </w:r>
      <w:r>
        <w:t>а</w:t>
      </w:r>
      <w:r>
        <w:t>чали синэстрол, окситоцин, фуразолидоновые палочки согласно наставл</w:t>
      </w:r>
      <w:r>
        <w:t>е</w:t>
      </w:r>
      <w:r>
        <w:t>нию по их применению на фоне внутримышечного введения 7%-ного ра</w:t>
      </w:r>
      <w:r>
        <w:t>с</w:t>
      </w:r>
      <w:r>
        <w:t>твора ихтиола на 40%-ном растворе глюкозы в повышающе-понижаю-щихся дозах с интервалом 48 часов.</w:t>
      </w:r>
    </w:p>
    <w:p w:rsidR="00F4654E" w:rsidRDefault="00F4654E">
      <w:pPr>
        <w:pStyle w:val="a6"/>
      </w:pPr>
      <w:r>
        <w:lastRenderedPageBreak/>
        <w:t>За всеми включёнными в опыт животными вели постоянное клинич</w:t>
      </w:r>
      <w:r>
        <w:t>е</w:t>
      </w:r>
      <w:r>
        <w:t>ское наблюдение и учитывали у них продолжительность курса лечения, сроки завершения инволюции половых органов, продолжительность п</w:t>
      </w:r>
      <w:r>
        <w:t>е</w:t>
      </w:r>
      <w:r>
        <w:t>риода от отёла до плодотворного осеменения.</w:t>
      </w:r>
    </w:p>
    <w:p w:rsidR="00F4654E" w:rsidRDefault="00F4654E">
      <w:pPr>
        <w:pStyle w:val="a6"/>
      </w:pPr>
      <w:r>
        <w:t>В контрольной группе остались не выздоровевшими 2 коровы или 20%, тогда как назначение «Эндометрамага-К» способствовало 100%0му выздоровлению животных. Продолжительность лечения в контрольной группе составила 24,2</w:t>
      </w:r>
      <w:r>
        <w:sym w:font="Symbol" w:char="F0B1"/>
      </w:r>
      <w:r>
        <w:t>1,3 дня, что больше, чем в первой группе на 12,8 дня (11,4</w:t>
      </w:r>
      <w:r>
        <w:sym w:font="Symbol" w:char="F0B1"/>
      </w:r>
      <w:r>
        <w:t>1,12 дней, Р</w:t>
      </w:r>
      <w:r>
        <w:sym w:font="Symbol" w:char="F03C"/>
      </w:r>
      <w:r>
        <w:t>0,001) и во второй – на 7,7 дня (16,5</w:t>
      </w:r>
      <w:r>
        <w:sym w:font="Symbol" w:char="F0B1"/>
      </w:r>
      <w:r>
        <w:t>1,0 дней, Р</w:t>
      </w:r>
      <w:r>
        <w:sym w:font="Symbol" w:char="F03C"/>
      </w:r>
      <w:r>
        <w:t>0,01). Инволюция половых органов у выздоровевших коров контрол</w:t>
      </w:r>
      <w:r>
        <w:t>ь</w:t>
      </w:r>
      <w:r>
        <w:t>ной группы завершилась через 39,3</w:t>
      </w:r>
      <w:r>
        <w:sym w:font="Symbol" w:char="F0B1"/>
      </w:r>
      <w:r>
        <w:t>2,14 дней, тогда как у животных, к</w:t>
      </w:r>
      <w:r>
        <w:t>о</w:t>
      </w:r>
      <w:r>
        <w:t>торым назначали «Эндометрамаг-К» - через 29,0</w:t>
      </w:r>
      <w:r>
        <w:sym w:font="Symbol" w:char="F0B1"/>
      </w:r>
      <w:r>
        <w:t>1,53 в первой и 33,8</w:t>
      </w:r>
      <w:r>
        <w:sym w:font="Symbol" w:char="F0B1"/>
      </w:r>
      <w:r>
        <w:t>1,73 дней во второй группах. Оплодотворяемость коров от первого осеменения в контрольной группе составила 40%, тогда как в опытных группах – 80 и 70% соответственно. Продолжительность бесплодия по группам составила 59,1</w:t>
      </w:r>
      <w:r>
        <w:sym w:font="Symbol" w:char="F0B1"/>
      </w:r>
      <w:r>
        <w:t>6,6; 38,9</w:t>
      </w:r>
      <w:r>
        <w:sym w:font="Symbol" w:char="F0B1"/>
      </w:r>
      <w:r>
        <w:t>5,0 и 51,9</w:t>
      </w:r>
      <w:r>
        <w:sym w:font="Symbol" w:char="F0B1"/>
      </w:r>
      <w:r>
        <w:t>6,0 дней соответственно.</w:t>
      </w:r>
    </w:p>
    <w:p w:rsidR="00F4654E" w:rsidRDefault="00F4654E">
      <w:pPr>
        <w:pStyle w:val="a6"/>
      </w:pPr>
      <w:r>
        <w:t>Таким образом, внутриматочное введение «Эндометрамага-К» два</w:t>
      </w:r>
      <w:r>
        <w:t>ж</w:t>
      </w:r>
      <w:r>
        <w:t>ды с интервалом 24 часа в дозе 100 мл является эффективным методом т</w:t>
      </w:r>
      <w:r>
        <w:t>е</w:t>
      </w:r>
      <w:r>
        <w:t xml:space="preserve">рапии коров, больных послеродовым эндометритом.    </w:t>
      </w:r>
    </w:p>
    <w:p w:rsidR="00F4654E" w:rsidRDefault="00F4654E">
      <w:pPr>
        <w:pStyle w:val="a4"/>
      </w:pPr>
      <w:r>
        <w:t>УДК 619</w:t>
      </w:r>
      <w:r>
        <w:sym w:font="Symbol" w:char="F03A"/>
      </w:r>
      <w:r>
        <w:t>615.3</w:t>
      </w:r>
      <w:r>
        <w:sym w:font="Symbol" w:char="F03A"/>
      </w:r>
      <w:r>
        <w:t>636.22/.28</w:t>
      </w:r>
    </w:p>
    <w:p w:rsidR="00F4654E" w:rsidRDefault="00F4654E">
      <w:pPr>
        <w:pStyle w:val="1"/>
      </w:pPr>
      <w:bookmarkStart w:id="1539" w:name="_Toc10731205"/>
      <w:bookmarkStart w:id="1540" w:name="_Toc10731866"/>
      <w:bookmarkStart w:id="1541" w:name="_Toc10891713"/>
      <w:bookmarkStart w:id="1542" w:name="_Toc10892388"/>
      <w:bookmarkStart w:id="1543" w:name="_Toc11390255"/>
      <w:bookmarkStart w:id="1544" w:name="_Toc11839936"/>
      <w:bookmarkStart w:id="1545" w:name="_Toc11937470"/>
      <w:r>
        <w:t>ВЛИЯНИЕ СЕЛЕКОРА НА КЛИНИКО – БИОХИМИЧЕСКИЕ ПОКАЗАТЕЛИ НОВОРОЖДЕННЫХ ТЕЛЯТ при применении его коровам – МАТЕРЯМ</w:t>
      </w:r>
      <w:bookmarkEnd w:id="1539"/>
      <w:bookmarkEnd w:id="1540"/>
      <w:bookmarkEnd w:id="1541"/>
      <w:bookmarkEnd w:id="1542"/>
      <w:bookmarkEnd w:id="1543"/>
      <w:bookmarkEnd w:id="1544"/>
      <w:bookmarkEnd w:id="1545"/>
    </w:p>
    <w:p w:rsidR="00F4654E" w:rsidRDefault="00F4654E">
      <w:pPr>
        <w:pStyle w:val="2"/>
      </w:pPr>
      <w:bookmarkStart w:id="1546" w:name="_Toc10731206"/>
      <w:bookmarkStart w:id="1547" w:name="_Toc10731867"/>
      <w:bookmarkStart w:id="1548" w:name="_Toc10891714"/>
      <w:bookmarkStart w:id="1549" w:name="_Toc10892389"/>
      <w:bookmarkStart w:id="1550" w:name="_Toc11390256"/>
      <w:bookmarkStart w:id="1551" w:name="_Toc11937471"/>
      <w:r>
        <w:t>Дегтярев Д.В., Костына М.А.</w:t>
      </w:r>
      <w:bookmarkEnd w:id="1546"/>
      <w:bookmarkEnd w:id="1547"/>
      <w:bookmarkEnd w:id="1548"/>
      <w:bookmarkEnd w:id="1549"/>
      <w:r>
        <w:t>, Беляев В.И.</w:t>
      </w:r>
      <w:bookmarkEnd w:id="1550"/>
      <w:bookmarkEnd w:id="1551"/>
    </w:p>
    <w:p w:rsidR="00F4654E" w:rsidRDefault="00F4654E">
      <w:pPr>
        <w:pStyle w:val="a5"/>
      </w:pPr>
      <w:r>
        <w:t>Всероссийский НИВИ патологии, фармакологии и терапии</w:t>
      </w:r>
    </w:p>
    <w:p w:rsidR="00F4654E" w:rsidRDefault="00F4654E">
      <w:pPr>
        <w:pStyle w:val="a6"/>
      </w:pPr>
      <w:r>
        <w:tab/>
        <w:t>В настоящее время во многих хозяйствах страны для улучшения к</w:t>
      </w:r>
      <w:r>
        <w:t>а</w:t>
      </w:r>
      <w:r>
        <w:t>чества кормов добавляют недостающие до нормы микроэлементы – жел</w:t>
      </w:r>
      <w:r>
        <w:t>е</w:t>
      </w:r>
      <w:r>
        <w:t>зо, кобальт, йод, медь и другие, но в тоже время мало внимания уделяют обогащению кормов таким жизненно важным микроэлементом, как селен.</w:t>
      </w:r>
    </w:p>
    <w:p w:rsidR="00F4654E" w:rsidRDefault="00F4654E">
      <w:pPr>
        <w:pStyle w:val="a6"/>
      </w:pPr>
      <w:r>
        <w:t>Селен является мощным антиоксидантом. Он контролирует окисл</w:t>
      </w:r>
      <w:r>
        <w:t>и</w:t>
      </w:r>
      <w:r>
        <w:t>тельно – восстановительные процессы на клеточном уровне (обмен глюк</w:t>
      </w:r>
      <w:r>
        <w:t>о</w:t>
      </w:r>
      <w:r>
        <w:t>зы, цикл Кребса, калиево – натриево – кальциевый обмен и др.). В после</w:t>
      </w:r>
      <w:r>
        <w:t>д</w:t>
      </w:r>
      <w:r>
        <w:t>нее время поступает информация об участии селена в иммунных реакциях в с</w:t>
      </w:r>
      <w:r>
        <w:t>о</w:t>
      </w:r>
      <w:r>
        <w:t>ставе селенопротеинов, обмене тиреоидных гормонов, что позволяет использовать препараты этого микроэлемента в качестве иммуностимул</w:t>
      </w:r>
      <w:r>
        <w:t>я</w:t>
      </w:r>
      <w:r>
        <w:t>торов.</w:t>
      </w:r>
    </w:p>
    <w:p w:rsidR="00F4654E" w:rsidRDefault="00F4654E">
      <w:pPr>
        <w:pStyle w:val="a6"/>
      </w:pPr>
      <w:r>
        <w:t>В связи с выше изложенным, целью наших исследований явилось</w:t>
      </w:r>
      <w:r>
        <w:sym w:font="Symbol" w:char="F03A"/>
      </w:r>
      <w:r>
        <w:t xml:space="preserve"> оценить профилактическую эффективность нового органического селенс</w:t>
      </w:r>
      <w:r>
        <w:t>о</w:t>
      </w:r>
      <w:r>
        <w:t>держащего препарата селекора при желудочно – кишечных болезнях нов</w:t>
      </w:r>
      <w:r>
        <w:t>о</w:t>
      </w:r>
      <w:r>
        <w:t>рожденных телят путем воздействия на сухостойных коров.</w:t>
      </w:r>
    </w:p>
    <w:p w:rsidR="00F4654E" w:rsidRDefault="00F4654E">
      <w:pPr>
        <w:pStyle w:val="a6"/>
      </w:pPr>
      <w:r>
        <w:lastRenderedPageBreak/>
        <w:t xml:space="preserve">С этой целью был проведен эксперимент в ФУП </w:t>
      </w:r>
      <w:r>
        <w:sym w:font="Symbol" w:char="F0B2"/>
      </w:r>
      <w:r>
        <w:t>Кировский</w:t>
      </w:r>
      <w:r>
        <w:sym w:font="Symbol" w:char="F0B2"/>
      </w:r>
      <w:r>
        <w:t xml:space="preserve"> Нов</w:t>
      </w:r>
      <w:r>
        <w:t>о</w:t>
      </w:r>
      <w:r>
        <w:t>усманского района Воронежской области. Было подобрано 3 группы сух</w:t>
      </w:r>
      <w:r>
        <w:t>о</w:t>
      </w:r>
      <w:r>
        <w:t>стойных коров по 5 голов в каждой. Первая группа служила отрицател</w:t>
      </w:r>
      <w:r>
        <w:t>ь</w:t>
      </w:r>
      <w:r>
        <w:t>ным контролем. Каких – либо препаратов ей не применяли. Вторая группа служила положительным контролем. Животным этой группы в начале с</w:t>
      </w:r>
      <w:r>
        <w:t>у</w:t>
      </w:r>
      <w:r>
        <w:t>хостоя внутримышечно вводили селенит натрия в дозе 100мкг/кг в раств</w:t>
      </w:r>
      <w:r>
        <w:t>о</w:t>
      </w:r>
      <w:r>
        <w:t>ре. Третья группа коров была опытной. Им парентерально вводили новый органический селенсодержащий препарат селекор в дозе 10мкг/кг. Усл</w:t>
      </w:r>
      <w:r>
        <w:t>о</w:t>
      </w:r>
      <w:r>
        <w:t>вия содержания, кормления и ухода за подопытными животными были одинаковыми. Как за коровами, так и за родившимися от них телятами в</w:t>
      </w:r>
      <w:r>
        <w:t>е</w:t>
      </w:r>
      <w:r>
        <w:t>ли тщательное клиническое наблюдение. У телят определяли температуру тела, частоту сердечных сокращений и дыхания в первый час при рожд</w:t>
      </w:r>
      <w:r>
        <w:t>е</w:t>
      </w:r>
      <w:r>
        <w:t>нии, в 1 – 3, 8 – 10 и 25 – 35-суточном возрасте. Для биохимических иссл</w:t>
      </w:r>
      <w:r>
        <w:t>е</w:t>
      </w:r>
      <w:r>
        <w:t>дований у них брали кровь в эти же периоды. При заболевании телят кол</w:t>
      </w:r>
      <w:r>
        <w:t>и</w:t>
      </w:r>
      <w:r>
        <w:t>бактериозом и воспалением пуповины регистрировали начало и конец к</w:t>
      </w:r>
      <w:r>
        <w:t>а</w:t>
      </w:r>
      <w:r>
        <w:t>ждой болезни, степень тяжести сочетанной патологии, толщину пупочного канатика. При исследовании крови определяли содержание общего белка с помощью рефрактометра (Ю.Б. Филлипович с соавт., 1975), уровень моч</w:t>
      </w:r>
      <w:r>
        <w:t>е</w:t>
      </w:r>
      <w:r>
        <w:t>вины по цветной реакции диацетилмонооксином (Д.Я. Луцкий, 1974), среднемолекулярные токсические соединения при волне спектрофотоме</w:t>
      </w:r>
      <w:r>
        <w:t>т</w:t>
      </w:r>
      <w:r>
        <w:t>ра 237, 254 и 280 нм – по Н.И. Габриэлян с соавт. (1985).</w:t>
      </w:r>
    </w:p>
    <w:p w:rsidR="00F4654E" w:rsidRDefault="00F4654E">
      <w:pPr>
        <w:pStyle w:val="a6"/>
      </w:pPr>
      <w:r>
        <w:t>Опытами установлено, что введение коровам селекора в начале сух</w:t>
      </w:r>
      <w:r>
        <w:t>о</w:t>
      </w:r>
      <w:r>
        <w:t>стойного периода положительно сказалось на клинико – биохимической характеристике полученных от них телят. Уровень белка у новорожденных 3-й группы достоверно возрос, что свидетельствовало о лучшей усвояем</w:t>
      </w:r>
      <w:r>
        <w:t>о</w:t>
      </w:r>
      <w:r>
        <w:t>сти более качественного молозива. Уровень мочевины, наоборот, дост</w:t>
      </w:r>
      <w:r>
        <w:t>о</w:t>
      </w:r>
      <w:r>
        <w:t>верно уменьшился, что указывает на улучшение синтетических процессов в организме по сравнению с телятами других групп. Отмечено достоверное (р</w:t>
      </w:r>
      <w:r>
        <w:sym w:font="Symbol" w:char="F03C"/>
      </w:r>
      <w:r>
        <w:t>0,01) снижение уровня среднемолекулярных токсических соединений с длинами волн 237 и 280 нм, куда входит основная масса креатина и кре</w:t>
      </w:r>
      <w:r>
        <w:t>а</w:t>
      </w:r>
      <w:r>
        <w:t>тинина, среднемолекулярных пептидов, производных глюкуроновых к</w:t>
      </w:r>
      <w:r>
        <w:t>и</w:t>
      </w:r>
      <w:r>
        <w:t>слот и полиаминов. Все это подтверждает уменьшение явлений эндоге</w:t>
      </w:r>
      <w:r>
        <w:t>н</w:t>
      </w:r>
      <w:r>
        <w:t>ной интоксикации и уремической симптоматики у телят 3-й группы.</w:t>
      </w:r>
    </w:p>
    <w:p w:rsidR="00F4654E" w:rsidRDefault="00F4654E">
      <w:pPr>
        <w:pStyle w:val="a6"/>
      </w:pPr>
      <w:r>
        <w:t>Из полученных клинических данных выявили, что в 1 группе забол</w:t>
      </w:r>
      <w:r>
        <w:t>е</w:t>
      </w:r>
      <w:r>
        <w:t>ваемость регистрировалась в среднем на 4,5</w:t>
      </w:r>
      <w:r>
        <w:sym w:font="Symbol" w:char="F0B1"/>
      </w:r>
      <w:r>
        <w:t>3,5 день, продолжительность болезни составила 7,5</w:t>
      </w:r>
      <w:r>
        <w:sym w:font="Symbol" w:char="F0B1"/>
      </w:r>
      <w:r>
        <w:t>2,5 дней. Отмечалось колебание температуры тела от 38,5 до 40,5</w:t>
      </w:r>
      <w:r>
        <w:sym w:font="Symbol" w:char="F0B0"/>
      </w:r>
      <w:r>
        <w:t>С. в этой группе колибактериоз протекал преимущественно в тяжелой форме, один теленок пал.</w:t>
      </w:r>
    </w:p>
    <w:p w:rsidR="00F4654E" w:rsidRDefault="00F4654E">
      <w:pPr>
        <w:pStyle w:val="a6"/>
      </w:pPr>
      <w:r>
        <w:t>Во 2-й группе заболевание начиналось на 4,1</w:t>
      </w:r>
      <w:r>
        <w:sym w:font="Symbol" w:char="F0B1"/>
      </w:r>
      <w:r>
        <w:t>0,7 день, продолж</w:t>
      </w:r>
      <w:r>
        <w:t>и</w:t>
      </w:r>
      <w:r>
        <w:t>тельность которого составила 7,8</w:t>
      </w:r>
      <w:r>
        <w:sym w:font="Symbol" w:char="F0B1"/>
      </w:r>
      <w:r>
        <w:t>1,9 дней. Температура колебалась от 38,3 до 40,3</w:t>
      </w:r>
      <w:r>
        <w:sym w:font="Symbol" w:char="F0B0"/>
      </w:r>
      <w:r>
        <w:t>С. в данной группе колибактериоз протекал умеренно – тяж</w:t>
      </w:r>
      <w:r>
        <w:t>е</w:t>
      </w:r>
      <w:r>
        <w:lastRenderedPageBreak/>
        <w:t>ло и тяжело. Один теленок пал от септической формы энтерита на 7 день жизни, а другой теленок – от омфалита.</w:t>
      </w:r>
    </w:p>
    <w:p w:rsidR="00F4654E" w:rsidRDefault="00F4654E">
      <w:pPr>
        <w:pStyle w:val="a6"/>
      </w:pPr>
      <w:r>
        <w:t>В 3-й группе заболевание колибактериозом начиналось на 2</w:t>
      </w:r>
      <w:r>
        <w:sym w:font="Symbol" w:char="F0B1"/>
      </w:r>
      <w:r>
        <w:t>1 день, продолжительность составила 6,5</w:t>
      </w:r>
      <w:r>
        <w:sym w:font="Symbol" w:char="F0B1"/>
      </w:r>
      <w:r>
        <w:t>2,5 дней. Температура тела составила 38,8 – 40,0</w:t>
      </w:r>
      <w:r>
        <w:sym w:font="Symbol" w:char="F0B0"/>
      </w:r>
      <w:r>
        <w:t>С. колибактериоз протекал преимущественно в легкой форме, 1 теленок не болел.</w:t>
      </w:r>
    </w:p>
    <w:p w:rsidR="00F4654E" w:rsidRDefault="00F4654E">
      <w:pPr>
        <w:pStyle w:val="a6"/>
      </w:pPr>
      <w:r>
        <w:t>Колибактериоз сопровождался воспалением пуповины (омфалит), к</w:t>
      </w:r>
      <w:r>
        <w:t>о</w:t>
      </w:r>
      <w:r>
        <w:t>торый в 1-й группе начинался на 3,7</w:t>
      </w:r>
      <w:r>
        <w:sym w:font="Symbol" w:char="F0B1"/>
      </w:r>
      <w:r>
        <w:t>2,1 день со средней продолжительн</w:t>
      </w:r>
      <w:r>
        <w:t>о</w:t>
      </w:r>
      <w:r>
        <w:t>стью течения болезни – 24,7</w:t>
      </w:r>
      <w:r>
        <w:sym w:font="Symbol" w:char="F0B1"/>
      </w:r>
      <w:r>
        <w:t>6,4 дня. Ширина пуповины составила</w:t>
      </w:r>
      <w:r>
        <w:sym w:font="Symbol" w:char="F03A"/>
      </w:r>
      <w:r>
        <w:t xml:space="preserve"> в н</w:t>
      </w:r>
      <w:r>
        <w:t>а</w:t>
      </w:r>
      <w:r>
        <w:t>чале 1,93</w:t>
      </w:r>
      <w:r>
        <w:sym w:font="Symbol" w:char="F0B1"/>
      </w:r>
      <w:r>
        <w:t>0,067 см, в разгар болезни – 2,94</w:t>
      </w:r>
      <w:r>
        <w:sym w:font="Symbol" w:char="F0B1"/>
      </w:r>
      <w:r>
        <w:t>0,44 см и при выздоровлении – 1,53</w:t>
      </w:r>
      <w:r>
        <w:sym w:font="Symbol" w:char="F0B1"/>
      </w:r>
      <w:r>
        <w:t>0,125 см.</w:t>
      </w:r>
    </w:p>
    <w:p w:rsidR="00F4654E" w:rsidRDefault="00F4654E">
      <w:pPr>
        <w:pStyle w:val="a6"/>
      </w:pPr>
      <w:r>
        <w:t>Во 2-й группе омфалит начинался на 2,6</w:t>
      </w:r>
      <w:r>
        <w:sym w:font="Symbol" w:char="F0B1"/>
      </w:r>
      <w:r>
        <w:t>0,8 день и протекал в сре</w:t>
      </w:r>
      <w:r>
        <w:t>д</w:t>
      </w:r>
      <w:r>
        <w:t>нем 24,6</w:t>
      </w:r>
      <w:r>
        <w:sym w:font="Symbol" w:char="F0B1"/>
      </w:r>
      <w:r>
        <w:t>4,0дня. Ширина пуповины составила: в начале 2,03</w:t>
      </w:r>
      <w:r>
        <w:sym w:font="Symbol" w:char="F0B1"/>
      </w:r>
      <w:r>
        <w:t>0,154 см, в разгар болезни 2,94</w:t>
      </w:r>
      <w:r>
        <w:sym w:font="Symbol" w:char="F0B1"/>
      </w:r>
      <w:r>
        <w:t>0,44 см и при выздоровлении 1,53</w:t>
      </w:r>
      <w:r>
        <w:sym w:font="Symbol" w:char="F0B1"/>
      </w:r>
      <w:r>
        <w:t>0,125 см.</w:t>
      </w:r>
    </w:p>
    <w:p w:rsidR="00F4654E" w:rsidRDefault="00F4654E">
      <w:pPr>
        <w:pStyle w:val="a6"/>
      </w:pPr>
      <w:r>
        <w:t>В 3-й группе начало болезни у телят регистрировалось в 1-й день жизни со средней продолжительностью 18,3</w:t>
      </w:r>
      <w:r>
        <w:sym w:font="Symbol" w:char="F0B1"/>
      </w:r>
      <w:r>
        <w:t>7,3 дней. Толщина пуповины в начале заболевания составила 1,9</w:t>
      </w:r>
      <w:r>
        <w:sym w:font="Symbol" w:char="F0B1"/>
      </w:r>
      <w:r>
        <w:t>0,1 см, в разгар болезни 2,67</w:t>
      </w:r>
      <w:r>
        <w:sym w:font="Symbol" w:char="F0B1"/>
      </w:r>
      <w:r>
        <w:t>0,6 см и при выздоровлении 1,3</w:t>
      </w:r>
      <w:r>
        <w:sym w:font="Symbol" w:char="F0B1"/>
      </w:r>
      <w:r>
        <w:t>0,06 см.</w:t>
      </w:r>
    </w:p>
    <w:p w:rsidR="00F4654E" w:rsidRDefault="00F4654E">
      <w:pPr>
        <w:pStyle w:val="a6"/>
      </w:pPr>
      <w:r>
        <w:t>Таким образом, применение органического селеносодержащего пр</w:t>
      </w:r>
      <w:r>
        <w:t>е</w:t>
      </w:r>
      <w:r>
        <w:t>парата селекор коровам за 1 – 1,5 месяца до отела в дозе 10 мкг/кг благ</w:t>
      </w:r>
      <w:r>
        <w:t>о</w:t>
      </w:r>
      <w:r>
        <w:t>приятно влияло на биохимические и клинические показатели родившихся от них телят. Возникающий у них колибактериоз и омфалит протекал в б</w:t>
      </w:r>
      <w:r>
        <w:t>о</w:t>
      </w:r>
      <w:r>
        <w:t xml:space="preserve">лее легкой форме и менее продолжительно по сравнению с животными контрольных групп. </w:t>
      </w:r>
    </w:p>
    <w:p w:rsidR="00F4654E" w:rsidRDefault="00F4654E">
      <w:pPr>
        <w:pStyle w:val="a4"/>
      </w:pPr>
      <w:r>
        <w:t>УДК 615.3:636.22/.28</w:t>
      </w:r>
    </w:p>
    <w:p w:rsidR="00F4654E" w:rsidRDefault="00F4654E">
      <w:pPr>
        <w:pStyle w:val="1"/>
      </w:pPr>
      <w:bookmarkStart w:id="1552" w:name="_Toc10115354"/>
      <w:bookmarkStart w:id="1553" w:name="_Toc10731203"/>
      <w:bookmarkStart w:id="1554" w:name="_Toc10731864"/>
      <w:bookmarkStart w:id="1555" w:name="_Toc10891711"/>
      <w:bookmarkStart w:id="1556" w:name="_Toc10892386"/>
      <w:bookmarkStart w:id="1557" w:name="_Toc11390253"/>
      <w:bookmarkStart w:id="1558" w:name="_Toc11839934"/>
      <w:bookmarkStart w:id="1559" w:name="_Toc11937472"/>
      <w:r>
        <w:t>Влияние органических и неорганических соединений селена на привесы и показатели антиоксидантной защиты у телят</w:t>
      </w:r>
      <w:bookmarkEnd w:id="1552"/>
      <w:bookmarkEnd w:id="1553"/>
      <w:bookmarkEnd w:id="1554"/>
      <w:bookmarkEnd w:id="1555"/>
      <w:bookmarkEnd w:id="1556"/>
      <w:bookmarkEnd w:id="1557"/>
      <w:bookmarkEnd w:id="1558"/>
      <w:bookmarkEnd w:id="1559"/>
    </w:p>
    <w:p w:rsidR="00F4654E" w:rsidRDefault="00F4654E">
      <w:pPr>
        <w:pStyle w:val="2"/>
      </w:pPr>
      <w:bookmarkStart w:id="1560" w:name="_Toc10115355"/>
      <w:bookmarkStart w:id="1561" w:name="_Toc10731204"/>
      <w:bookmarkStart w:id="1562" w:name="_Toc10731865"/>
      <w:bookmarkStart w:id="1563" w:name="_Toc10891712"/>
      <w:bookmarkStart w:id="1564" w:name="_Toc10892387"/>
      <w:bookmarkStart w:id="1565" w:name="_Toc11390254"/>
      <w:bookmarkStart w:id="1566" w:name="_Toc11937473"/>
      <w:r>
        <w:t>Дегтярев Д.В., Алехин Ю.Н.*, Куркин С.В.*, Фаустов А.И.**</w:t>
      </w:r>
      <w:bookmarkEnd w:id="1560"/>
      <w:bookmarkEnd w:id="1561"/>
      <w:bookmarkEnd w:id="1562"/>
      <w:bookmarkEnd w:id="1563"/>
      <w:bookmarkEnd w:id="1564"/>
      <w:bookmarkEnd w:id="1565"/>
      <w:bookmarkEnd w:id="1566"/>
    </w:p>
    <w:p w:rsidR="00F4654E" w:rsidRDefault="00F4654E">
      <w:pPr>
        <w:pStyle w:val="a5"/>
      </w:pPr>
      <w:r>
        <w:t xml:space="preserve">Всероссийский НИВИ патологии, фармакологии и терапии </w:t>
      </w:r>
      <w:r>
        <w:br/>
        <w:t>*ООО «Ветеринарный диагностический центр», г. Воронеж</w:t>
      </w:r>
      <w:r>
        <w:br/>
        <w:t>**Воронежский государственный аграрный университет им. К.Д. Глинки</w:t>
      </w:r>
    </w:p>
    <w:p w:rsidR="00F4654E" w:rsidRDefault="00F4654E">
      <w:pPr>
        <w:pStyle w:val="a6"/>
      </w:pPr>
      <w:r>
        <w:t>В последние годы у людей и животных при различных патологиях выявляется дефицит одного из важнейших микроэлементов, одного из сильнейших антиоксидантов – селена. Этот микроэлемент связан с фун</w:t>
      </w:r>
      <w:r>
        <w:t>к</w:t>
      </w:r>
      <w:r>
        <w:t>цией более 100 ферментов участвующих в детоксикации  продуктов мет</w:t>
      </w:r>
      <w:r>
        <w:t>а</w:t>
      </w:r>
      <w:r>
        <w:t>болизма, регулирует окисление жирных кислот, участвует в синтезе ва</w:t>
      </w:r>
      <w:r>
        <w:t>ж</w:t>
      </w:r>
      <w:r>
        <w:t>нейших гормонов, обеспечивает нормальную деятельность иммунной си</w:t>
      </w:r>
      <w:r>
        <w:t>с</w:t>
      </w:r>
      <w:r>
        <w:t>темы.</w:t>
      </w:r>
    </w:p>
    <w:p w:rsidR="00F4654E" w:rsidRDefault="00F4654E">
      <w:pPr>
        <w:pStyle w:val="a6"/>
      </w:pPr>
      <w:r>
        <w:t>Учитывая важность проблемы селенодефицита сегодня в мире разр</w:t>
      </w:r>
      <w:r>
        <w:t>а</w:t>
      </w:r>
      <w:r>
        <w:t>ботан целый ряд селеносодержащих соединений, в основном неорганич</w:t>
      </w:r>
      <w:r>
        <w:t>е</w:t>
      </w:r>
      <w:r>
        <w:lastRenderedPageBreak/>
        <w:t>ских. Однако неорганические соединения селена (селениты и селенаты) очень токсичны (LD</w:t>
      </w:r>
      <w:r>
        <w:rPr>
          <w:vertAlign w:val="subscript"/>
        </w:rPr>
        <w:t>50</w:t>
      </w:r>
      <w:r>
        <w:t xml:space="preserve"> – 10 мг/кг), поэтому в настоящее время синтезир</w:t>
      </w:r>
      <w:r>
        <w:t>о</w:t>
      </w:r>
      <w:r>
        <w:t>ваны менее токсичные органические соединения селена, такие как селен</w:t>
      </w:r>
      <w:r>
        <w:t>о</w:t>
      </w:r>
      <w:r>
        <w:t>пиран, селенофены, ДАФС – 25, селекор с LD</w:t>
      </w:r>
      <w:r>
        <w:rPr>
          <w:vertAlign w:val="subscript"/>
        </w:rPr>
        <w:t>50</w:t>
      </w:r>
      <w:r>
        <w:t xml:space="preserve"> 200 – 8100 мг/кг. Из ук</w:t>
      </w:r>
      <w:r>
        <w:t>а</w:t>
      </w:r>
      <w:r>
        <w:t xml:space="preserve">занных соединений наиболее привлекателен разработанный НПФ </w:t>
      </w:r>
      <w:r>
        <w:sym w:font="Symbol" w:char="F0B2"/>
      </w:r>
      <w:r>
        <w:t>Ареал</w:t>
      </w:r>
      <w:r>
        <w:sym w:font="Symbol" w:char="F0B2"/>
      </w:r>
      <w:r>
        <w:t xml:space="preserve"> селекор, LD</w:t>
      </w:r>
      <w:r>
        <w:rPr>
          <w:vertAlign w:val="subscript"/>
        </w:rPr>
        <w:t>50</w:t>
      </w:r>
      <w:r>
        <w:t xml:space="preserve"> которого равна 8100 мг/кг.</w:t>
      </w:r>
    </w:p>
    <w:p w:rsidR="00F4654E" w:rsidRDefault="00F4654E">
      <w:pPr>
        <w:pStyle w:val="a6"/>
      </w:pPr>
      <w:r>
        <w:t>В соответствии с временным наставлением Департамента ветеринарии МСХ РФ от 19.05.2000 года, селекор рекомендуется применять телятам в дозе 0,1 мл/кг массы тела животного (100 мкг/кг ). Учитывая данные лит</w:t>
      </w:r>
      <w:r>
        <w:t>е</w:t>
      </w:r>
      <w:r>
        <w:t>ратуры и довольно высокую стоимость препарата, мы провели сравнител</w:t>
      </w:r>
      <w:r>
        <w:t>ь</w:t>
      </w:r>
      <w:r>
        <w:t>ную оценку влияния различных доз селекора на привесы и показатели а</w:t>
      </w:r>
      <w:r>
        <w:t>н</w:t>
      </w:r>
      <w:r>
        <w:t>тиоксидантной защиты организма у телят. В опыт было взято 9 групп по 20 бычков, в возрасте 3,5 – 4 месяца, подобранных по принципу аналогов по возрасту и живой массе, находившихся в аналогичных условиях содерж</w:t>
      </w:r>
      <w:r>
        <w:t>а</w:t>
      </w:r>
      <w:r>
        <w:t xml:space="preserve">ния, ухода и кормления. Телятам первой группы вводили селенит натрия </w:t>
      </w:r>
      <w:r>
        <w:br/>
        <w:t>(базовый контроль) – второй и восьмой – селекор в дозах: 5; 10; 20; 40; 60; 80 и 100 мкг/кг живой массы. До применения селекора и селенита натрия и на 41 день после, телят взвешивали и в крови их определяли содержание диеновых конъюгатов (ДК), кетодиенов (КД), малонового диальдегида (МДА), глутатионпероксидазы (ГПО), глутатионредуктазы (ГР), каталазы, оснований Шиффа (ОШ).</w:t>
      </w:r>
    </w:p>
    <w:p w:rsidR="00F4654E" w:rsidRDefault="00F4654E">
      <w:pPr>
        <w:pStyle w:val="a6"/>
      </w:pPr>
      <w:r>
        <w:t>При сравнительном анализе установлена определенная дозозавис</w:t>
      </w:r>
      <w:r>
        <w:t>и</w:t>
      </w:r>
      <w:r>
        <w:t>мость влияния селекора на привесы и изучаемые показатели. Так на</w:t>
      </w:r>
      <w:r>
        <w:t>и</w:t>
      </w:r>
      <w:r>
        <w:t>больший привес был выявлен у телят получавших селекор в дозе 10 и 20 мкг/кг, он был на 74,0 – 71,7% выше, чем у контрольных животных, тогда как в группах, где применяли селекор в дозе 40; 60; 80; 100 мкг/кг, он был выше, чем в контроле на 35,9 – 21,7 – 39,6 – 33,2% соответственно. При этом в группе, где использовали 5 мкг/кг селекора, привес был одинаков с контролем, а в группе где использовали селенит натрия привес был на 32,2% выше, чем у бычков из контрольной группы. Следовательно, прим</w:t>
      </w:r>
      <w:r>
        <w:t>е</w:t>
      </w:r>
      <w:r>
        <w:t>нение селекора в дозе 40; 60; 80; 100 мкг/кг и селенита натрия дают сра</w:t>
      </w:r>
      <w:r>
        <w:t>в</w:t>
      </w:r>
      <w:r>
        <w:t>нительно одинаковые привесы на 32,2 – 39,6% выше, чем в контроле, тогда как применение селекора в дозах 10 – 20 мкг/кг увеличивает привесы на 74,0 – 71,7%.</w:t>
      </w:r>
    </w:p>
    <w:p w:rsidR="00F4654E" w:rsidRDefault="00F4654E">
      <w:pPr>
        <w:pStyle w:val="a6"/>
      </w:pPr>
      <w:r>
        <w:t>Показатели перекисного окисления липидов (ПОЛ) и ферментативной антиоксидантной системы (ФАС) также показывают определенную ст</w:t>
      </w:r>
      <w:r>
        <w:t>е</w:t>
      </w:r>
      <w:r>
        <w:t>пень влияния на них селекора в различных дозах. Так, по сравнению с ко</w:t>
      </w:r>
      <w:r>
        <w:t>н</w:t>
      </w:r>
      <w:r>
        <w:t>тролем применение селекора в дозах 10 и 20 мкг/кг живой массы телят в</w:t>
      </w:r>
      <w:r>
        <w:t>ы</w:t>
      </w:r>
      <w:r>
        <w:t>зывало у них повышение уровня ДК и КД на 8,8 – 11,1% и снижение МДА на 36,8%. У телят, которым вводили селекор в дозах 5; 40; 60; 80; 100 мкг/кг или селенит натрия содержание ДК и КД было на уровне контрол</w:t>
      </w:r>
      <w:r>
        <w:t>ь</w:t>
      </w:r>
      <w:r>
        <w:t xml:space="preserve">ных животных. Активность ГПО и ГР у бычков, получавших 10 и 20 </w:t>
      </w:r>
      <w:r>
        <w:lastRenderedPageBreak/>
        <w:t>мкг/кг был таким же, что и у контрольных, а в других группах была ниже на 6 – 8%.</w:t>
      </w:r>
    </w:p>
    <w:p w:rsidR="00F4654E" w:rsidRDefault="00F4654E">
      <w:pPr>
        <w:pStyle w:val="a6"/>
      </w:pPr>
      <w:r>
        <w:t>Следовательно, наиболее оптимальной дозой селекора для телят в возрасте 3,5 – 4 месяца является 10 – 20 мкг/кг живой массы, что подтве</w:t>
      </w:r>
      <w:r>
        <w:t>р</w:t>
      </w:r>
      <w:r>
        <w:t>ждается наибольшим увеличением среднесуточных привесов, изменени</w:t>
      </w:r>
      <w:r>
        <w:t>я</w:t>
      </w:r>
      <w:r>
        <w:t>ми в интенсивности процессов переоксидации липидов и активизацией функционального состояния ферментативного звена системы антиокс</w:t>
      </w:r>
      <w:r>
        <w:t>и</w:t>
      </w:r>
      <w:r>
        <w:t xml:space="preserve">дантной защиты организма.    </w:t>
      </w:r>
    </w:p>
    <w:p w:rsidR="00F4654E" w:rsidRDefault="00F4654E">
      <w:pPr>
        <w:pStyle w:val="a4"/>
      </w:pPr>
      <w:r>
        <w:t>удк 619:611.1:615.84:636.2</w:t>
      </w:r>
    </w:p>
    <w:p w:rsidR="00F4654E" w:rsidRDefault="00F4654E">
      <w:pPr>
        <w:pStyle w:val="1"/>
      </w:pPr>
      <w:bookmarkStart w:id="1567" w:name="_Toc10115358"/>
      <w:bookmarkStart w:id="1568" w:name="_Toc10731209"/>
      <w:bookmarkStart w:id="1569" w:name="_Toc10731870"/>
      <w:bookmarkStart w:id="1570" w:name="_Toc10891717"/>
      <w:bookmarkStart w:id="1571" w:name="_Toc10892392"/>
      <w:bookmarkStart w:id="1572" w:name="_Toc11390259"/>
      <w:bookmarkStart w:id="1573" w:name="_Toc11839940"/>
      <w:bookmarkStart w:id="1574" w:name="_Toc11937474"/>
      <w:r>
        <w:t>дозирование низкоэнергетического фотонного излучения в разработке терапевтических схем при лечении бронхитов у телят</w:t>
      </w:r>
      <w:bookmarkEnd w:id="1567"/>
      <w:bookmarkEnd w:id="1568"/>
      <w:bookmarkEnd w:id="1569"/>
      <w:bookmarkEnd w:id="1570"/>
      <w:bookmarkEnd w:id="1571"/>
      <w:bookmarkEnd w:id="1572"/>
      <w:bookmarkEnd w:id="1573"/>
      <w:bookmarkEnd w:id="1574"/>
    </w:p>
    <w:p w:rsidR="00F4654E" w:rsidRDefault="00F4654E">
      <w:pPr>
        <w:pStyle w:val="2"/>
      </w:pPr>
      <w:bookmarkStart w:id="1575" w:name="_Toc10115359"/>
      <w:bookmarkStart w:id="1576" w:name="_Toc10731210"/>
      <w:bookmarkStart w:id="1577" w:name="_Toc10731871"/>
      <w:bookmarkStart w:id="1578" w:name="_Toc10891718"/>
      <w:bookmarkStart w:id="1579" w:name="_Toc10892393"/>
      <w:bookmarkStart w:id="1580" w:name="_Toc11390260"/>
      <w:bookmarkStart w:id="1581" w:name="_Toc11937475"/>
      <w:r>
        <w:t>Демидова О. М.</w:t>
      </w:r>
      <w:bookmarkEnd w:id="1575"/>
      <w:bookmarkEnd w:id="1576"/>
      <w:bookmarkEnd w:id="1577"/>
      <w:bookmarkEnd w:id="1578"/>
      <w:bookmarkEnd w:id="1579"/>
      <w:bookmarkEnd w:id="1580"/>
      <w:bookmarkEnd w:id="1581"/>
    </w:p>
    <w:p w:rsidR="00F4654E" w:rsidRDefault="00F4654E">
      <w:pPr>
        <w:pStyle w:val="a5"/>
      </w:pPr>
      <w:r>
        <w:t>Саратовская научно-исследовательская ветеринарная станция</w:t>
      </w:r>
    </w:p>
    <w:p w:rsidR="00F4654E" w:rsidRDefault="00F4654E">
      <w:pPr>
        <w:pStyle w:val="a6"/>
      </w:pPr>
      <w:r>
        <w:t>В настоящее время интенсивное развитие лазерной техники определ</w:t>
      </w:r>
      <w:r>
        <w:t>я</w:t>
      </w:r>
      <w:r>
        <w:t>ет стремление к более широкому применению низкоэнергетической ф</w:t>
      </w:r>
      <w:r>
        <w:t>о</w:t>
      </w:r>
      <w:r>
        <w:t>тонной терапии (Low energy photon therapy - LEPT). Интерес к данной о</w:t>
      </w:r>
      <w:r>
        <w:t>б</w:t>
      </w:r>
      <w:r>
        <w:t>ласти вызван отсутствием побочного действия, безболезненностью тер</w:t>
      </w:r>
      <w:r>
        <w:t>а</w:t>
      </w:r>
      <w:r>
        <w:t>певтических процедур, хорошей сочетаемостью их с фармакологическими средствами, экологической чистотой. В медицине накопился определё</w:t>
      </w:r>
      <w:r>
        <w:t>н</w:t>
      </w:r>
      <w:r>
        <w:t>ный опыт применения LEPT, свидетельствующий о том, что особую акт</w:t>
      </w:r>
      <w:r>
        <w:t>у</w:t>
      </w:r>
      <w:r>
        <w:t>альность имеет использование этого метода в лечении респираторных б</w:t>
      </w:r>
      <w:r>
        <w:t>о</w:t>
      </w:r>
      <w:r>
        <w:t>лезней. В ветеринарии существует необходимость разработки оптимал</w:t>
      </w:r>
      <w:r>
        <w:t>ь</w:t>
      </w:r>
      <w:r>
        <w:t>ных схем фотонной терапии для современных генераторов лазерного изл</w:t>
      </w:r>
      <w:r>
        <w:t>у</w:t>
      </w:r>
      <w:r>
        <w:t>чения при многих болезнях сельскохозяйственных животных, в частности, при бронхитах у телят.</w:t>
      </w:r>
    </w:p>
    <w:p w:rsidR="00F4654E" w:rsidRDefault="00F4654E">
      <w:pPr>
        <w:pStyle w:val="a6"/>
      </w:pPr>
      <w:r>
        <w:t>Целью данной работы являлось изучение интенсивности протект</w:t>
      </w:r>
      <w:r>
        <w:t>и</w:t>
      </w:r>
      <w:r>
        <w:t xml:space="preserve">рующих реакций организма телят в зависимости от количества и набора биологически активных точек приложения лазерного излучения. </w:t>
      </w:r>
      <w:r>
        <w:rPr>
          <w:caps/>
        </w:rPr>
        <w:t>и</w:t>
      </w:r>
      <w:r>
        <w:t>спол</w:t>
      </w:r>
      <w:r>
        <w:t>ь</w:t>
      </w:r>
      <w:r>
        <w:t>зовали 18 больных бронхитом телят, 3-4-х месячного возраста, чёрно-пёстрой породы, разделённых на 2 группы, по 3 подгруппы в каждой. В качестве контроля использовали 3-х здоровых телят. В опытные и ко</w:t>
      </w:r>
      <w:r>
        <w:t>н</w:t>
      </w:r>
      <w:r>
        <w:t>трольные группы животных подбирали по принципу аналогов. Половой состав во внимание не принимался. Локализацию БАТ определяли эле</w:t>
      </w:r>
      <w:r>
        <w:t>к</w:t>
      </w:r>
      <w:r>
        <w:t>тронным акупунктоскопом AWQ–104B. В качестве маркёра реактивности организма телят в ответ на фотонное воздействие использовали "стабил</w:t>
      </w:r>
      <w:r>
        <w:t>и</w:t>
      </w:r>
      <w:r>
        <w:t>затор" системы адаптации организма животных - кортизол. Уровень ма</w:t>
      </w:r>
      <w:r>
        <w:t>р</w:t>
      </w:r>
      <w:r>
        <w:t>кёра определяли  методом иммуноферментного анализа, в тест системе «Gobas Core», стандартными пробирочными диагностикумами «DiaPlus» для определения кортизола.</w:t>
      </w:r>
    </w:p>
    <w:p w:rsidR="00F4654E" w:rsidRDefault="00F4654E">
      <w:pPr>
        <w:pStyle w:val="a6"/>
      </w:pPr>
      <w:r>
        <w:lastRenderedPageBreak/>
        <w:t>Животных первой группы подвергали воздействию красного мон</w:t>
      </w:r>
      <w:r>
        <w:t>о</w:t>
      </w:r>
      <w:r>
        <w:t>хроматического когерентного луча лазеропунктатора LP 63-1053 с длиной волны 650 нм, средней мощностью 5 мВт. Облучение проводили два раза в день, контактным способом, 10 дней подряд, с экспозицией 1 минута, с плотностью энергии 18,5 Дж/см</w:t>
      </w:r>
      <w:r>
        <w:rPr>
          <w:vertAlign w:val="superscript"/>
        </w:rPr>
        <w:t>2</w:t>
      </w:r>
      <w:r>
        <w:t>, в дозе 0,1 Дж/аку-точку, диаметром луча 0,02 см</w:t>
      </w:r>
      <w:r>
        <w:rPr>
          <w:vertAlign w:val="superscript"/>
        </w:rPr>
        <w:t>2</w:t>
      </w:r>
      <w:r>
        <w:t>, в постоянноволновом режиме. В первой подгруппе облучение проводили в 10-и биологически активных точках (БАТ): BL-15, 16, 17, 42, 43 (с двух сторон), в полной дозе 2 Дж на одно животное; во второй по</w:t>
      </w:r>
      <w:r>
        <w:t>д</w:t>
      </w:r>
      <w:r>
        <w:t>группе - в 20-и БАТ: BL-14, 15, 16, 17, 42, 43, 44, 45 (с двух сторон), ST-11, PC-1 (слева), LIV-14, GB-25 (справа), в полной дозе 4 Дж на животное; в третьей подгруппе - в 30-и БАТ: BL-14, 15, 16, 17, 18, 19, 20, 42, 43, 44, 45 (с двух сторон), ST-11, PC-1 (слева), LIV-14, GB-25 (справа), в полной дозе 6 Дж на животное.</w:t>
      </w:r>
    </w:p>
    <w:p w:rsidR="00F4654E" w:rsidRDefault="00F4654E">
      <w:pPr>
        <w:pStyle w:val="a6"/>
      </w:pPr>
      <w:r>
        <w:t>Животных второй группы подвергали воздействию инфракрасного  монохроматического некогерентного луча AsGa лазерного аппарата типа “МИЛТА” с длиной волны 890 нм, средней мощностью 0,7 мВт. Облуч</w:t>
      </w:r>
      <w:r>
        <w:t>е</w:t>
      </w:r>
      <w:r>
        <w:t>ние проводили один раз в день, контактным способом, 10 дней подряд, с экспозицией 10 минут, с плотностью энергии 0,1 Дж/см</w:t>
      </w:r>
      <w:r>
        <w:rPr>
          <w:vertAlign w:val="superscript"/>
        </w:rPr>
        <w:t>2</w:t>
      </w:r>
      <w:r>
        <w:t>, в дозе 0,1 Дж/аку-точку, при частоте 1000 Гц и площадью облучаемой поверхности 4 см</w:t>
      </w:r>
      <w:r>
        <w:rPr>
          <w:vertAlign w:val="superscript"/>
        </w:rPr>
        <w:t>2</w:t>
      </w:r>
      <w:r>
        <w:t>. В первой подгруппе облучение проводили в 2-х БАТ: BL-42, 43 (п</w:t>
      </w:r>
      <w:r>
        <w:t>о</w:t>
      </w:r>
      <w:r>
        <w:t xml:space="preserve">очерёдно, с разных сторон), в полной дозе 0,2 Дж на одно животное; во второй подгруппе - в 4-х БАТ: BL-42, 43 (с двух сторон), в полной дозе 0,4 Дж на одно животное; в третьей подгруппе - в 6 БАТ: BL-17, 42, 43 (с двух сторон), в полной дозе 0,6 Дж на одно животное. </w:t>
      </w:r>
    </w:p>
    <w:p w:rsidR="00F4654E" w:rsidRDefault="00F4654E">
      <w:pPr>
        <w:pStyle w:val="a6"/>
      </w:pPr>
      <w:r>
        <w:t>Установлено, что ключевое терапевтическое значение имеет колич</w:t>
      </w:r>
      <w:r>
        <w:t>е</w:t>
      </w:r>
      <w:r>
        <w:t>ство и набор биологически активных точек, а не только длина волны и мощность излучения.</w:t>
      </w:r>
    </w:p>
    <w:p w:rsidR="00F4654E" w:rsidRPr="00414261" w:rsidRDefault="00F4654E">
      <w:pPr>
        <w:pStyle w:val="a6"/>
      </w:pPr>
      <w:r w:rsidRPr="00414261">
        <w:t>При воздействии на 2 БАТ фотонным излучением длиной волны 890 нм, уровень кортизола не нормализовался и составил после 5-го сеанса о</w:t>
      </w:r>
      <w:r w:rsidRPr="00414261">
        <w:t>б</w:t>
      </w:r>
      <w:r w:rsidRPr="00414261">
        <w:t>лучения 390 нмоль/л, а после 10 сеанса 361 нмоль/л. При воздействии на 4 БАТ фотонным излучением той же длиной волны, уровень кортизола с</w:t>
      </w:r>
      <w:r w:rsidRPr="00414261">
        <w:t>о</w:t>
      </w:r>
      <w:r w:rsidRPr="00414261">
        <w:t>ставил после 5-го сеанса 357 нмоль/л,  а после 10 311 нмоль/л, то есть но</w:t>
      </w:r>
      <w:r w:rsidRPr="00414261">
        <w:t>р</w:t>
      </w:r>
      <w:r w:rsidRPr="00414261">
        <w:t>мал</w:t>
      </w:r>
      <w:r w:rsidRPr="00414261">
        <w:t>и</w:t>
      </w:r>
      <w:r w:rsidRPr="00414261">
        <w:t>зовался до физиологических пределов. При воздействии на 6 БАТ тем же излучением, уровень кортизола снизился, но не нормализовался, как после 5-го сеанса, так и после 10 сеанса облучения и составил 380 и 324 нмоль/л, соответственно.</w:t>
      </w:r>
    </w:p>
    <w:p w:rsidR="00F4654E" w:rsidRPr="00414261" w:rsidRDefault="00F4654E">
      <w:pPr>
        <w:pStyle w:val="a6"/>
        <w:rPr>
          <w:spacing w:val="-2"/>
        </w:rPr>
      </w:pPr>
      <w:r w:rsidRPr="00414261">
        <w:rPr>
          <w:spacing w:val="-2"/>
        </w:rPr>
        <w:t>При использовании излучения длиной волны 650 нм, количество т</w:t>
      </w:r>
      <w:r w:rsidRPr="00414261">
        <w:rPr>
          <w:spacing w:val="-2"/>
        </w:rPr>
        <w:t>о</w:t>
      </w:r>
      <w:r w:rsidRPr="00414261">
        <w:rPr>
          <w:spacing w:val="-2"/>
        </w:rPr>
        <w:t>чек воздействия имеет ещё большее значение. А именно, изменение концентр</w:t>
      </w:r>
      <w:r w:rsidRPr="00414261">
        <w:rPr>
          <w:spacing w:val="-2"/>
        </w:rPr>
        <w:t>а</w:t>
      </w:r>
      <w:r w:rsidRPr="00414261">
        <w:rPr>
          <w:spacing w:val="-2"/>
        </w:rPr>
        <w:t>ции кортизола начинается лишь при воздействии на 10 биологически акти</w:t>
      </w:r>
      <w:r w:rsidRPr="00414261">
        <w:rPr>
          <w:spacing w:val="-2"/>
        </w:rPr>
        <w:t>в</w:t>
      </w:r>
      <w:r w:rsidRPr="00414261">
        <w:rPr>
          <w:spacing w:val="-2"/>
        </w:rPr>
        <w:t>ных точек. Физиологический же уровень этого гормона индуц</w:t>
      </w:r>
      <w:r w:rsidRPr="00414261">
        <w:rPr>
          <w:spacing w:val="-2"/>
        </w:rPr>
        <w:t>и</w:t>
      </w:r>
      <w:r w:rsidRPr="00414261">
        <w:rPr>
          <w:spacing w:val="-2"/>
        </w:rPr>
        <w:t>руется при воздействии на 20 точек. Дальнейшее увеличение их числа не имеет смысла, так как при облучении 30 точек параметры маркёра не улучшаются. Видимо это происходит из-за перераздражения коры надп</w:t>
      </w:r>
      <w:r w:rsidRPr="00414261">
        <w:rPr>
          <w:spacing w:val="-2"/>
        </w:rPr>
        <w:t>о</w:t>
      </w:r>
      <w:r w:rsidRPr="00414261">
        <w:rPr>
          <w:spacing w:val="-2"/>
        </w:rPr>
        <w:t xml:space="preserve">чечников, так как полная </w:t>
      </w:r>
      <w:r w:rsidRPr="00414261">
        <w:rPr>
          <w:spacing w:val="-2"/>
        </w:rPr>
        <w:lastRenderedPageBreak/>
        <w:t>доза облучения при 30 БАТ повышается до 6 Дж, что, очевидно, является сверх предельно допустимой  терапевтической д</w:t>
      </w:r>
      <w:r w:rsidRPr="00414261">
        <w:rPr>
          <w:spacing w:val="-2"/>
        </w:rPr>
        <w:t>о</w:t>
      </w:r>
      <w:r w:rsidRPr="00414261">
        <w:rPr>
          <w:spacing w:val="-2"/>
        </w:rPr>
        <w:t>зой.</w:t>
      </w:r>
    </w:p>
    <w:p w:rsidR="00F4654E" w:rsidRDefault="00F4654E">
      <w:pPr>
        <w:pStyle w:val="a6"/>
      </w:pPr>
      <w:r>
        <w:t>Представленная динамика кортизола делает очевидной всю сложность кинетики лазерного излучения вообще и при бронхитах у телят в частн</w:t>
      </w:r>
      <w:r>
        <w:t>о</w:t>
      </w:r>
      <w:r>
        <w:t>сти. На основании представленных данных мы можем утверждать, что наиболее рациональная схема фотонной терапии бронхитов у телят, при использовании AsGa лазерного аппарата типа «МИЛТА», должна характ</w:t>
      </w:r>
      <w:r>
        <w:t>е</w:t>
      </w:r>
      <w:r>
        <w:t>ризоваться следующими параметрами: длина волны излучения 650 нм, средняя мощность 5 мВт, диаметр луча лазера 2 мм</w:t>
      </w:r>
      <w:r>
        <w:rPr>
          <w:vertAlign w:val="superscript"/>
        </w:rPr>
        <w:t>2</w:t>
      </w:r>
      <w:r>
        <w:t>, доза 0,1 Дж/аку-точку, плотность энергии 18,5 Дж/см</w:t>
      </w:r>
      <w:r>
        <w:rPr>
          <w:vertAlign w:val="superscript"/>
        </w:rPr>
        <w:t>2</w:t>
      </w:r>
      <w:r>
        <w:t>, экспозиция 1 минута на аку-точку, постоянно волновой режим, контактный способ, в 20-и БАТ: BL – 14, 15 (сердце) с двух сторон; BL – 16, 17, 42, 43 (лёгкие) с двух сторон;  BL – 44, 45 (печень) с двух сторон;  ST – 11; PC – 1 (сердце) слева;  LIV – 14; GB – 25 (печень) справа.</w:t>
      </w:r>
    </w:p>
    <w:p w:rsidR="00F4654E" w:rsidRDefault="00F4654E">
      <w:pPr>
        <w:pStyle w:val="a6"/>
      </w:pPr>
      <w:r>
        <w:t>При использовании полупроводникового твердодиодного лазеропун</w:t>
      </w:r>
      <w:r>
        <w:t>к</w:t>
      </w:r>
      <w:r>
        <w:t>татора LP 63 – 1053 схема применения следующая: длина волны излучения 890 нм, средняя мощность 0,7 мВт, площадь облучаемой поверхности 4 см</w:t>
      </w:r>
      <w:r>
        <w:rPr>
          <w:vertAlign w:val="superscript"/>
        </w:rPr>
        <w:t>2</w:t>
      </w:r>
      <w:r>
        <w:t>, доза 0,1 Дж/аку-точку, плотность энергии 0,1 Дж/см</w:t>
      </w:r>
      <w:r>
        <w:rPr>
          <w:vertAlign w:val="superscript"/>
        </w:rPr>
        <w:t>2</w:t>
      </w:r>
      <w:r>
        <w:t xml:space="preserve">, экспозиция 10 минут на аку-точку, импульсный режим с частотой 1000 Гц, контактный способ, в 4-х БАТ: BL – 42, 43 (лёгкие) с двух сторон. </w:t>
      </w:r>
    </w:p>
    <w:p w:rsidR="00F4654E" w:rsidRDefault="00F4654E">
      <w:pPr>
        <w:pStyle w:val="a6"/>
      </w:pPr>
      <w:r>
        <w:t>Диапазон изменений количественных характеристик гормона надп</w:t>
      </w:r>
      <w:r>
        <w:t>о</w:t>
      </w:r>
      <w:r>
        <w:t>чечников кортизола обладает определённой разрешающей способностью для индикации процессов, типа доза – эффект, при разработке фотонных вариантов терапии бронхитов у телят. Оптимальные физиологические п</w:t>
      </w:r>
      <w:r>
        <w:t>а</w:t>
      </w:r>
      <w:r>
        <w:t>раметры кортизола у больных бронхитом телят можно индуцировать кра</w:t>
      </w:r>
      <w:r>
        <w:t>с</w:t>
      </w:r>
      <w:r>
        <w:t>ным когерентным лучом полупроводникового твёрдодиодного лазер</w:t>
      </w:r>
      <w:r>
        <w:t>о</w:t>
      </w:r>
      <w:r>
        <w:t>пунктатора LP 63-1053 с длиной волны 650 нм, при воздействии на 20 БАТ и инфракрасным монохроматическим некогерентным лучом AsGa лазерн</w:t>
      </w:r>
      <w:r>
        <w:t>о</w:t>
      </w:r>
      <w:r>
        <w:t xml:space="preserve">го аппарата типа «МИЛТА» с длиной волны 890 нм, при воздействии на 4 БАТ. </w:t>
      </w:r>
    </w:p>
    <w:p w:rsidR="00F4654E" w:rsidRDefault="00F4654E">
      <w:pPr>
        <w:pStyle w:val="a6"/>
      </w:pPr>
      <w:r>
        <w:t>Предельно допустимое количество БАТ для лечения бронхитов у т</w:t>
      </w:r>
      <w:r>
        <w:t>е</w:t>
      </w:r>
      <w:r>
        <w:t>лят при использовании промышленных образцов генераторов фотонного излучения: лазеропунктатора LP 63-1053 (650 нм) - не должно быть менее 10 и более 30; при использовании лазерного генератора типа «МИЛТА» (890 нм) – не менее 2 и не более 6 БАТ.</w:t>
      </w:r>
    </w:p>
    <w:p w:rsidR="00F4654E" w:rsidRDefault="00F4654E">
      <w:pPr>
        <w:pStyle w:val="a6"/>
      </w:pPr>
      <w:r>
        <w:t>Оптимальным алгоритмом терапевтических действий при использ</w:t>
      </w:r>
      <w:r>
        <w:t>о</w:t>
      </w:r>
      <w:r>
        <w:t>вании красного монохроматического когерентного луча полупроводник</w:t>
      </w:r>
      <w:r>
        <w:t>о</w:t>
      </w:r>
      <w:r>
        <w:t>вого твёрдодиодного лазеропунктатора LP 63-1053 являются: 20 сеансов, в течение 10 дней, 2 раза в день, 20 точек воздействия; при использовании инфракрасного монохроматического некогерентного луча AsGa лазерного аппарата типа «МИЛТА»: 10 сеансов, в течение 10 дней, 1 раз в день, 4 точки  воздействия.</w:t>
      </w:r>
    </w:p>
    <w:p w:rsidR="00F4654E" w:rsidRDefault="00F4654E">
      <w:pPr>
        <w:pStyle w:val="a4"/>
      </w:pPr>
      <w:r>
        <w:lastRenderedPageBreak/>
        <w:t>удк 619:611.1:615.84:636.2</w:t>
      </w:r>
    </w:p>
    <w:p w:rsidR="00F4654E" w:rsidRDefault="00F4654E">
      <w:pPr>
        <w:pStyle w:val="1"/>
      </w:pPr>
      <w:bookmarkStart w:id="1582" w:name="_Toc10115360"/>
      <w:bookmarkStart w:id="1583" w:name="_Toc10731211"/>
      <w:bookmarkStart w:id="1584" w:name="_Toc10731872"/>
      <w:bookmarkStart w:id="1585" w:name="_Toc10891719"/>
      <w:bookmarkStart w:id="1586" w:name="_Toc10892394"/>
      <w:bookmarkStart w:id="1587" w:name="_Toc11390261"/>
      <w:bookmarkStart w:id="1588" w:name="_Toc11839942"/>
      <w:bookmarkStart w:id="1589" w:name="_Toc11937476"/>
      <w:r>
        <w:t>Гемомодулирующий эффект низкоэнергетического фотонного излучения на организм больных бронхитом телят</w:t>
      </w:r>
      <w:bookmarkEnd w:id="1582"/>
      <w:bookmarkEnd w:id="1583"/>
      <w:bookmarkEnd w:id="1584"/>
      <w:bookmarkEnd w:id="1585"/>
      <w:bookmarkEnd w:id="1586"/>
      <w:bookmarkEnd w:id="1587"/>
      <w:bookmarkEnd w:id="1588"/>
      <w:bookmarkEnd w:id="1589"/>
    </w:p>
    <w:p w:rsidR="00F4654E" w:rsidRDefault="00F4654E">
      <w:pPr>
        <w:pStyle w:val="2"/>
      </w:pPr>
      <w:bookmarkStart w:id="1590" w:name="_Toc10115361"/>
      <w:bookmarkStart w:id="1591" w:name="_Toc10731212"/>
      <w:bookmarkStart w:id="1592" w:name="_Toc10731873"/>
      <w:bookmarkStart w:id="1593" w:name="_Toc10891720"/>
      <w:bookmarkStart w:id="1594" w:name="_Toc10892395"/>
      <w:bookmarkStart w:id="1595" w:name="_Toc11390262"/>
      <w:bookmarkStart w:id="1596" w:name="_Toc11937477"/>
      <w:r>
        <w:t>Демидова О. М.</w:t>
      </w:r>
      <w:bookmarkEnd w:id="1590"/>
      <w:bookmarkEnd w:id="1591"/>
      <w:bookmarkEnd w:id="1592"/>
      <w:bookmarkEnd w:id="1593"/>
      <w:bookmarkEnd w:id="1594"/>
      <w:bookmarkEnd w:id="1595"/>
      <w:bookmarkEnd w:id="1596"/>
    </w:p>
    <w:p w:rsidR="00F4654E" w:rsidRDefault="00F4654E">
      <w:pPr>
        <w:pStyle w:val="a5"/>
      </w:pPr>
      <w:r>
        <w:t>Саратовская научно-исследовательская ветеринарная станция</w:t>
      </w:r>
    </w:p>
    <w:p w:rsidR="00F4654E" w:rsidRDefault="00F4654E">
      <w:pPr>
        <w:pStyle w:val="a6"/>
      </w:pPr>
      <w:r>
        <w:t>Низкоэнергетическая фотонная терапия (Low energy photon therapy - LEPT) является высокоэффективным методом в лечении различных нез</w:t>
      </w:r>
      <w:r>
        <w:t>а</w:t>
      </w:r>
      <w:r>
        <w:t>разных болезней, лишённым недостатков, обусловленных побочным де</w:t>
      </w:r>
      <w:r>
        <w:t>й</w:t>
      </w:r>
      <w:r>
        <w:t>ствием на организм животных лекарственных препаратов. Перечень боле</w:t>
      </w:r>
      <w:r>
        <w:t>з</w:t>
      </w:r>
      <w:r>
        <w:t>ней, поддающихся излечению с помощью LEPT, весьма широк. И он н</w:t>
      </w:r>
      <w:r>
        <w:t>е</w:t>
      </w:r>
      <w:r>
        <w:t>прерывно увеличивается по мере наработки клинического опыта, а пер</w:t>
      </w:r>
      <w:r>
        <w:t>е</w:t>
      </w:r>
      <w:r>
        <w:t>чень противопоказаний постепенно сокращается. В России эта область в</w:t>
      </w:r>
      <w:r>
        <w:t>е</w:t>
      </w:r>
      <w:r>
        <w:t>теринарной медицины не достаточно известна практическим ветерина</w:t>
      </w:r>
      <w:r>
        <w:t>р</w:t>
      </w:r>
      <w:r>
        <w:t>ным врачам. Поэтому, внедрение фототерапии, как прогрессивного метода лечения в практику ветеринарных специалистов является злободневной необходимостью.</w:t>
      </w:r>
    </w:p>
    <w:p w:rsidR="00F4654E" w:rsidRDefault="00F4654E">
      <w:pPr>
        <w:pStyle w:val="a6"/>
      </w:pPr>
      <w:r>
        <w:t>С целью определения характера гематологических изменений у бол</w:t>
      </w:r>
      <w:r>
        <w:t>ь</w:t>
      </w:r>
      <w:r>
        <w:t>ных бронхитом телят при воздействии фотонного излучения длинной во</w:t>
      </w:r>
      <w:r>
        <w:t>л</w:t>
      </w:r>
      <w:r>
        <w:t>ны 650 и 890 нм и комбинированной фото-химиотерапии использовали 40 телят, 3-4 месячного возраста, чёрно-пёстрой породы, составляющих ч</w:t>
      </w:r>
      <w:r>
        <w:t>е</w:t>
      </w:r>
      <w:r>
        <w:t>тыре группы по 10 телят - три подопытных и одну контрольную. Первая группа телят подвергалась воздействию красного монохроматического к</w:t>
      </w:r>
      <w:r>
        <w:t>о</w:t>
      </w:r>
      <w:r>
        <w:t>герентного луча лазеропунктатора LP 63-1053, с длиной волны 650 нм, средней мощностью 5 мВт в 20 биологически активных точках (БАТ). Вторая группа телят подвергалась воздействию инфракрасного монохр</w:t>
      </w:r>
      <w:r>
        <w:t>о</w:t>
      </w:r>
      <w:r>
        <w:t>матического некогерентного луча AsGa лазерного аппарата типа “МИЛТА”, с длиной волны 890 нм, средней мощностью 0,7 мВт в 4 БАТ. Третья группа телят подвергалась комбинированному воздействию: ф</w:t>
      </w:r>
      <w:r>
        <w:t>о</w:t>
      </w:r>
      <w:r>
        <w:t>тонному облучению по схеме “LP 63-1053” и воздействию химиотерапе</w:t>
      </w:r>
      <w:r>
        <w:t>в</w:t>
      </w:r>
      <w:r>
        <w:t>тических средств по схеме Pen-Aqueous + Nuflor + Inbound: Pen-Aqueous (пенициллин 300.000 ед./мл, G прокаин, водяная суспензия) по 10 мл, по</w:t>
      </w:r>
      <w:r>
        <w:t>д</w:t>
      </w:r>
      <w:r>
        <w:t>кожно, 1 раз в день, 3 дня (при развитии бронхопневмонии дозу увелич</w:t>
      </w:r>
      <w:r>
        <w:t>и</w:t>
      </w:r>
      <w:r>
        <w:t>вали до 40 мл в день); Nuflor (Florfenicol) по 4 мл, подкожно, 1 раз в день, 3 дня; Inbound (микрофлора рубца; вит. А, B, D, E; Cu, Mg, Fe, Se; сироп свеклы) 1 л, орально, однократно. Определение биохимических показат</w:t>
      </w:r>
      <w:r>
        <w:t>е</w:t>
      </w:r>
      <w:r>
        <w:t>лей крови проводили при помощи электронного анализатора крови «VetScan». В опытные и контрольные группы животных подбирали по принципу аналогов. Половой состав во внимание не принимался.</w:t>
      </w:r>
    </w:p>
    <w:p w:rsidR="00F4654E" w:rsidRDefault="00F4654E">
      <w:pPr>
        <w:pStyle w:val="a6"/>
      </w:pPr>
      <w:r>
        <w:t>При воздействии низкоэнергетического фотонного излучения длиной волны 890 нм гематологические изменения у больных телят, в значител</w:t>
      </w:r>
      <w:r>
        <w:t>ь</w:t>
      </w:r>
      <w:r>
        <w:t>ной степени, зависят от изменений, характерных для бронхитов. В частн</w:t>
      </w:r>
      <w:r>
        <w:t>о</w:t>
      </w:r>
      <w:r>
        <w:t>сти, с первых  суток имело место снижение, повышенных болезнью пар</w:t>
      </w:r>
      <w:r>
        <w:t>а</w:t>
      </w:r>
      <w:r>
        <w:lastRenderedPageBreak/>
        <w:t>метров: уровня лейкоцитов с 13,0 до 10,0 после 10-го сеанса фотонной т</w:t>
      </w:r>
      <w:r>
        <w:t>е</w:t>
      </w:r>
      <w:r>
        <w:t>рапии; СОЭ с 1,6 до 0,8; юных нейтрофилов с 4,6 до 0,4; палочкоядерных нейтрофилов с 9,6 до 4,9; сегментоядерных нейтрофилов с 59,7 до 30,8. И увеличение, сниженного болезнью, количества эритроцитов с 5,6 до 7,1; гемоглобина с 8,8 до 12,6; лимфоцитов от 24,5 до 47,0 и моноцитов от 1,6 до 13,5. Из биохимических параметров изменения коснулись: фосфора, и</w:t>
      </w:r>
      <w:r>
        <w:t>с</w:t>
      </w:r>
      <w:r>
        <w:t xml:space="preserve">ходно пониженное содержание которого повысилось с 4,0 до 5,7; калия – с 14,7 до 19,6; кальция – с  8,0 до 11,3; альбуминов с 2,6 до 3,4; общего белка с 7,3 до 7,7; амилазы с 57 до 60. А повышенное содержание глобулинов нормализовалось с 4,6 до 4,3. </w:t>
      </w:r>
    </w:p>
    <w:p w:rsidR="00F4654E" w:rsidRDefault="00F4654E">
      <w:pPr>
        <w:pStyle w:val="a6"/>
      </w:pPr>
      <w:r>
        <w:t>При фотонной терапии длиной волны 650 нм, наблюдаемые нами г</w:t>
      </w:r>
      <w:r>
        <w:t>е</w:t>
      </w:r>
      <w:r>
        <w:t>матологические и биохимические изменения, не носили существенного о</w:t>
      </w:r>
      <w:r>
        <w:t>т</w:t>
      </w:r>
      <w:r>
        <w:t>личия от изменений, характеризовавших воздействие длиной волны 890 нм. Однако, и в том, и в другом случае стресс-явления, возможные под воздействием сверх пороговых излучений и проявляющихся на гематол</w:t>
      </w:r>
      <w:r>
        <w:t>о</w:t>
      </w:r>
      <w:r>
        <w:t xml:space="preserve">гическом уровне – отсутствовали. </w:t>
      </w:r>
    </w:p>
    <w:p w:rsidR="00F4654E" w:rsidRDefault="00F4654E">
      <w:pPr>
        <w:pStyle w:val="a6"/>
      </w:pPr>
      <w:r>
        <w:t>При комбинированном фото и химиотерапевтическом воздействии принципиальных отличий не было, кроме увеличения количества щело</w:t>
      </w:r>
      <w:r>
        <w:t>ч</w:t>
      </w:r>
      <w:r>
        <w:t>ной фосфатазы с 43 до 58 и щелочной трансферазы, пониженное количес</w:t>
      </w:r>
      <w:r>
        <w:t>т</w:t>
      </w:r>
      <w:r>
        <w:t>во которой нормализовалось с 17,7 до 25,7 после 10-го сеанса комбинир</w:t>
      </w:r>
      <w:r>
        <w:t>о</w:t>
      </w:r>
      <w:r>
        <w:t>ванной терапии.</w:t>
      </w:r>
    </w:p>
    <w:p w:rsidR="00F4654E" w:rsidRDefault="00F4654E">
      <w:pPr>
        <w:pStyle w:val="a6"/>
      </w:pPr>
      <w:r>
        <w:t>Изучая собственно терапевтические возможности фотонной терапии, мы получили следующие результаты. При использовании фотонного изл</w:t>
      </w:r>
      <w:r>
        <w:t>у</w:t>
      </w:r>
      <w:r>
        <w:t>чения длиной волны 890 нм, длительность лечения составила, в среднем 8 дней; при длине волны 650 нм – 8 дней; при фото-химиотерапии – 6 дней. Причём, излечение сопровождалось увеличением прироста. Эффекти</w:t>
      </w:r>
      <w:r>
        <w:t>в</w:t>
      </w:r>
      <w:r>
        <w:t>ность фотонной терапии длиной волны 890 нм составила 80 %, фотонной терапии длиной волны 650 нм – 90 %, фото и  химиотерапевтического во</w:t>
      </w:r>
      <w:r>
        <w:t>з</w:t>
      </w:r>
      <w:r>
        <w:t>действия – 100 %.</w:t>
      </w:r>
    </w:p>
    <w:p w:rsidR="00F4654E" w:rsidRDefault="00F4654E">
      <w:pPr>
        <w:pStyle w:val="a6"/>
      </w:pPr>
      <w:r>
        <w:t>Динамика гематологических и биохимических изменений у телят в возрасте 3 - 4 месяцев свидетельствует о гемомодулирующих свойствах фотонного излучения с параметрами: длина волны 650 нм, средняя мо</w:t>
      </w:r>
      <w:r>
        <w:t>щ</w:t>
      </w:r>
      <w:r>
        <w:t>ность 5 мВт, диаметр луча лазера 2 мм</w:t>
      </w:r>
      <w:r>
        <w:rPr>
          <w:vertAlign w:val="superscript"/>
        </w:rPr>
        <w:t>2</w:t>
      </w:r>
      <w:r>
        <w:t>, доза 0,1 Дж/аку-точку, плотность энергии 18,5 Дж/см</w:t>
      </w:r>
      <w:r>
        <w:rPr>
          <w:vertAlign w:val="superscript"/>
        </w:rPr>
        <w:t>2</w:t>
      </w:r>
      <w:r>
        <w:t>, экспозиция 1 минута на аку-точку, постоянноволн</w:t>
      </w:r>
      <w:r>
        <w:t>о</w:t>
      </w:r>
      <w:r>
        <w:t>вой режим, контактный способ; длина волны 890 нм, средняя мощность 0,7 мВт, площадь облучаемой поверхности 4 см</w:t>
      </w:r>
      <w:r>
        <w:rPr>
          <w:vertAlign w:val="superscript"/>
        </w:rPr>
        <w:t>2</w:t>
      </w:r>
      <w:r>
        <w:t>, доза 0,1 Дж/аку-точку, пло</w:t>
      </w:r>
      <w:r>
        <w:t>т</w:t>
      </w:r>
      <w:r>
        <w:t>ность эне</w:t>
      </w:r>
      <w:r>
        <w:t>р</w:t>
      </w:r>
      <w:r>
        <w:t>гии 0,1 Дж/см</w:t>
      </w:r>
      <w:r>
        <w:rPr>
          <w:vertAlign w:val="superscript"/>
        </w:rPr>
        <w:t>2</w:t>
      </w:r>
      <w:r>
        <w:t>, экспозиция 10 минут на аку-точку, импульсный режим с частотой 1000 Гц, контактный способ. Диапазон их изменений к</w:t>
      </w:r>
      <w:r>
        <w:t>о</w:t>
      </w:r>
      <w:r>
        <w:t>леблется в пределах высших значений физиологической нормы без пр</w:t>
      </w:r>
      <w:r>
        <w:t>и</w:t>
      </w:r>
      <w:r>
        <w:t>знаков побочных явлений, которые может вызвать передозировка лазерн</w:t>
      </w:r>
      <w:r>
        <w:t>о</w:t>
      </w:r>
      <w:r>
        <w:t>го воздействия.</w:t>
      </w:r>
    </w:p>
    <w:p w:rsidR="00F4654E" w:rsidRDefault="00F4654E">
      <w:pPr>
        <w:pStyle w:val="a6"/>
      </w:pPr>
      <w:r>
        <w:t>При использовании низкоэнергетического фотонного излучения дл</w:t>
      </w:r>
      <w:r>
        <w:t>и</w:t>
      </w:r>
      <w:r>
        <w:t xml:space="preserve">ной волны 650 нм продолжительность лечения составила, в среднем, 8 </w:t>
      </w:r>
      <w:r>
        <w:lastRenderedPageBreak/>
        <w:t>дней. При использовании низкоэнергетического фотонного излучения длиной волны 890 нм - 8 дней. Комбинирование фотонной терапии, в уст</w:t>
      </w:r>
      <w:r>
        <w:t>а</w:t>
      </w:r>
      <w:r>
        <w:t>новле</w:t>
      </w:r>
      <w:r>
        <w:t>н</w:t>
      </w:r>
      <w:r>
        <w:t>ных нами параметрах, и химиотерапии по схеме: Pen – Aqueous + Nuflor + Inbound сокращает период излечения и исключает тяжёлые бро</w:t>
      </w:r>
      <w:r>
        <w:t>н</w:t>
      </w:r>
      <w:r>
        <w:t>холёгочные осложнения.</w:t>
      </w:r>
    </w:p>
    <w:p w:rsidR="00F4654E" w:rsidRDefault="00F4654E">
      <w:pPr>
        <w:pStyle w:val="a4"/>
      </w:pPr>
      <w:r>
        <w:t>удк 619:611.1:615.84:636.2</w:t>
      </w:r>
    </w:p>
    <w:p w:rsidR="00F4654E" w:rsidRDefault="00F4654E">
      <w:pPr>
        <w:pStyle w:val="1"/>
      </w:pPr>
      <w:bookmarkStart w:id="1597" w:name="_Toc10115356"/>
      <w:bookmarkStart w:id="1598" w:name="_Toc10731207"/>
      <w:bookmarkStart w:id="1599" w:name="_Toc10731868"/>
      <w:bookmarkStart w:id="1600" w:name="_Toc10891715"/>
      <w:bookmarkStart w:id="1601" w:name="_Toc10892390"/>
      <w:bookmarkStart w:id="1602" w:name="_Toc11390257"/>
      <w:bookmarkStart w:id="1603" w:name="_Toc11839938"/>
      <w:bookmarkStart w:id="1604" w:name="_Toc11937478"/>
      <w:r>
        <w:t>ТЕРАПЕВТИЧЕСКИЙ ЭФФЕКТ НИЗКОЭНЕРГЕТИЧЕСКОЙ ФОТОННОЙ ТЕРАПИИ ПРИ БРОНХИТАХ У ТЕЛЯТ</w:t>
      </w:r>
      <w:bookmarkEnd w:id="1597"/>
      <w:bookmarkEnd w:id="1598"/>
      <w:bookmarkEnd w:id="1599"/>
      <w:bookmarkEnd w:id="1600"/>
      <w:bookmarkEnd w:id="1601"/>
      <w:bookmarkEnd w:id="1602"/>
      <w:bookmarkEnd w:id="1603"/>
      <w:bookmarkEnd w:id="1604"/>
    </w:p>
    <w:p w:rsidR="00F4654E" w:rsidRDefault="00F4654E">
      <w:pPr>
        <w:pStyle w:val="2"/>
      </w:pPr>
      <w:bookmarkStart w:id="1605" w:name="_Toc10115357"/>
      <w:bookmarkStart w:id="1606" w:name="_Toc10731208"/>
      <w:bookmarkStart w:id="1607" w:name="_Toc10731869"/>
      <w:bookmarkStart w:id="1608" w:name="_Toc10891716"/>
      <w:bookmarkStart w:id="1609" w:name="_Toc10892391"/>
      <w:bookmarkStart w:id="1610" w:name="_Toc11390258"/>
      <w:bookmarkStart w:id="1611" w:name="_Toc11937479"/>
      <w:r>
        <w:t>Демидова О. М.</w:t>
      </w:r>
      <w:bookmarkEnd w:id="1605"/>
      <w:bookmarkEnd w:id="1606"/>
      <w:bookmarkEnd w:id="1607"/>
      <w:bookmarkEnd w:id="1608"/>
      <w:bookmarkEnd w:id="1609"/>
      <w:bookmarkEnd w:id="1610"/>
      <w:bookmarkEnd w:id="1611"/>
    </w:p>
    <w:p w:rsidR="00F4654E" w:rsidRDefault="00F4654E">
      <w:pPr>
        <w:pStyle w:val="a5"/>
      </w:pPr>
      <w:r>
        <w:t>Саратовская научно-исследовательская ветеринарная станция</w:t>
      </w:r>
    </w:p>
    <w:p w:rsidR="00F4654E" w:rsidRDefault="00F4654E">
      <w:pPr>
        <w:pStyle w:val="a6"/>
      </w:pPr>
      <w:r>
        <w:t>Бронхит – наиболее распространённое заболевание среди неспециф</w:t>
      </w:r>
      <w:r>
        <w:t>и</w:t>
      </w:r>
      <w:r>
        <w:t>ческих легочных болезней. Его прогрессирование приводит к тяжёлой, н</w:t>
      </w:r>
      <w:r>
        <w:t>е</w:t>
      </w:r>
      <w:r>
        <w:t>обратимой бронхолегочной патологии и к большим экономическим пот</w:t>
      </w:r>
      <w:r>
        <w:t>е</w:t>
      </w:r>
      <w:r>
        <w:t>рям из-за падежа телят и затрат на дорогостоящее лечение, к тому же, тр</w:t>
      </w:r>
      <w:r>
        <w:t>а</w:t>
      </w:r>
      <w:r>
        <w:t>диционные методы не дают ожидаемого эффекта. До сегодняшнего врем</w:t>
      </w:r>
      <w:r>
        <w:t>е</w:t>
      </w:r>
      <w:r>
        <w:t>ни, у</w:t>
      </w:r>
      <w:r>
        <w:t>с</w:t>
      </w:r>
      <w:r>
        <w:t>пехи борьбы с этой патологией в ветеринарии не велики и требуют новых подходов к терапии. Наиболее перспективным направлением сег</w:t>
      </w:r>
      <w:r>
        <w:t>о</w:t>
      </w:r>
      <w:r>
        <w:t>дня явл</w:t>
      </w:r>
      <w:r>
        <w:t>я</w:t>
      </w:r>
      <w:r>
        <w:t>ется фотонная терапия. Интерес к данной области определяется выгодным спектром показаний, отсутствием побочного действия, безб</w:t>
      </w:r>
      <w:r>
        <w:t>о</w:t>
      </w:r>
      <w:r>
        <w:t>лезненностью процедур, хорошей сочетаемостью их с фармакологическ</w:t>
      </w:r>
      <w:r>
        <w:t>и</w:t>
      </w:r>
      <w:r>
        <w:t xml:space="preserve">ми средствами, экологической чистотой. </w:t>
      </w:r>
    </w:p>
    <w:p w:rsidR="00F4654E" w:rsidRDefault="00F4654E">
      <w:pPr>
        <w:pStyle w:val="a6"/>
      </w:pPr>
      <w:r>
        <w:t>При изучении терапевтической эффективности низкоэнергетической фотонной терапии бронхитов у телят использовали 126 телят чёрно-пёстрой породы, в возрасте от 1 до 6 месяцев из которых 43 телёнка были подверж</w:t>
      </w:r>
      <w:r>
        <w:t>е</w:t>
      </w:r>
      <w:r>
        <w:t>ны фотонной терапии, а 83 – традиционным методам лечения.</w:t>
      </w:r>
    </w:p>
    <w:p w:rsidR="00F4654E" w:rsidRDefault="00F4654E">
      <w:pPr>
        <w:pStyle w:val="a6"/>
      </w:pPr>
      <w:r>
        <w:t>В фототерапевтических обработках использовали терапевтические л</w:t>
      </w:r>
      <w:r>
        <w:t>а</w:t>
      </w:r>
      <w:r>
        <w:t>зерные генераторы коммерческих образцов типа «МИЛТА» с длиной во</w:t>
      </w:r>
      <w:r>
        <w:t>л</w:t>
      </w:r>
      <w:r>
        <w:t>ны 890 нм и LP 63-1053 с длиной волны 650 нм зарубежного производства. Биологически активные точки (БАТ) диагностировали электронным ак</w:t>
      </w:r>
      <w:r>
        <w:t>у</w:t>
      </w:r>
      <w:r>
        <w:t>пунктоскопом AWQ–104B. При использовании красного монохроматич</w:t>
      </w:r>
      <w:r>
        <w:t>е</w:t>
      </w:r>
      <w:r>
        <w:t>ского когерентного луча лазеропунктатора LP 63-1053 с длиной волны 650 нм, средней мощностью 5 мВт облучение проводили два раза в день, ко</w:t>
      </w:r>
      <w:r>
        <w:t>н</w:t>
      </w:r>
      <w:r>
        <w:t>тактным способом, 10 дней подряд, с экспозицией 1 минута, с плотностью энергии 18,5 Дж/см</w:t>
      </w:r>
      <w:r>
        <w:rPr>
          <w:vertAlign w:val="superscript"/>
        </w:rPr>
        <w:t>2</w:t>
      </w:r>
      <w:r>
        <w:t>, в дозе 0,1 Дж/аку-точку, диаметром луча 0,02 см</w:t>
      </w:r>
      <w:r>
        <w:rPr>
          <w:vertAlign w:val="superscript"/>
        </w:rPr>
        <w:t>2</w:t>
      </w:r>
      <w:r>
        <w:t>, в постоянно волновом режиме, в 20-и БАТ: BL-14, 15, 16, 17, 42, 43, 44, 45 (с двух сторон), ST-11, PC-1 (слева), LIV-14, GB-25 (справа), в полной дозе 4 Дж на животное. При использовании инфракрасного  монохроматического некогерентного луча AsGa лазерного аппарата типа “МИЛТА” с длиной волны 890 нм, средней мощностью 0,7 мВт облучение проводили один раз в день, контактным способом, 10 дней подряд, с экспозицией 10 минут, с плотностью энергии 0,1 Дж/см</w:t>
      </w:r>
      <w:r>
        <w:rPr>
          <w:vertAlign w:val="superscript"/>
        </w:rPr>
        <w:t>2</w:t>
      </w:r>
      <w:r>
        <w:t xml:space="preserve">, в дозе 0,1 Дж/аку-точку, при частоте 1000 </w:t>
      </w:r>
      <w:r>
        <w:lastRenderedPageBreak/>
        <w:t>Гц и площадью облучаемой поверхности 4 см</w:t>
      </w:r>
      <w:r>
        <w:rPr>
          <w:vertAlign w:val="superscript"/>
        </w:rPr>
        <w:t>2</w:t>
      </w:r>
      <w:r>
        <w:t xml:space="preserve">, в 4-х БАТ: BL-42, 43 (с двух сторон), в полной дозе 0,4 Дж на одно животное. </w:t>
      </w:r>
    </w:p>
    <w:p w:rsidR="00F4654E" w:rsidRDefault="00F4654E">
      <w:pPr>
        <w:pStyle w:val="a6"/>
      </w:pPr>
      <w:r>
        <w:t>При испытании этих схем в производственном опыте, получены сл</w:t>
      </w:r>
      <w:r>
        <w:t>е</w:t>
      </w:r>
      <w:r>
        <w:t xml:space="preserve">дующие результаты. </w:t>
      </w:r>
    </w:p>
    <w:p w:rsidR="00F4654E" w:rsidRDefault="00F4654E">
      <w:pPr>
        <w:pStyle w:val="a6"/>
      </w:pPr>
      <w:r>
        <w:t>В осенне-зимний период, из 18 больных острыми респираторными болезнями телят, подверженных фотонной терапии, 3 телёнка остались больными, 15 – выздоровело. Длительность лечения составила в среднем 8 дней, среднесуточный прирост – 406 г. Эффективность терапии составила 84 %. Тогда, как из 18 больных телят подверженных традиционному мет</w:t>
      </w:r>
      <w:r>
        <w:t>о</w:t>
      </w:r>
      <w:r>
        <w:t>ду леч</w:t>
      </w:r>
      <w:r>
        <w:t>е</w:t>
      </w:r>
      <w:r>
        <w:t>ния 8 телят осталось больными, 10 – выздоровело. Длительность лечения составила в среднем 10 дней, среднесуточный прирост – 348 г. Эффекти</w:t>
      </w:r>
      <w:r>
        <w:t>в</w:t>
      </w:r>
      <w:r>
        <w:t>ность терапии составила 56 %.</w:t>
      </w:r>
    </w:p>
    <w:p w:rsidR="00F4654E" w:rsidRDefault="00F4654E">
      <w:pPr>
        <w:pStyle w:val="a6"/>
      </w:pPr>
      <w:r>
        <w:t>В весенне-летний период, из 25 больных острыми респираторными болезнями телят, подверженных фотонной терапии, 3 телёнка остались больными, 22 – выздоровело. Длительность лечения составила в среднем 7 дней, среднесуточный прирост – 545 г. Эффективность терапии составила 88 %. Тогда, как из 65 больных телят подверженных традиционному мет</w:t>
      </w:r>
      <w:r>
        <w:t>о</w:t>
      </w:r>
      <w:r>
        <w:t>ду леч</w:t>
      </w:r>
      <w:r>
        <w:t>е</w:t>
      </w:r>
      <w:r>
        <w:t>ния 27 телят остались больными, 38 – выздоровело. Длительность лечения составила в среднем 9 дней, среднесуточный прирост – 498 г. Э</w:t>
      </w:r>
      <w:r>
        <w:t>ф</w:t>
      </w:r>
      <w:r>
        <w:t>фекти</w:t>
      </w:r>
      <w:r>
        <w:t>в</w:t>
      </w:r>
      <w:r>
        <w:t>ность терапии составила 59 %.</w:t>
      </w:r>
    </w:p>
    <w:p w:rsidR="00F4654E" w:rsidRDefault="00F4654E">
      <w:pPr>
        <w:pStyle w:val="a6"/>
      </w:pPr>
      <w:r>
        <w:t>Полученные результаты продемонстрировали, что применение низк</w:t>
      </w:r>
      <w:r>
        <w:t>о</w:t>
      </w:r>
      <w:r>
        <w:t>энергетической фотонной терапии через биологически активные точки п</w:t>
      </w:r>
      <w:r>
        <w:t>о</w:t>
      </w:r>
      <w:r>
        <w:t>вышает терапевтическую эффективность на 29 %, сокращает сроки леч</w:t>
      </w:r>
      <w:r>
        <w:t>е</w:t>
      </w:r>
      <w:r>
        <w:t>ния, в среднем на 2 дня, уменьшает лекарственную нагрузку, что даёт зн</w:t>
      </w:r>
      <w:r>
        <w:t>а</w:t>
      </w:r>
      <w:r>
        <w:t>чительный экономический эффект.</w:t>
      </w:r>
    </w:p>
    <w:p w:rsidR="00F4654E" w:rsidRDefault="00F4654E">
      <w:pPr>
        <w:pStyle w:val="a4"/>
      </w:pPr>
      <w:r>
        <w:t>УДК 619:616:319</w:t>
      </w:r>
    </w:p>
    <w:p w:rsidR="00F4654E" w:rsidRDefault="00F4654E">
      <w:pPr>
        <w:pStyle w:val="1"/>
      </w:pPr>
      <w:bookmarkStart w:id="1612" w:name="_Toc10115362"/>
      <w:bookmarkStart w:id="1613" w:name="_Toc10731213"/>
      <w:bookmarkStart w:id="1614" w:name="_Toc10731874"/>
      <w:bookmarkStart w:id="1615" w:name="_Toc10891721"/>
      <w:bookmarkStart w:id="1616" w:name="_Toc10892396"/>
      <w:bookmarkStart w:id="1617" w:name="_Toc11390263"/>
      <w:bookmarkStart w:id="1618" w:name="_Toc11839944"/>
      <w:bookmarkStart w:id="1619" w:name="_Toc11937480"/>
      <w:r>
        <w:t>РАСПРОСТРАНЕНИЕ И ЭТИОЛОГИЯ РАХИТА У ПОРОСЯТ В СВИНОВОДЧЕСКИХ ХОЗЯЙСТВАХ РОСТОВСКОЙ ОБЛАСТИ</w:t>
      </w:r>
      <w:bookmarkEnd w:id="1612"/>
      <w:bookmarkEnd w:id="1613"/>
      <w:bookmarkEnd w:id="1614"/>
      <w:bookmarkEnd w:id="1615"/>
      <w:bookmarkEnd w:id="1616"/>
      <w:bookmarkEnd w:id="1617"/>
      <w:bookmarkEnd w:id="1618"/>
      <w:bookmarkEnd w:id="1619"/>
    </w:p>
    <w:p w:rsidR="00F4654E" w:rsidRDefault="00F4654E">
      <w:pPr>
        <w:pStyle w:val="2"/>
      </w:pPr>
      <w:bookmarkStart w:id="1620" w:name="_Toc10115363"/>
      <w:bookmarkStart w:id="1621" w:name="_Toc10731214"/>
      <w:bookmarkStart w:id="1622" w:name="_Toc10731875"/>
      <w:bookmarkStart w:id="1623" w:name="_Toc10891722"/>
      <w:bookmarkStart w:id="1624" w:name="_Toc10892397"/>
      <w:bookmarkStart w:id="1625" w:name="_Toc11390264"/>
      <w:bookmarkStart w:id="1626" w:name="_Toc11937481"/>
      <w:r>
        <w:t>Дерезина Т.Н.</w:t>
      </w:r>
      <w:bookmarkEnd w:id="1620"/>
      <w:bookmarkEnd w:id="1621"/>
      <w:bookmarkEnd w:id="1622"/>
      <w:bookmarkEnd w:id="1623"/>
      <w:bookmarkEnd w:id="1624"/>
      <w:bookmarkEnd w:id="1625"/>
      <w:bookmarkEnd w:id="1626"/>
    </w:p>
    <w:p w:rsidR="00F4654E" w:rsidRDefault="00F4654E">
      <w:pPr>
        <w:pStyle w:val="a5"/>
      </w:pPr>
      <w:r>
        <w:t>Донской  государственный аграрный университет</w:t>
      </w:r>
    </w:p>
    <w:p w:rsidR="00F4654E" w:rsidRPr="00414261" w:rsidRDefault="00F4654E">
      <w:pPr>
        <w:pStyle w:val="a6"/>
        <w:rPr>
          <w:spacing w:val="-2"/>
        </w:rPr>
      </w:pPr>
      <w:r w:rsidRPr="00414261">
        <w:rPr>
          <w:spacing w:val="-2"/>
        </w:rPr>
        <w:t>Выявление степени распространения и характера проявления</w:t>
      </w:r>
      <w:r w:rsidRPr="00414261">
        <w:rPr>
          <w:b/>
          <w:spacing w:val="-2"/>
        </w:rPr>
        <w:t xml:space="preserve"> </w:t>
      </w:r>
      <w:r w:rsidRPr="00414261">
        <w:rPr>
          <w:spacing w:val="-2"/>
        </w:rPr>
        <w:t>рахита у поросят проводили путем анализа данных ветеринарной отчетности, клин</w:t>
      </w:r>
      <w:r w:rsidRPr="00414261">
        <w:rPr>
          <w:spacing w:val="-2"/>
        </w:rPr>
        <w:t>и</w:t>
      </w:r>
      <w:r w:rsidRPr="00414261">
        <w:rPr>
          <w:spacing w:val="-2"/>
        </w:rPr>
        <w:t>ческого обследования и биохимических исследований крови у свинопогол</w:t>
      </w:r>
      <w:r w:rsidRPr="00414261">
        <w:rPr>
          <w:spacing w:val="-2"/>
        </w:rPr>
        <w:t>о</w:t>
      </w:r>
      <w:r w:rsidRPr="00414261">
        <w:rPr>
          <w:spacing w:val="-2"/>
        </w:rPr>
        <w:t>вья. Рахит у поросят встречается в большинстве районов Ростовской обла</w:t>
      </w:r>
      <w:r w:rsidRPr="00414261">
        <w:rPr>
          <w:spacing w:val="-2"/>
        </w:rPr>
        <w:t>с</w:t>
      </w:r>
      <w:r w:rsidRPr="00414261">
        <w:rPr>
          <w:spacing w:val="-2"/>
        </w:rPr>
        <w:t>ти.  Установлено, что во многих хозяйствах более 20% поросят в от</w:t>
      </w:r>
      <w:r w:rsidRPr="00414261">
        <w:rPr>
          <w:spacing w:val="-2"/>
        </w:rPr>
        <w:t>ъ</w:t>
      </w:r>
      <w:r w:rsidRPr="00414261">
        <w:rPr>
          <w:spacing w:val="-2"/>
        </w:rPr>
        <w:t>емном во</w:t>
      </w:r>
      <w:r w:rsidRPr="00414261">
        <w:rPr>
          <w:spacing w:val="-2"/>
        </w:rPr>
        <w:t>з</w:t>
      </w:r>
      <w:r w:rsidRPr="00414261">
        <w:rPr>
          <w:spacing w:val="-2"/>
        </w:rPr>
        <w:t>расте являются гипотрофиками, из которых около 80% страдают D-витаминной недостаточностью и нарушением кальциево-фосфорного обм</w:t>
      </w:r>
      <w:r w:rsidRPr="00414261">
        <w:rPr>
          <w:spacing w:val="-2"/>
        </w:rPr>
        <w:t>е</w:t>
      </w:r>
      <w:r w:rsidRPr="00414261">
        <w:rPr>
          <w:spacing w:val="-2"/>
        </w:rPr>
        <w:t>на. Субклиническая форма рахита отмечалась у 35% животных в во</w:t>
      </w:r>
      <w:r w:rsidRPr="00414261">
        <w:rPr>
          <w:spacing w:val="-2"/>
        </w:rPr>
        <w:t>з</w:t>
      </w:r>
      <w:r w:rsidRPr="00414261">
        <w:rPr>
          <w:spacing w:val="-2"/>
        </w:rPr>
        <w:t>расте 1-1,5 месяцев, а у 22%  в возрасте 2-6 месяцев рахит протекал с в</w:t>
      </w:r>
      <w:r w:rsidRPr="00414261">
        <w:rPr>
          <w:spacing w:val="-2"/>
        </w:rPr>
        <w:t>ы</w:t>
      </w:r>
      <w:r w:rsidRPr="00414261">
        <w:rPr>
          <w:spacing w:val="-2"/>
        </w:rPr>
        <w:t xml:space="preserve">раженными клиническими признаками. Заболеваемость поросят рахитом в Ростовской области  носила сезонный характер. Болезнь преимущественно встречалась </w:t>
      </w:r>
      <w:r w:rsidRPr="00414261">
        <w:rPr>
          <w:spacing w:val="-2"/>
        </w:rPr>
        <w:lastRenderedPageBreak/>
        <w:t>в зимне-весенний период с декабря по апрель (70-75% заболеваемости). Причинами рахита в большинстве случаев являлись неудовл</w:t>
      </w:r>
      <w:r w:rsidRPr="00414261">
        <w:rPr>
          <w:spacing w:val="-2"/>
        </w:rPr>
        <w:t>е</w:t>
      </w:r>
      <w:r w:rsidRPr="00414261">
        <w:rPr>
          <w:spacing w:val="-2"/>
        </w:rPr>
        <w:t>творительное кормление супоросных и лактирующих  свиноматок и пор</w:t>
      </w:r>
      <w:r w:rsidRPr="00414261">
        <w:rPr>
          <w:spacing w:val="-2"/>
        </w:rPr>
        <w:t>о</w:t>
      </w:r>
      <w:r w:rsidRPr="00414261">
        <w:rPr>
          <w:spacing w:val="-2"/>
        </w:rPr>
        <w:t>сят, содержание их в помещениях, не отвечающих требованиям зоогиги</w:t>
      </w:r>
      <w:r w:rsidRPr="00414261">
        <w:rPr>
          <w:spacing w:val="-2"/>
        </w:rPr>
        <w:t>е</w:t>
      </w:r>
      <w:r w:rsidRPr="00414261">
        <w:rPr>
          <w:spacing w:val="-2"/>
        </w:rPr>
        <w:t>ны.</w:t>
      </w:r>
    </w:p>
    <w:p w:rsidR="00F4654E" w:rsidRDefault="00F4654E">
      <w:pPr>
        <w:pStyle w:val="a6"/>
      </w:pPr>
      <w:r>
        <w:t>Анализ кормовой базы свиноводства области показал, что до 30% концентрированных кормов и до 15-62% силоса и сенажа являются н</w:t>
      </w:r>
      <w:r>
        <w:t>е</w:t>
      </w:r>
      <w:r>
        <w:t>классными. В результате дороговизны и недоступности специализирова</w:t>
      </w:r>
      <w:r>
        <w:t>н</w:t>
      </w:r>
      <w:r>
        <w:t>ных  ко</w:t>
      </w:r>
      <w:r>
        <w:t>м</w:t>
      </w:r>
      <w:r>
        <w:t>бикормов  для большинства свиноводческих хозяйств  структура рациона часто менялась, и они являлись неполноценными по энергии, пр</w:t>
      </w:r>
      <w:r>
        <w:t>о</w:t>
      </w:r>
      <w:r>
        <w:t>теину, а особенно по минеральным компонентам, и  витаминам А, D и группы В.</w:t>
      </w:r>
    </w:p>
    <w:p w:rsidR="00F4654E" w:rsidRDefault="00F4654E">
      <w:pPr>
        <w:pStyle w:val="a6"/>
      </w:pPr>
      <w:r>
        <w:t>В результате исследований выяснили, что рационы кормления для свиноматок и откормочного молодняка  в среднем не удовлетворяли п</w:t>
      </w:r>
      <w:r>
        <w:t>о</w:t>
      </w:r>
      <w:r>
        <w:t>требность организма по общей питательности на 3, переваримому проте</w:t>
      </w:r>
      <w:r>
        <w:t>и</w:t>
      </w:r>
      <w:r>
        <w:t>ну – на 9,5, кальцию – на 26-57,8, фосфору – на 12-28,6, меди – на 25-48,4, марганцу – на 36,9-48,1, кобальту – на 63,6-75,1%, витамину D – на 78%.</w:t>
      </w:r>
    </w:p>
    <w:p w:rsidR="00F4654E" w:rsidRDefault="00F4654E">
      <w:pPr>
        <w:pStyle w:val="a6"/>
      </w:pPr>
      <w:r>
        <w:t>Неслучайно исследования более 10 тыс. проб крови свиней в облас</w:t>
      </w:r>
      <w:r>
        <w:t>т</w:t>
      </w:r>
      <w:r>
        <w:t>ной и районных лабораториях в 1999-2001гг. показали, что у животных в 43-47% случаев нарушен минеральный, в 32,0-38,8% - белковый обмены и в 58,0-65,4% - кислотно-щелочное равновесие. Все это сопровождалось я</w:t>
      </w:r>
      <w:r>
        <w:t>р</w:t>
      </w:r>
      <w:r>
        <w:t>ко выраженной  гипокальцемией.</w:t>
      </w:r>
    </w:p>
    <w:p w:rsidR="00F4654E" w:rsidRDefault="00F4654E">
      <w:pPr>
        <w:pStyle w:val="a6"/>
      </w:pPr>
      <w:r>
        <w:t>Микроклимат помещений для свиней почти постоянно не отвечал требованиям технологии по воздухообмену, концентрации углекислого г</w:t>
      </w:r>
      <w:r>
        <w:t>а</w:t>
      </w:r>
      <w:r>
        <w:t>за, аммиака, отмечалась повышенная влажность воздуха, неудовлетвор</w:t>
      </w:r>
      <w:r>
        <w:t>и</w:t>
      </w:r>
      <w:r>
        <w:t>тельная освещенность и пониженная температура. Отсутствие  ультрафи</w:t>
      </w:r>
      <w:r>
        <w:t>о</w:t>
      </w:r>
      <w:r>
        <w:t>лет</w:t>
      </w:r>
      <w:r>
        <w:t>о</w:t>
      </w:r>
      <w:r>
        <w:t>вого облучения усугубляло  действие неблагоприятных факторов.</w:t>
      </w:r>
    </w:p>
    <w:p w:rsidR="00F4654E" w:rsidRDefault="00F4654E">
      <w:pPr>
        <w:pStyle w:val="a6"/>
      </w:pPr>
      <w:r>
        <w:t>Таким образом, основными причинами развития рахита у поросят в Ростовской области явились: неполноценность рационов по питательным элементам, особенно минеральным компонентам и витаминам, рождение гипотрофичного молодняка с низкой естественной резистентностью и и</w:t>
      </w:r>
      <w:r>
        <w:t>м</w:t>
      </w:r>
      <w:r>
        <w:t>мунологической реактивностью, недостаточная инсоляция животных уль</w:t>
      </w:r>
      <w:r>
        <w:t>т</w:t>
      </w:r>
      <w:r>
        <w:t>рафиолетовыми лучами в зимний период, неудовлетворительные условия содержания.</w:t>
      </w:r>
    </w:p>
    <w:p w:rsidR="00F4654E" w:rsidRDefault="00F4654E">
      <w:pPr>
        <w:pStyle w:val="a4"/>
      </w:pPr>
      <w:r>
        <w:t>УДК 619:616:319</w:t>
      </w:r>
    </w:p>
    <w:p w:rsidR="00F4654E" w:rsidRDefault="00F4654E">
      <w:pPr>
        <w:pStyle w:val="1"/>
      </w:pPr>
      <w:bookmarkStart w:id="1627" w:name="_Toc10115364"/>
      <w:bookmarkStart w:id="1628" w:name="_Toc10731215"/>
      <w:bookmarkStart w:id="1629" w:name="_Toc10731876"/>
      <w:bookmarkStart w:id="1630" w:name="_Toc10891723"/>
      <w:bookmarkStart w:id="1631" w:name="_Toc10892398"/>
      <w:bookmarkStart w:id="1632" w:name="_Toc11390265"/>
      <w:bookmarkStart w:id="1633" w:name="_Toc11839946"/>
      <w:bookmarkStart w:id="1634" w:name="_Toc11937482"/>
      <w:r>
        <w:t>КОМПЛЕКСНОЕ ЛЕЧЕНИЕ ПОРОСЯТ,  БОЛЬНЫХ  СУБКЛИНИЧЕСКИМ РАХИТОМ</w:t>
      </w:r>
      <w:bookmarkEnd w:id="1627"/>
      <w:bookmarkEnd w:id="1628"/>
      <w:bookmarkEnd w:id="1629"/>
      <w:bookmarkEnd w:id="1630"/>
      <w:bookmarkEnd w:id="1631"/>
      <w:bookmarkEnd w:id="1632"/>
      <w:bookmarkEnd w:id="1633"/>
      <w:bookmarkEnd w:id="1634"/>
    </w:p>
    <w:p w:rsidR="00F4654E" w:rsidRDefault="00F4654E">
      <w:pPr>
        <w:pStyle w:val="2"/>
      </w:pPr>
      <w:bookmarkStart w:id="1635" w:name="_Toc10115365"/>
      <w:bookmarkStart w:id="1636" w:name="_Toc10731216"/>
      <w:bookmarkStart w:id="1637" w:name="_Toc10731877"/>
      <w:bookmarkStart w:id="1638" w:name="_Toc10891724"/>
      <w:bookmarkStart w:id="1639" w:name="_Toc10892399"/>
      <w:bookmarkStart w:id="1640" w:name="_Toc11390266"/>
      <w:bookmarkStart w:id="1641" w:name="_Toc11937483"/>
      <w:r>
        <w:t>Дерезина Т.Н.</w:t>
      </w:r>
      <w:bookmarkEnd w:id="1635"/>
      <w:bookmarkEnd w:id="1636"/>
      <w:bookmarkEnd w:id="1637"/>
      <w:bookmarkEnd w:id="1638"/>
      <w:bookmarkEnd w:id="1639"/>
      <w:bookmarkEnd w:id="1640"/>
      <w:bookmarkEnd w:id="1641"/>
    </w:p>
    <w:p w:rsidR="00F4654E" w:rsidRDefault="00F4654E">
      <w:pPr>
        <w:pStyle w:val="a5"/>
      </w:pPr>
      <w:r>
        <w:t>Донской  государственный аграрный университет</w:t>
      </w:r>
    </w:p>
    <w:p w:rsidR="00F4654E" w:rsidRDefault="00F4654E">
      <w:pPr>
        <w:pStyle w:val="a6"/>
      </w:pPr>
      <w:r>
        <w:t>Проведенными нами многолетними научно-практическими исслед</w:t>
      </w:r>
      <w:r>
        <w:t>о</w:t>
      </w:r>
      <w:r>
        <w:t>ваниями установлено, что рахит поросят широко распространен в колле</w:t>
      </w:r>
      <w:r>
        <w:t>к</w:t>
      </w:r>
      <w:r>
        <w:t>тивных и во вновь созданных крестьянских и фермерских хозяйствах Ро</w:t>
      </w:r>
      <w:r>
        <w:t>с</w:t>
      </w:r>
      <w:r>
        <w:lastRenderedPageBreak/>
        <w:t>товской области. Молодняк болеет субклиническим рахитом (35%) в во</w:t>
      </w:r>
      <w:r>
        <w:t>з</w:t>
      </w:r>
      <w:r>
        <w:t>расте 1-1,5 месяца, клинически выраженным (28%) случаев – в 2-4 месяца. Болезнь н</w:t>
      </w:r>
      <w:r>
        <w:t>о</w:t>
      </w:r>
      <w:r>
        <w:t xml:space="preserve">сит хронический  характер. </w:t>
      </w:r>
    </w:p>
    <w:p w:rsidR="00F4654E" w:rsidRDefault="00F4654E">
      <w:pPr>
        <w:pStyle w:val="a6"/>
      </w:pPr>
      <w:r>
        <w:t>Наряду с патологией костной системы нарушается кроветворение, снижается тонус скелетной и гладкой мускулатуры, вследствие чего н</w:t>
      </w:r>
      <w:r>
        <w:t>а</w:t>
      </w:r>
      <w:r>
        <w:t>ступает атония кишечника, появляются расстройства органов дыхания, сердечно-сосудистой, пищеварительной систем, нарушаются биохимич</w:t>
      </w:r>
      <w:r>
        <w:t>е</w:t>
      </w:r>
      <w:r>
        <w:t>ские процессы в организме, существенно снижается неспецифическая р</w:t>
      </w:r>
      <w:r>
        <w:t>е</w:t>
      </w:r>
      <w:r>
        <w:t xml:space="preserve">зистентность. </w:t>
      </w:r>
    </w:p>
    <w:p w:rsidR="00F4654E" w:rsidRDefault="00F4654E">
      <w:pPr>
        <w:pStyle w:val="a6"/>
      </w:pPr>
      <w:r>
        <w:t>Для эффективного лечения необходимо помимо восстановления н</w:t>
      </w:r>
      <w:r>
        <w:t>а</w:t>
      </w:r>
      <w:r>
        <w:t>рушенного минерального обмена воздействовать на все органы и системы, страдающие при рахите. Существующие на сегодняшний день стандар</w:t>
      </w:r>
      <w:r>
        <w:t>т</w:t>
      </w:r>
      <w:r>
        <w:t>ные схемы, включающие применение витаминных препаратов и минерал</w:t>
      </w:r>
      <w:r>
        <w:t>ь</w:t>
      </w:r>
      <w:r>
        <w:t>ных добавок уже не удовлетворяют эти требованиям.</w:t>
      </w:r>
    </w:p>
    <w:p w:rsidR="00F4654E" w:rsidRDefault="00F4654E">
      <w:pPr>
        <w:pStyle w:val="a6"/>
      </w:pPr>
      <w:r>
        <w:t>Нами был испытан комплексный препарат аминовит, содержащий экстракт плаценты, нуклеинат натрия, 20 аминокислот, водо- и жирора</w:t>
      </w:r>
      <w:r>
        <w:t>с</w:t>
      </w:r>
      <w:r>
        <w:t>творимые витамины, источники липидов.  В опытной  группе поросят в возрасте 1-2 месяца применяли аминовит в дозе 0,3 мл/кг в сутки внутр</w:t>
      </w:r>
      <w:r>
        <w:t>и</w:t>
      </w:r>
      <w:r>
        <w:t>мышечно в течение 10 дней. Поросятам контрольной группы внутрим</w:t>
      </w:r>
      <w:r>
        <w:t>ы</w:t>
      </w:r>
      <w:r>
        <w:t>шечно вводили тривитамин в дозе 0,1 мл/кг один раз в три дня, три инъе</w:t>
      </w:r>
      <w:r>
        <w:t>к</w:t>
      </w:r>
      <w:r>
        <w:t>ции на курс леч</w:t>
      </w:r>
      <w:r>
        <w:t>е</w:t>
      </w:r>
      <w:r>
        <w:t xml:space="preserve">ния. </w:t>
      </w:r>
    </w:p>
    <w:p w:rsidR="00F4654E" w:rsidRDefault="00F4654E">
      <w:pPr>
        <w:pStyle w:val="a6"/>
      </w:pPr>
      <w:r>
        <w:t>В качестве минеральной подкормки в обеих группах использовали бентонитовую глину, добываемую в Тарасовском районе Ростовской о</w:t>
      </w:r>
      <w:r>
        <w:t>б</w:t>
      </w:r>
      <w:r>
        <w:t>ласти, в дозе 0,1 г/кг один раз в день с кормом.</w:t>
      </w:r>
    </w:p>
    <w:p w:rsidR="00F4654E" w:rsidRDefault="00F4654E">
      <w:pPr>
        <w:pStyle w:val="a6"/>
      </w:pPr>
      <w:r>
        <w:t>До начала лечения в крови  у животных опытной и контрольной групп отмечали гипохромную анемию и лейкоцитоз, содержание неорганическ</w:t>
      </w:r>
      <w:r>
        <w:t>о</w:t>
      </w:r>
      <w:r>
        <w:t>го фосфора было выше нормы, повышена активность щелочной фосфат</w:t>
      </w:r>
      <w:r>
        <w:t>а</w:t>
      </w:r>
      <w:r>
        <w:t>зы, общий кальций находился на нижних пределах физиологических кол</w:t>
      </w:r>
      <w:r>
        <w:t>е</w:t>
      </w:r>
      <w:r>
        <w:t>баний, ионизированный значительно снижен. Уровень бактерицидной и лизоцимной активность сыворотки крови свидетельствовал о значител</w:t>
      </w:r>
      <w:r>
        <w:t>ь</w:t>
      </w:r>
      <w:r>
        <w:t>ном снижении н</w:t>
      </w:r>
      <w:r>
        <w:t>е</w:t>
      </w:r>
      <w:r>
        <w:t>специфической резистентности организма поросят.</w:t>
      </w:r>
    </w:p>
    <w:p w:rsidR="00F4654E" w:rsidRDefault="00F4654E">
      <w:pPr>
        <w:pStyle w:val="a6"/>
      </w:pPr>
      <w:r>
        <w:t>В период лечения у поросят, получавших аминовит число эритроц</w:t>
      </w:r>
      <w:r>
        <w:t>и</w:t>
      </w:r>
      <w:r>
        <w:t>тов и количество гемоглобина в крои достоверно (Р&lt;0,01) возросло. По окончании лечения (через 10 дней) эти показатели продолжали повышат</w:t>
      </w:r>
      <w:r>
        <w:t>ь</w:t>
      </w:r>
      <w:r>
        <w:t>ся. У животных контрольной группы достоверных изменений не наблюд</w:t>
      </w:r>
      <w:r>
        <w:t>а</w:t>
      </w:r>
      <w:r>
        <w:t>ли. По окончании лечения показатели минерального обмена у поросят опытной группы находились в пределах физиологических колебаний (н</w:t>
      </w:r>
      <w:r>
        <w:t>е</w:t>
      </w:r>
      <w:r>
        <w:t>органический фосфор - 1,26±0,01; общий кальций - 2,78±0,04; ионизир</w:t>
      </w:r>
      <w:r>
        <w:t>о</w:t>
      </w:r>
      <w:r>
        <w:t>ванный кальций - 1,5±0,06 ммоль/л; активность щелочной фосфатазы -2,56±0,07 ммоль/ч л). В контрольной группе столь положительной динам</w:t>
      </w:r>
      <w:r>
        <w:t>и</w:t>
      </w:r>
      <w:r>
        <w:t xml:space="preserve">ки не наблюдали. </w:t>
      </w:r>
    </w:p>
    <w:p w:rsidR="00F4654E" w:rsidRDefault="00F4654E">
      <w:pPr>
        <w:pStyle w:val="a6"/>
      </w:pPr>
      <w:r>
        <w:t>При использовании аминовита у животных опытной группы уже в процессе лечения достоверно повысилась бактерицидная и лизоцимная а</w:t>
      </w:r>
      <w:r>
        <w:t>к</w:t>
      </w:r>
      <w:r>
        <w:lastRenderedPageBreak/>
        <w:t>ти</w:t>
      </w:r>
      <w:r>
        <w:t>в</w:t>
      </w:r>
      <w:r>
        <w:t>ность сыворотки крови. У поросят контрольной группы только через 10 дней лечения бактерицидная активность сыворотки крови незначительно, но достоверно (Р&lt;0,05) повысилась, лизоцимная оставалась без достове</w:t>
      </w:r>
      <w:r>
        <w:t>р</w:t>
      </w:r>
      <w:r>
        <w:t>ных изменений. Среднесуточные приросты за 20 дней наблюдения в сре</w:t>
      </w:r>
      <w:r>
        <w:t>д</w:t>
      </w:r>
      <w:r>
        <w:t>нем по опы</w:t>
      </w:r>
      <w:r>
        <w:t>т</w:t>
      </w:r>
      <w:r>
        <w:t>ной группе составили 250-300 г, по контрольной 100-120 г.</w:t>
      </w:r>
    </w:p>
    <w:p w:rsidR="00F4654E" w:rsidRDefault="00F4654E">
      <w:pPr>
        <w:pStyle w:val="a6"/>
      </w:pPr>
      <w:r>
        <w:t>Результаты проведенных исследований подтвердили эффективность лечения препаратами нового поколения, к которым относится комплек</w:t>
      </w:r>
      <w:r>
        <w:t>с</w:t>
      </w:r>
      <w:r>
        <w:t xml:space="preserve">ный препарат аминовит в сочетании с минеральными добавками. </w:t>
      </w:r>
    </w:p>
    <w:p w:rsidR="00F4654E" w:rsidRDefault="00F4654E">
      <w:pPr>
        <w:pStyle w:val="a6"/>
      </w:pPr>
      <w:r>
        <w:t>Главной особенностью таких препаратов является не только воздейс</w:t>
      </w:r>
      <w:r>
        <w:t>т</w:t>
      </w:r>
      <w:r>
        <w:t>вие на симптомы болезни, но и модулирование состояния иммунной си</w:t>
      </w:r>
      <w:r>
        <w:t>с</w:t>
      </w:r>
      <w:r>
        <w:t>темы, активизация неспецифической резистентности организма в соотве</w:t>
      </w:r>
      <w:r>
        <w:t>т</w:t>
      </w:r>
      <w:r>
        <w:t>ствии с его биологическими особенностями.</w:t>
      </w:r>
    </w:p>
    <w:p w:rsidR="00F4654E" w:rsidRDefault="00F4654E">
      <w:pPr>
        <w:pStyle w:val="a4"/>
      </w:pPr>
      <w:r>
        <w:t>УДК 619:616:319</w:t>
      </w:r>
    </w:p>
    <w:p w:rsidR="00F4654E" w:rsidRDefault="00F4654E">
      <w:pPr>
        <w:pStyle w:val="1"/>
      </w:pPr>
      <w:bookmarkStart w:id="1642" w:name="_Toc10115366"/>
      <w:bookmarkStart w:id="1643" w:name="_Toc10731217"/>
      <w:bookmarkStart w:id="1644" w:name="_Toc10731878"/>
      <w:bookmarkStart w:id="1645" w:name="_Toc10891725"/>
      <w:bookmarkStart w:id="1646" w:name="_Toc10892400"/>
      <w:bookmarkStart w:id="1647" w:name="_Toc11390267"/>
      <w:bookmarkStart w:id="1648" w:name="_Toc11839948"/>
      <w:bookmarkStart w:id="1649" w:name="_Toc11937484"/>
      <w:r>
        <w:t>ОСОБЕННОСТИ ДИАГНОСТИКИ СУБКЛИНИЧЕСКОГО РАХИТА У ПОРОСЯТ</w:t>
      </w:r>
      <w:bookmarkEnd w:id="1642"/>
      <w:bookmarkEnd w:id="1643"/>
      <w:bookmarkEnd w:id="1644"/>
      <w:bookmarkEnd w:id="1645"/>
      <w:bookmarkEnd w:id="1646"/>
      <w:bookmarkEnd w:id="1647"/>
      <w:bookmarkEnd w:id="1648"/>
      <w:bookmarkEnd w:id="1649"/>
    </w:p>
    <w:p w:rsidR="00F4654E" w:rsidRDefault="00F4654E">
      <w:pPr>
        <w:pStyle w:val="2"/>
      </w:pPr>
      <w:bookmarkStart w:id="1650" w:name="_Toc10115367"/>
      <w:bookmarkStart w:id="1651" w:name="_Toc10731218"/>
      <w:bookmarkStart w:id="1652" w:name="_Toc10731879"/>
      <w:bookmarkStart w:id="1653" w:name="_Toc10891726"/>
      <w:bookmarkStart w:id="1654" w:name="_Toc10892401"/>
      <w:bookmarkStart w:id="1655" w:name="_Toc11390268"/>
      <w:bookmarkStart w:id="1656" w:name="_Toc11937485"/>
      <w:r>
        <w:t>Дерезина Т.Н., Камчатный Д.В.</w:t>
      </w:r>
      <w:bookmarkEnd w:id="1650"/>
      <w:bookmarkEnd w:id="1651"/>
      <w:bookmarkEnd w:id="1652"/>
      <w:bookmarkEnd w:id="1653"/>
      <w:bookmarkEnd w:id="1654"/>
      <w:bookmarkEnd w:id="1655"/>
      <w:bookmarkEnd w:id="1656"/>
    </w:p>
    <w:p w:rsidR="00F4654E" w:rsidRDefault="00F4654E">
      <w:pPr>
        <w:pStyle w:val="a5"/>
      </w:pPr>
      <w:r>
        <w:t>Донской  государственный аграрный университет</w:t>
      </w:r>
    </w:p>
    <w:p w:rsidR="00F4654E" w:rsidRDefault="00F4654E">
      <w:pPr>
        <w:pStyle w:val="a6"/>
      </w:pPr>
      <w:r>
        <w:t>Рахит – хроническое заболевание молодняка, отражающееся почти на всех жизненных функциях растущего организма, с преимущественным расстройством D-витаминного и фосфорно-кальциевого обмена и знач</w:t>
      </w:r>
      <w:r>
        <w:t>и</w:t>
      </w:r>
      <w:r>
        <w:t>тельным нарушением процессов костеобразования. Поэтому так важно    выявление  скрытой  формы болезни, с тем чтобы иметь  возможность пр</w:t>
      </w:r>
      <w:r>
        <w:t>о</w:t>
      </w:r>
      <w:r>
        <w:t>вести лечебное вмешательство на более раннем этапе, пока не произошли необратимые изменения.</w:t>
      </w:r>
    </w:p>
    <w:p w:rsidR="00F4654E" w:rsidRDefault="00F4654E">
      <w:pPr>
        <w:pStyle w:val="a6"/>
      </w:pPr>
      <w:r>
        <w:t>Диагностику субклинического рахита в СПК «Русь» Сальского района Ростовской области проводили комплексно. Учитывали анамнестические данные, анализируя рационы кормления супоросных, лактирующих св</w:t>
      </w:r>
      <w:r>
        <w:t>и</w:t>
      </w:r>
      <w:r>
        <w:t>ном</w:t>
      </w:r>
      <w:r>
        <w:t>а</w:t>
      </w:r>
      <w:r>
        <w:t>ток и поросят до отъема, а также условия их содержания. Проводили  клин</w:t>
      </w:r>
      <w:r>
        <w:t>и</w:t>
      </w:r>
      <w:r>
        <w:t>ческое обследование поросят, а также биохимические исследования крови.</w:t>
      </w:r>
    </w:p>
    <w:p w:rsidR="00F4654E" w:rsidRDefault="00F4654E">
      <w:pPr>
        <w:pStyle w:val="a6"/>
      </w:pPr>
      <w:r>
        <w:t>Анализируя рационы кормления супоросных и лактирующих свин</w:t>
      </w:r>
      <w:r>
        <w:t>о</w:t>
      </w:r>
      <w:r>
        <w:t>маток и поросят до отъема  с учетом фактического содержания в их ко</w:t>
      </w:r>
      <w:r>
        <w:t>м</w:t>
      </w:r>
      <w:r>
        <w:t>понентах макро – и микроэлементов, определенных методом атомной а</w:t>
      </w:r>
      <w:r>
        <w:t>д</w:t>
      </w:r>
      <w:r>
        <w:t>сорбции, выяснили, что дефицит кальция составлял 53, цинка 82, меди 73,6, марганца 67, кобальта 55,2%. При клиническом исследовании отм</w:t>
      </w:r>
      <w:r>
        <w:t>е</w:t>
      </w:r>
      <w:r>
        <w:t>чали изменения в поведении животных. Поросята были беспокойными, много двигались. Во время отдыха сильно вздрагивали на внезапный шум или стук. Температура тела колеб</w:t>
      </w:r>
      <w:r>
        <w:t>а</w:t>
      </w:r>
      <w:r>
        <w:t>лась в пределах 39,5±0,3</w:t>
      </w:r>
      <w:r>
        <w:rPr>
          <w:vertAlign w:val="superscript"/>
        </w:rPr>
        <w:t>0</w:t>
      </w:r>
      <w:r>
        <w:t>;частота пульса составляла 83,0±2,7</w:t>
      </w:r>
      <w:r>
        <w:rPr>
          <w:vertAlign w:val="superscript"/>
        </w:rPr>
        <w:t>0</w:t>
      </w:r>
      <w:r>
        <w:t>;частота дыхательных движений в минуту не прев</w:t>
      </w:r>
      <w:r>
        <w:t>ы</w:t>
      </w:r>
      <w:r>
        <w:t>шала 28,0±2.2. Эти признаки не специфичны и часто оставались незам</w:t>
      </w:r>
      <w:r>
        <w:t>е</w:t>
      </w:r>
      <w:r>
        <w:t>ченными обслуживающим персон</w:t>
      </w:r>
      <w:r>
        <w:t>а</w:t>
      </w:r>
      <w:r>
        <w:t xml:space="preserve">лом и ветеринарными специалистами. </w:t>
      </w:r>
    </w:p>
    <w:p w:rsidR="00F4654E" w:rsidRDefault="00F4654E">
      <w:pPr>
        <w:pStyle w:val="a6"/>
      </w:pPr>
      <w:r>
        <w:lastRenderedPageBreak/>
        <w:t>Исследования крови у поросят в возрасте 1-3 месяца, больных су</w:t>
      </w:r>
      <w:r>
        <w:t>б</w:t>
      </w:r>
      <w:r>
        <w:t>клиническим рахитом показали, что число эритроцитов в крови было сн</w:t>
      </w:r>
      <w:r>
        <w:t>и</w:t>
      </w:r>
      <w:r>
        <w:t>жено; количество гемоглобина  ниже, чем у здоровых животных в среднем на 8,4 г/л. При биохимических исследованиях крови установили, что ур</w:t>
      </w:r>
      <w:r>
        <w:t>о</w:t>
      </w:r>
      <w:r>
        <w:t>вень общего кальция сыворотки крови больных поросят находился на нижних пределах физиологических колебаний, в то время как фракцио</w:t>
      </w:r>
      <w:r>
        <w:t>н</w:t>
      </w:r>
      <w:r>
        <w:t>ный состав кальция претерпел значительные изменения. Содержание и</w:t>
      </w:r>
      <w:r>
        <w:t>о</w:t>
      </w:r>
      <w:r>
        <w:t>низированного кальция в крови, по сравнению со здоровыми животными, уменьшилось на 36%, а  кальция, входящего в состав небелковых компле</w:t>
      </w:r>
      <w:r>
        <w:t>к</w:t>
      </w:r>
      <w:r>
        <w:t>сов, увеличилось на 16%. Количество белковосвязанного кальция осталось почти неизмененным, разница со здоровыми животными не превышала 0,08 ммоль/л. Неорганический фосфор в крови больных животных был выше, чем у здоровых на 10,3%. Активность щелочной фосфатазы пов</w:t>
      </w:r>
      <w:r>
        <w:t>ы</w:t>
      </w:r>
      <w:r>
        <w:t>шена на 1,77 ммоль/ч л, а р</w:t>
      </w:r>
      <w:r>
        <w:t>е</w:t>
      </w:r>
      <w:r>
        <w:t>зервная щелочность снижена на 5,85 об.% СО</w:t>
      </w:r>
      <w:r>
        <w:rPr>
          <w:vertAlign w:val="subscript"/>
        </w:rPr>
        <w:t>2</w:t>
      </w:r>
      <w:r>
        <w:t>. Все изменения были достоверны. Содержание жизненно важных микр</w:t>
      </w:r>
      <w:r>
        <w:t>о</w:t>
      </w:r>
      <w:r>
        <w:t>элементов в крови поросят, больных субклиническим рахитом, по сравн</w:t>
      </w:r>
      <w:r>
        <w:t>е</w:t>
      </w:r>
      <w:r>
        <w:t>нию со здоровыми животн</w:t>
      </w:r>
      <w:r>
        <w:t>ы</w:t>
      </w:r>
      <w:r>
        <w:t>ми также было снижено: марганца – на 0, 451, кобальта – на 0,136; цинка – на 1,9; меди – на 1,92 мкмоль/л.</w:t>
      </w:r>
    </w:p>
    <w:p w:rsidR="00F4654E" w:rsidRDefault="00F4654E">
      <w:pPr>
        <w:pStyle w:val="a6"/>
      </w:pPr>
      <w:r>
        <w:t>Таким образом, очень четко прослеживается взаимосвязь между уро</w:t>
      </w:r>
      <w:r>
        <w:t>в</w:t>
      </w:r>
      <w:r>
        <w:t xml:space="preserve">нем кормления как супоросных и лактирующих свиноматок, так и поросят  до отъема, с нарушением минерального обмена в их  организме. </w:t>
      </w:r>
    </w:p>
    <w:p w:rsidR="00F4654E" w:rsidRDefault="00F4654E">
      <w:pPr>
        <w:pStyle w:val="a6"/>
      </w:pPr>
      <w:r>
        <w:t>Субклинический рахит не сопровождается четко выраженными кл</w:t>
      </w:r>
      <w:r>
        <w:t>и</w:t>
      </w:r>
      <w:r>
        <w:t>ническими признаками, поэтому ранняя диагностика его возможна лишь при комплексной системе, включающей данные анализов рационов кор</w:t>
      </w:r>
      <w:r>
        <w:t>м</w:t>
      </w:r>
      <w:r>
        <w:t>ления и биохимических исследований крови.</w:t>
      </w:r>
    </w:p>
    <w:p w:rsidR="00F4654E" w:rsidRDefault="00F4654E">
      <w:pPr>
        <w:pStyle w:val="a4"/>
      </w:pPr>
      <w:r>
        <w:t>УДК 636.4.082.453.53</w:t>
      </w:r>
    </w:p>
    <w:p w:rsidR="00F4654E" w:rsidRDefault="00F4654E">
      <w:pPr>
        <w:pStyle w:val="1"/>
      </w:pPr>
      <w:bookmarkStart w:id="1657" w:name="_Toc10115370"/>
      <w:bookmarkStart w:id="1658" w:name="_Toc10731221"/>
      <w:bookmarkStart w:id="1659" w:name="_Toc10731882"/>
      <w:bookmarkStart w:id="1660" w:name="_Toc10891729"/>
      <w:bookmarkStart w:id="1661" w:name="_Toc10892404"/>
      <w:bookmarkStart w:id="1662" w:name="_Toc11390271"/>
      <w:bookmarkStart w:id="1663" w:name="_Toc11839950"/>
      <w:bookmarkStart w:id="1664" w:name="_Toc11937486"/>
      <w:r>
        <w:t>Повышение воспроизводительной функции хряков с использованием родиолы розовой</w:t>
      </w:r>
      <w:bookmarkEnd w:id="1657"/>
      <w:bookmarkEnd w:id="1658"/>
      <w:bookmarkEnd w:id="1659"/>
      <w:bookmarkEnd w:id="1660"/>
      <w:bookmarkEnd w:id="1661"/>
      <w:bookmarkEnd w:id="1662"/>
      <w:bookmarkEnd w:id="1663"/>
      <w:bookmarkEnd w:id="1664"/>
    </w:p>
    <w:p w:rsidR="00F4654E" w:rsidRDefault="00F4654E">
      <w:pPr>
        <w:pStyle w:val="2"/>
      </w:pPr>
      <w:bookmarkStart w:id="1665" w:name="_Toc10115371"/>
      <w:bookmarkStart w:id="1666" w:name="_Toc10731222"/>
      <w:bookmarkStart w:id="1667" w:name="_Toc10731883"/>
      <w:bookmarkStart w:id="1668" w:name="_Toc10891730"/>
      <w:bookmarkStart w:id="1669" w:name="_Toc10892405"/>
      <w:bookmarkStart w:id="1670" w:name="_Toc11390272"/>
      <w:bookmarkStart w:id="1671" w:name="_Toc11937487"/>
      <w:r>
        <w:t>Джамалдинов А.Ч.</w:t>
      </w:r>
      <w:bookmarkEnd w:id="1665"/>
      <w:bookmarkEnd w:id="1666"/>
      <w:bookmarkEnd w:id="1667"/>
      <w:bookmarkEnd w:id="1668"/>
      <w:bookmarkEnd w:id="1669"/>
      <w:bookmarkEnd w:id="1670"/>
      <w:bookmarkEnd w:id="1671"/>
    </w:p>
    <w:p w:rsidR="00F4654E" w:rsidRDefault="00F4654E">
      <w:pPr>
        <w:pStyle w:val="a5"/>
      </w:pPr>
      <w:r>
        <w:t>Всероссийский научно-исследовательский институт свиноводства</w:t>
      </w:r>
    </w:p>
    <w:p w:rsidR="00F4654E" w:rsidRDefault="00F4654E">
      <w:pPr>
        <w:pStyle w:val="a6"/>
      </w:pPr>
      <w:r>
        <w:t>Интенсификация производства свиноводческой продукции предопр</w:t>
      </w:r>
      <w:r>
        <w:t>е</w:t>
      </w:r>
      <w:r>
        <w:t>деляет необходимость рационального использования выдающихся в пл</w:t>
      </w:r>
      <w:r>
        <w:t>е</w:t>
      </w:r>
      <w:r>
        <w:t>менном отношении хряков-производителей.</w:t>
      </w:r>
    </w:p>
    <w:p w:rsidR="00F4654E" w:rsidRDefault="00F4654E">
      <w:pPr>
        <w:pStyle w:val="a6"/>
      </w:pPr>
      <w:r>
        <w:t>В действительности же во многих хозяйствах условия содержания, кормления и другие факторы далеки от идеального, что в конечном итоге приводит к тому, что особенно в летне-осенний период времени знач</w:t>
      </w:r>
      <w:r>
        <w:t>и</w:t>
      </w:r>
      <w:r>
        <w:t>тельное число производителей не проявляют своих потенциальных во</w:t>
      </w:r>
      <w:r>
        <w:t>з</w:t>
      </w:r>
      <w:r>
        <w:t>можн</w:t>
      </w:r>
      <w:r>
        <w:t>о</w:t>
      </w:r>
      <w:r>
        <w:t>стей. С целью устранения данного недостатка ранее применялись гормональные препараты, дозированный контакт с половозрелыми свин</w:t>
      </w:r>
      <w:r>
        <w:t>о</w:t>
      </w:r>
      <w:r>
        <w:t>матками в состоянии охоты, адаптогенные и другие растительные препар</w:t>
      </w:r>
      <w:r>
        <w:t>а</w:t>
      </w:r>
      <w:r>
        <w:t>ты.</w:t>
      </w:r>
    </w:p>
    <w:p w:rsidR="00F4654E" w:rsidRDefault="00F4654E">
      <w:pPr>
        <w:pStyle w:val="a6"/>
      </w:pPr>
      <w:r>
        <w:lastRenderedPageBreak/>
        <w:t>Мы в своих опытах использовали сухие препараты из корней родиолы розовой, выращенной в природных условиях Алтая. Опыты проводили в колхозах им. Фрунзе Белгородской области и им. Гурьянова Калужской области на хряках крупной белой породы. В осенне-летний период форм</w:t>
      </w:r>
      <w:r>
        <w:t>и</w:t>
      </w:r>
      <w:r>
        <w:t>ровали группы хряков-аналогов в возрасте 2-3 года. В первом опыте хр</w:t>
      </w:r>
      <w:r>
        <w:t>я</w:t>
      </w:r>
      <w:r>
        <w:t>ков с пониженной потенцией разделили на 4 группы, первая из которых служила контролем, а животным остальных 3-х групп скармливали сухой порошок корней родиолы розовой в течение 60 дней по следующей схеме: 2-я группа – 1 г в сутки, 3-я – 2 г в сутки и 4-я группа – 3 г в сутки.</w:t>
      </w:r>
    </w:p>
    <w:p w:rsidR="00F4654E" w:rsidRDefault="00F4654E">
      <w:pPr>
        <w:pStyle w:val="a6"/>
      </w:pPr>
      <w:r>
        <w:t>Через 15 и 30 дней после начала эксперимента изучили содержание в сыворотки крови опытных и контрольных животных общего белка, глюк</w:t>
      </w:r>
      <w:r>
        <w:t>о</w:t>
      </w:r>
      <w:r>
        <w:t>зы, триглицеридов, холестерина, тестостерона, а также показатели спермы и результативность осеменения свиноматок.</w:t>
      </w:r>
    </w:p>
    <w:p w:rsidR="00F4654E" w:rsidRDefault="00F4654E">
      <w:pPr>
        <w:pStyle w:val="a6"/>
      </w:pPr>
      <w:r>
        <w:t>Вскармливание хрякам сухих препаратов из корней родиолы розовой дало положительный результат.</w:t>
      </w:r>
      <w:r w:rsidR="00414261">
        <w:t xml:space="preserve"> </w:t>
      </w:r>
      <w:r>
        <w:t>Так, например, до вскармливания препар</w:t>
      </w:r>
      <w:r>
        <w:t>а</w:t>
      </w:r>
      <w:r>
        <w:t>та в опытных группах и контрольной уровень общего белка в сыворотке крови был ниже нормал</w:t>
      </w:r>
      <w:r>
        <w:t>ь</w:t>
      </w:r>
      <w:r>
        <w:t>ных показателей и составлял летом 66,9 г/л и 69,7 г/л осенью. Однако уже через 15 дней после скармливания уровень пов</w:t>
      </w:r>
      <w:r>
        <w:t>ы</w:t>
      </w:r>
      <w:r>
        <w:t>сился летом до 75,8 г/л, осенью до 76,9 г/л, а через 30 дней этот уровень достиг летом 79,3 г/л, а осенью 80,5 г/л. Наилучшие результаты были при скармливании 3 г преп</w:t>
      </w:r>
      <w:r>
        <w:t>а</w:t>
      </w:r>
      <w:r>
        <w:t>рата из корней родиолы розовой, особенно осенью.</w:t>
      </w:r>
      <w:r w:rsidR="00414261">
        <w:t xml:space="preserve"> </w:t>
      </w:r>
      <w:r>
        <w:t>Содержание глюкозы в сыворотке крови животных опытных и контрол</w:t>
      </w:r>
      <w:r>
        <w:t>ь</w:t>
      </w:r>
      <w:r>
        <w:t>ных групп также было низким в начале эксперимента и составляло 1,11 моль/л летом и 1,98 моль/л – осенью. Через 15 дней уровень глюкозы п</w:t>
      </w:r>
      <w:r>
        <w:t>о</w:t>
      </w:r>
      <w:r>
        <w:t>высился до 1,64 моль/л – летом и 2,62 моль/л – осенью, а через 30 дней он достиг 1,92 моль/л – летом и 2,70 моль/л – осенью, что значительно выше его начального уровня.</w:t>
      </w:r>
      <w:r w:rsidR="00414261">
        <w:t xml:space="preserve"> </w:t>
      </w:r>
      <w:r>
        <w:t>Изучение уровня триглицеридов и холестерина д</w:t>
      </w:r>
      <w:r>
        <w:t>а</w:t>
      </w:r>
      <w:r>
        <w:t>ло следующую картину. Содержание триглицеридов в крови опытных ж</w:t>
      </w:r>
      <w:r>
        <w:t>и</w:t>
      </w:r>
      <w:r>
        <w:t>вотных до кормления составляло 0,32 моль/л – летом и 0,33 моль/л – ос</w:t>
      </w:r>
      <w:r>
        <w:t>е</w:t>
      </w:r>
      <w:r>
        <w:t>нью. Однако после скармливания различных доз препаратов отмечается незначительное повышение уровня триглицеридов в сыворотке крови опытных животных (0,04-0,13 моль/л), что не дает достоверной разности с контролем. Что к</w:t>
      </w:r>
      <w:r>
        <w:t>а</w:t>
      </w:r>
      <w:r>
        <w:t>сается содержания холестерина, то его уровень через 15 дней повысился на незначительную величину, а через 30 дней повысился на 18,3% при скар</w:t>
      </w:r>
      <w:r>
        <w:t>м</w:t>
      </w:r>
      <w:r>
        <w:t>ливании 3 г препарата в день.</w:t>
      </w:r>
    </w:p>
    <w:p w:rsidR="00F4654E" w:rsidRDefault="00F4654E">
      <w:pPr>
        <w:pStyle w:val="a6"/>
      </w:pPr>
      <w:r>
        <w:t>При скармливании указанных выше доз препаратов родиолы розовой наилучшие результаты по показателям тестостерона в сыворотке крови были в группах, где скармливали 2 и 3 г препарата и превышали исходные показатели в 1,44-1,48 раза – летом и 1,51-1,66 раз – осенью. Показатели спермопродукции изучали летом и осенью в течение двух месяцев, учит</w:t>
      </w:r>
      <w:r>
        <w:t>ы</w:t>
      </w:r>
      <w:r>
        <w:t xml:space="preserve">вая при этом количество полученных спермодоз, количество эякулятов, их средний объем от одного производителя. Наименее эффективной оказалась подкормка в дозе 1 г препарата. В двух других группах объем эякулята был </w:t>
      </w:r>
      <w:r>
        <w:lastRenderedPageBreak/>
        <w:t>выше, чем в контроле на 7,9-13,8% в летнее время и 7,2-10,7% в осеннее время. Концентрация спермиев во всех опытах практически не зависела от дозы препарата при скармливании.</w:t>
      </w:r>
      <w:r w:rsidR="00414261">
        <w:t xml:space="preserve"> </w:t>
      </w:r>
      <w:r>
        <w:t>Осеменение свиноматок свежеразба</w:t>
      </w:r>
      <w:r>
        <w:t>в</w:t>
      </w:r>
      <w:r>
        <w:t>ленной спермой хряков, получивших различные дозы препарата корней родиолы розовой показало, что в группах хряков, получивших 1; 2 и 3 г препарата в сутки процент опор</w:t>
      </w:r>
      <w:r>
        <w:t>о</w:t>
      </w:r>
      <w:r>
        <w:t>сившихся свиноматок повышается на 5,3; 11,7 и 14,4% летом и на 7,2; 14,1 и 14,7% осенью. Многоплодие повыс</w:t>
      </w:r>
      <w:r>
        <w:t>и</w:t>
      </w:r>
      <w:r>
        <w:t>лось при этом на 1,1-3,2%.</w:t>
      </w:r>
    </w:p>
    <w:p w:rsidR="00F4654E" w:rsidRDefault="00F4654E">
      <w:pPr>
        <w:pStyle w:val="a6"/>
      </w:pPr>
      <w:r>
        <w:t>Таким образом, скармливание сухого препарата родиолы розовой дает очень хорошие результаты. Повышается потенциал хряков, увеличивается объем полученной спермы, результативность осеменения, а также норм</w:t>
      </w:r>
      <w:r>
        <w:t>а</w:t>
      </w:r>
      <w:r>
        <w:t>лизуется обмен веществ в организме хряков.</w:t>
      </w:r>
    </w:p>
    <w:p w:rsidR="00F4654E" w:rsidRDefault="00F4654E">
      <w:pPr>
        <w:pStyle w:val="a4"/>
      </w:pPr>
      <w:r>
        <w:t>УДК 636.2.087.24/74</w:t>
      </w:r>
    </w:p>
    <w:p w:rsidR="00F4654E" w:rsidRDefault="00F4654E">
      <w:pPr>
        <w:pStyle w:val="1"/>
      </w:pPr>
      <w:bookmarkStart w:id="1672" w:name="_Toc10115368"/>
      <w:bookmarkStart w:id="1673" w:name="_Toc10731219"/>
      <w:bookmarkStart w:id="1674" w:name="_Toc10731880"/>
      <w:bookmarkStart w:id="1675" w:name="_Toc10891727"/>
      <w:bookmarkStart w:id="1676" w:name="_Toc10892402"/>
      <w:bookmarkStart w:id="1677" w:name="_Toc11390269"/>
      <w:bookmarkStart w:id="1678" w:name="_Toc11839952"/>
      <w:bookmarkStart w:id="1679" w:name="_Toc11937488"/>
      <w:r>
        <w:t>Влияние скармливания амаранта,  возделываемого в Азербайджане, на липидные соединение в сыворотке крови мододняка крс</w:t>
      </w:r>
      <w:bookmarkEnd w:id="1672"/>
      <w:bookmarkEnd w:id="1673"/>
      <w:bookmarkEnd w:id="1674"/>
      <w:bookmarkEnd w:id="1675"/>
      <w:bookmarkEnd w:id="1676"/>
      <w:bookmarkEnd w:id="1677"/>
      <w:bookmarkEnd w:id="1678"/>
      <w:bookmarkEnd w:id="1679"/>
    </w:p>
    <w:p w:rsidR="00F4654E" w:rsidRDefault="00F4654E">
      <w:pPr>
        <w:pStyle w:val="2"/>
      </w:pPr>
      <w:bookmarkStart w:id="1680" w:name="_Toc10115369"/>
      <w:bookmarkStart w:id="1681" w:name="_Toc10731220"/>
      <w:bookmarkStart w:id="1682" w:name="_Toc10731881"/>
      <w:bookmarkStart w:id="1683" w:name="_Toc10891728"/>
      <w:bookmarkStart w:id="1684" w:name="_Toc10892403"/>
      <w:bookmarkStart w:id="1685" w:name="_Toc11390270"/>
      <w:bookmarkStart w:id="1686" w:name="_Toc11937489"/>
      <w:r>
        <w:t xml:space="preserve">Джалладов </w:t>
      </w:r>
      <w:r>
        <w:rPr>
          <w:caps/>
        </w:rPr>
        <w:t>г.ш.</w:t>
      </w:r>
      <w:bookmarkEnd w:id="1680"/>
      <w:bookmarkEnd w:id="1681"/>
      <w:bookmarkEnd w:id="1682"/>
      <w:bookmarkEnd w:id="1683"/>
      <w:bookmarkEnd w:id="1684"/>
      <w:bookmarkEnd w:id="1685"/>
      <w:bookmarkEnd w:id="1686"/>
    </w:p>
    <w:p w:rsidR="00F4654E" w:rsidRDefault="00F4654E">
      <w:pPr>
        <w:pStyle w:val="a5"/>
      </w:pPr>
      <w:r>
        <w:t>Азербайджанский научно-исследовательский ветеринарный институт</w:t>
      </w:r>
    </w:p>
    <w:p w:rsidR="00F4654E" w:rsidRDefault="00F4654E">
      <w:pPr>
        <w:pStyle w:val="a6"/>
      </w:pPr>
      <w:r>
        <w:t>Недостаток протеина в рационе отрицательно сказывается на здоровье животных, ведет к снижению продуктивности и качества продукции, ухудшению воспроизводительной функции, нарушению обмена веществ. Дефицит протеина в рационах создается в основном в результате испол</w:t>
      </w:r>
      <w:r>
        <w:t>ь</w:t>
      </w:r>
      <w:r>
        <w:t>зование растений или кормов с низким его со</w:t>
      </w:r>
      <w:r>
        <w:softHyphen/>
        <w:t>держанием.</w:t>
      </w:r>
    </w:p>
    <w:p w:rsidR="00F4654E" w:rsidRDefault="00F4654E">
      <w:pPr>
        <w:pStyle w:val="a6"/>
      </w:pPr>
      <w:r>
        <w:t>Целью нашей работы являлось изучить влияние скармливания мо</w:t>
      </w:r>
      <w:r>
        <w:softHyphen/>
        <w:t>лодняку КРС высокобелковых растений - амарант на липидные соеди</w:t>
      </w:r>
      <w:r>
        <w:softHyphen/>
        <w:t>нения в сыворотке крови.</w:t>
      </w:r>
    </w:p>
    <w:p w:rsidR="00F4654E" w:rsidRDefault="00F4654E">
      <w:pPr>
        <w:pStyle w:val="a6"/>
      </w:pPr>
      <w:r>
        <w:t>Опыты были проведены в 2-х периодах на девяти головах 12-15 м</w:t>
      </w:r>
      <w:r>
        <w:t>е</w:t>
      </w:r>
      <w:r>
        <w:t>сячного возраста молодняка КРС черно-пестрой породы. Животные были разделены на три группы по три головы в каждой. В первом периоде все животные получали основной рацион (ОР), состоящий из обычных и ко</w:t>
      </w:r>
      <w:r>
        <w:t>м</w:t>
      </w:r>
      <w:r>
        <w:t>бинированных кормов. Во втором пери</w:t>
      </w:r>
      <w:r>
        <w:softHyphen/>
        <w:t>оде животные дополнительно к ОР получали зеленый амарант в фа</w:t>
      </w:r>
      <w:r>
        <w:softHyphen/>
        <w:t>зе до цветения в количестве: 1 группа – 5 кг, 2 группа – 10 кг и 3 группа – 15 кг. Продолжительность каждого пери</w:t>
      </w:r>
      <w:r>
        <w:t>о</w:t>
      </w:r>
      <w:r>
        <w:t>да составляла 30 дней. Для исследование кровь брали из яремной вены до и через 3 часа после кормления животных. Общие липиды и их классы б</w:t>
      </w:r>
      <w:r>
        <w:t>ы</w:t>
      </w:r>
      <w:r>
        <w:t>ли определены по методу J. Folch с последними модификациями.</w:t>
      </w:r>
    </w:p>
    <w:p w:rsidR="00F4654E" w:rsidRDefault="00F4654E">
      <w:pPr>
        <w:pStyle w:val="a6"/>
      </w:pPr>
      <w:r>
        <w:t>Установлено, что скармливание животных амаранта приводит к ув</w:t>
      </w:r>
      <w:r>
        <w:t>е</w:t>
      </w:r>
      <w:r>
        <w:t>личению в сыворотке крови общих липидов на 12-14 %.</w:t>
      </w:r>
    </w:p>
    <w:p w:rsidR="00F4654E" w:rsidRDefault="00F4654E">
      <w:pPr>
        <w:pStyle w:val="a6"/>
      </w:pPr>
      <w:r>
        <w:t>С помощью тонкослойной хроматографии общие липиды крови бы</w:t>
      </w:r>
      <w:r>
        <w:softHyphen/>
        <w:t xml:space="preserve">ли разделены на 7 классов липидных соединений, среди которых у всех групп </w:t>
      </w:r>
      <w:r>
        <w:lastRenderedPageBreak/>
        <w:t>основное место занимают стеролы, триацилглицеролы, фосфолипиды и н</w:t>
      </w:r>
      <w:r>
        <w:t>е</w:t>
      </w:r>
      <w:r>
        <w:t>эстерифицированные жирные кислоты.</w:t>
      </w:r>
    </w:p>
    <w:p w:rsidR="00F4654E" w:rsidRPr="00414261" w:rsidRDefault="00F4654E">
      <w:pPr>
        <w:pStyle w:val="a6"/>
        <w:rPr>
          <w:spacing w:val="-2"/>
        </w:rPr>
      </w:pPr>
      <w:r w:rsidRPr="00414261">
        <w:rPr>
          <w:spacing w:val="-2"/>
        </w:rPr>
        <w:t>Изучение отдельных классов липидов показывает, что при вклю</w:t>
      </w:r>
      <w:r w:rsidRPr="00414261">
        <w:rPr>
          <w:spacing w:val="-2"/>
        </w:rPr>
        <w:softHyphen/>
        <w:t>чение в рацион животных зеленого амаранта особых изменений в их динамике не обнаруживается. Из выявленных тенденций можно отметить увеличение количество фосфолидидов и нейтральных жиров за счет уменьшение стер</w:t>
      </w:r>
      <w:r w:rsidRPr="00414261">
        <w:rPr>
          <w:spacing w:val="-2"/>
        </w:rPr>
        <w:t>о</w:t>
      </w:r>
      <w:r w:rsidRPr="00414261">
        <w:rPr>
          <w:spacing w:val="-2"/>
        </w:rPr>
        <w:t>лов. Концентрация моно- и диацилглицеролов в сыворотке крови в ко</w:t>
      </w:r>
      <w:r w:rsidRPr="00414261">
        <w:rPr>
          <w:spacing w:val="-2"/>
        </w:rPr>
        <w:t>н</w:t>
      </w:r>
      <w:r w:rsidRPr="00414261">
        <w:rPr>
          <w:spacing w:val="-2"/>
        </w:rPr>
        <w:t>трольном и опытном периоде опытов были почти одинаковыми. Однако все выявленные изменение не выходили за пределы физи</w:t>
      </w:r>
      <w:r w:rsidRPr="00414261">
        <w:rPr>
          <w:spacing w:val="-2"/>
        </w:rPr>
        <w:softHyphen/>
        <w:t>ологической но</w:t>
      </w:r>
      <w:r w:rsidRPr="00414261">
        <w:rPr>
          <w:spacing w:val="-2"/>
        </w:rPr>
        <w:t>р</w:t>
      </w:r>
      <w:r w:rsidRPr="00414261">
        <w:rPr>
          <w:spacing w:val="-2"/>
        </w:rPr>
        <w:t>мы.</w:t>
      </w:r>
    </w:p>
    <w:p w:rsidR="00F4654E" w:rsidRDefault="00F4654E">
      <w:pPr>
        <w:pStyle w:val="a6"/>
      </w:pPr>
      <w:r>
        <w:t>Таким образом, включение в рацион молодняка крупного рогато</w:t>
      </w:r>
      <w:r>
        <w:softHyphen/>
        <w:t>го скота амарант зеленого в фазе до цветения положительно влия</w:t>
      </w:r>
      <w:r>
        <w:softHyphen/>
        <w:t>ет на кол</w:t>
      </w:r>
      <w:r>
        <w:t>и</w:t>
      </w:r>
      <w:r>
        <w:t>чество общих липидов сыворотки крови, что приводит к обогащению их спектра важными липидными соедине</w:t>
      </w:r>
      <w:r>
        <w:softHyphen/>
        <w:t>ниями.</w:t>
      </w:r>
    </w:p>
    <w:p w:rsidR="00F4654E" w:rsidRDefault="00F4654E">
      <w:pPr>
        <w:pStyle w:val="a4"/>
      </w:pPr>
      <w:r>
        <w:t>УДК 636.2.082.453.615.361</w:t>
      </w:r>
    </w:p>
    <w:p w:rsidR="00F4654E" w:rsidRDefault="00F4654E">
      <w:pPr>
        <w:pStyle w:val="1"/>
      </w:pPr>
      <w:bookmarkStart w:id="1687" w:name="_Toc10115372"/>
      <w:bookmarkStart w:id="1688" w:name="_Toc10731223"/>
      <w:bookmarkStart w:id="1689" w:name="_Toc10731884"/>
      <w:bookmarkStart w:id="1690" w:name="_Toc10891731"/>
      <w:bookmarkStart w:id="1691" w:name="_Toc10892406"/>
      <w:bookmarkStart w:id="1692" w:name="_Toc11390273"/>
      <w:bookmarkStart w:id="1693" w:name="_Toc11839954"/>
      <w:bookmarkStart w:id="1694" w:name="_Toc11937490"/>
      <w:r>
        <w:t>Эффективность стимуляции эструса у свиней при помощи препарата PG-600</w:t>
      </w:r>
      <w:bookmarkEnd w:id="1687"/>
      <w:bookmarkEnd w:id="1688"/>
      <w:bookmarkEnd w:id="1689"/>
      <w:bookmarkEnd w:id="1690"/>
      <w:bookmarkEnd w:id="1691"/>
      <w:bookmarkEnd w:id="1692"/>
      <w:bookmarkEnd w:id="1693"/>
      <w:bookmarkEnd w:id="1694"/>
    </w:p>
    <w:p w:rsidR="00F4654E" w:rsidRDefault="00F4654E">
      <w:pPr>
        <w:pStyle w:val="2"/>
      </w:pPr>
      <w:bookmarkStart w:id="1695" w:name="_Toc10115373"/>
      <w:bookmarkStart w:id="1696" w:name="_Toc10731224"/>
      <w:bookmarkStart w:id="1697" w:name="_Toc10731885"/>
      <w:bookmarkStart w:id="1698" w:name="_Toc10891732"/>
      <w:bookmarkStart w:id="1699" w:name="_Toc10892407"/>
      <w:bookmarkStart w:id="1700" w:name="_Toc11390274"/>
      <w:bookmarkStart w:id="1701" w:name="_Toc11937491"/>
      <w:r>
        <w:t>Джамалдинов А.Ч., Смыченко Е.Р., Ропало С.А.</w:t>
      </w:r>
      <w:bookmarkEnd w:id="1695"/>
      <w:bookmarkEnd w:id="1696"/>
      <w:bookmarkEnd w:id="1697"/>
      <w:bookmarkEnd w:id="1698"/>
      <w:bookmarkEnd w:id="1699"/>
      <w:bookmarkEnd w:id="1700"/>
      <w:bookmarkEnd w:id="1701"/>
    </w:p>
    <w:p w:rsidR="00F4654E" w:rsidRDefault="00F4654E">
      <w:pPr>
        <w:pStyle w:val="a5"/>
      </w:pPr>
      <w:r>
        <w:t>Всероссийский научно-исследовательский институт свиноводства</w:t>
      </w:r>
    </w:p>
    <w:p w:rsidR="00F4654E" w:rsidRDefault="00F4654E">
      <w:pPr>
        <w:pStyle w:val="a6"/>
      </w:pPr>
      <w:r>
        <w:t>В условиях промышленных комплексов по производству свинины о</w:t>
      </w:r>
      <w:r>
        <w:t>т</w:t>
      </w:r>
      <w:r>
        <w:t>мечается отсутствие эструса у ремонтных свинок, что связано с нарушен</w:t>
      </w:r>
      <w:r>
        <w:t>и</w:t>
      </w:r>
      <w:r>
        <w:t>ем технологии их выращивания, недостаточным витаминным питанием животных, отсутствием инсоляции, моциона и другими причинами.</w:t>
      </w:r>
    </w:p>
    <w:p w:rsidR="00F4654E" w:rsidRDefault="00F4654E">
      <w:pPr>
        <w:pStyle w:val="a6"/>
      </w:pPr>
      <w:r>
        <w:t>Существует метод устранения половой депрессии у свиней в летний период с помощью пиридоксина и СЖК. Имеются данные об эффективном влиянии на синхронизацию эструса у свиней с помощью СЖК, ЛГ и три витамина. Кроме того, имеются сведения о регуляции воспроизводител</w:t>
      </w:r>
      <w:r>
        <w:t>ь</w:t>
      </w:r>
      <w:r>
        <w:t>ной функции свинок с помощью голландского препарата PG-600 (400 ИЕ СЖК и 200 ИЕ ХГ).</w:t>
      </w:r>
      <w:r>
        <w:tab/>
      </w:r>
    </w:p>
    <w:p w:rsidR="00F4654E" w:rsidRDefault="00F4654E">
      <w:pPr>
        <w:pStyle w:val="a6"/>
      </w:pPr>
      <w:r>
        <w:t>Мы предположили, что при обработке свинок, не приходящих в охоту препаратами тетравит,  PG-600 раздельно и в сочетании можно более э</w:t>
      </w:r>
      <w:r>
        <w:t>ф</w:t>
      </w:r>
      <w:r>
        <w:t>фективно индуцировать воспроизводительную функцию животных, чем применение каждого препарата раздельно. С целью проверки этого пре</w:t>
      </w:r>
      <w:r>
        <w:t>д</w:t>
      </w:r>
      <w:r>
        <w:t>положения, нами были проведены научно-производственные опыты в ко</w:t>
      </w:r>
      <w:r>
        <w:t>л</w:t>
      </w:r>
      <w:r>
        <w:t>хозе им. Гурьянова Калужской области. Для опыта были отобраны 4 гру</w:t>
      </w:r>
      <w:r>
        <w:t>п</w:t>
      </w:r>
      <w:r>
        <w:t>пы свинок-аналогов крупной белой породы, которые не приходили в ох</w:t>
      </w:r>
      <w:r>
        <w:t>о</w:t>
      </w:r>
      <w:r>
        <w:t>ту. Свинок первой контрольной группы не подвергали обработке. Живо</w:t>
      </w:r>
      <w:r>
        <w:t>т</w:t>
      </w:r>
      <w:r>
        <w:t xml:space="preserve">ным второй группы вводили 3 мл тетравита,  третей – 5 мл препарата PG-600, а четвертой – 3 мл тетравита и 5 мл PG-600. Предварительно перед обработкой свинок  лиофилизированный препарат PG-600 растворяли в 5 мл растворителя и в нем содержалось 400 ИЕ СЖК и 200 ИЕ ХГ.   </w:t>
      </w:r>
    </w:p>
    <w:p w:rsidR="00F4654E" w:rsidRDefault="00F4654E">
      <w:pPr>
        <w:pStyle w:val="a6"/>
      </w:pPr>
      <w:r>
        <w:lastRenderedPageBreak/>
        <w:t>Установлено, что действие каждого из использованных препаратов на воспроизводительную функцию не одинаково. Обработка животных тетр</w:t>
      </w:r>
      <w:r>
        <w:t>а</w:t>
      </w:r>
      <w:r>
        <w:t>витом вызывала половое возбуждение у 33,3% свинок. Инъекция PG-600 стимулировала половую активность у 61,3% свинок, хотя оплодотворя</w:t>
      </w:r>
      <w:r>
        <w:t>е</w:t>
      </w:r>
      <w:r>
        <w:t>мость животных была низкой – 73,7%. Самые высокие показатели по пр</w:t>
      </w:r>
      <w:r>
        <w:t>и</w:t>
      </w:r>
      <w:r>
        <w:t>ходу животных в охоту были получены при сочетании тетравита и PG-600 (78,1%) по сравнению с контрольными животными или при раздельной обработке препаратами. В этом случае показатели оплодотворяемости по опоросам (76%) и многоплодие (9,6) были значительно выше, чем в ко</w:t>
      </w:r>
      <w:r>
        <w:t>н</w:t>
      </w:r>
      <w:r>
        <w:t>трольной и других опытных группах. Поскольку витаминный препарат т</w:t>
      </w:r>
      <w:r>
        <w:t>е</w:t>
      </w:r>
      <w:r>
        <w:t>травит стимулирует рост и развитие эпителия матки, предварительное его введение свинкам способствует более полному оплодотворению яйцекл</w:t>
      </w:r>
      <w:r>
        <w:t>е</w:t>
      </w:r>
      <w:r>
        <w:t>ток и дальнейшему их развитию. Кроме того, выяснено, что  самые выс</w:t>
      </w:r>
      <w:r>
        <w:t>о</w:t>
      </w:r>
      <w:r>
        <w:t>кие показатели по оплодотворяемости и многоплодию свиноматок были получены в группе с комплексной обработкой тетравитом и PG-600. Одн</w:t>
      </w:r>
      <w:r>
        <w:t>а</w:t>
      </w:r>
      <w:r>
        <w:t>ко синхронизация охоты у ремонтных свинок не достигает желаемого р</w:t>
      </w:r>
      <w:r>
        <w:t>е</w:t>
      </w:r>
      <w:r>
        <w:t>зультата по той причине, что все животные находились на разных стадиях полового цикла. В следующем опыте определяли эффективность разных доз препарата PG-600 для нормализации воспроизводительной функции свинок, которые проявляют все признаки эструса, но без проявления ре</w:t>
      </w:r>
      <w:r>
        <w:t>ф</w:t>
      </w:r>
      <w:r>
        <w:t>лекса неподвижности. Были сформированы 6 групп свинок с неполноце</w:t>
      </w:r>
      <w:r>
        <w:t>н</w:t>
      </w:r>
      <w:r>
        <w:t>ной охотой. Животным первой группы препарат не вводили, и они служ</w:t>
      </w:r>
      <w:r>
        <w:t>и</w:t>
      </w:r>
      <w:r>
        <w:t>ли контролем свинкам второй группы вводили 1 мл PG-600, третьей – 2 мл; четвертой – 3 мл; пятой - 4 мл и шестой 5 мл. Данные опыта показывают, что разные дозы PG-600 по-разному воздействуют на появление охоты. Введение свинкам 1-3 мл препарата вызывает 33,3-58,8% прихода их в охоту. Обработка животных в дозах 4-5 мл вызывает приход в охоту 76,5%. Разница статистически достоверна. При этом увеличивается мног</w:t>
      </w:r>
      <w:r>
        <w:t>о</w:t>
      </w:r>
      <w:r>
        <w:t>плодие на 7,8% в сравнении с контролем.</w:t>
      </w:r>
    </w:p>
    <w:p w:rsidR="00F4654E" w:rsidRDefault="00F4654E">
      <w:pPr>
        <w:pStyle w:val="a6"/>
      </w:pPr>
      <w:r>
        <w:t>Таким образом, комплексная обработки свинок, не приходящих в ох</w:t>
      </w:r>
      <w:r>
        <w:t>о</w:t>
      </w:r>
      <w:r>
        <w:t>ту, с помощью препаратов тетравита и PG-600 высокоэффективно индуц</w:t>
      </w:r>
      <w:r>
        <w:t>и</w:t>
      </w:r>
      <w:r>
        <w:t>рует наступление эструса. Введение свинкам в охоте без рефлекса непо</w:t>
      </w:r>
      <w:r>
        <w:t>д</w:t>
      </w:r>
      <w:r>
        <w:t>вижности препарата PG-600 в оптимальной дозе 4 мл ускоряет проявление полноценного эструса, повышает результативность осеменения и мног</w:t>
      </w:r>
      <w:r>
        <w:t>о</w:t>
      </w:r>
      <w:r>
        <w:t>плодие свиноматок.</w:t>
      </w:r>
    </w:p>
    <w:p w:rsidR="00F4654E" w:rsidRDefault="00F4654E">
      <w:pPr>
        <w:pStyle w:val="1"/>
        <w:ind w:right="-285"/>
      </w:pPr>
      <w:bookmarkStart w:id="1702" w:name="_Toc10115374"/>
      <w:bookmarkStart w:id="1703" w:name="_Toc10731225"/>
      <w:bookmarkStart w:id="1704" w:name="_Toc10731886"/>
      <w:bookmarkStart w:id="1705" w:name="_Toc10891733"/>
      <w:bookmarkStart w:id="1706" w:name="_Toc10892408"/>
      <w:bookmarkStart w:id="1707" w:name="_Toc11390275"/>
      <w:bookmarkStart w:id="1708" w:name="_Toc11839956"/>
      <w:bookmarkStart w:id="1709" w:name="_Toc11937492"/>
      <w:r>
        <w:t>СОДЕРЖАНИЕ НИТРИТОВ И НИТРАТОВ В КОРМАХ ХОЗЯЙСТв ПЛОСКОСТНОЙ ЗОНЫ РЕСПУБЛИКИ ДАГЕСТАН</w:t>
      </w:r>
      <w:bookmarkEnd w:id="1702"/>
      <w:bookmarkEnd w:id="1703"/>
      <w:bookmarkEnd w:id="1704"/>
      <w:bookmarkEnd w:id="1705"/>
      <w:bookmarkEnd w:id="1706"/>
      <w:bookmarkEnd w:id="1707"/>
      <w:bookmarkEnd w:id="1708"/>
      <w:bookmarkEnd w:id="1709"/>
    </w:p>
    <w:p w:rsidR="00F4654E" w:rsidRDefault="00F4654E">
      <w:pPr>
        <w:pStyle w:val="2"/>
      </w:pPr>
      <w:bookmarkStart w:id="1710" w:name="_Toc10115375"/>
      <w:bookmarkStart w:id="1711" w:name="_Toc10731226"/>
      <w:bookmarkStart w:id="1712" w:name="_Toc10731887"/>
      <w:bookmarkStart w:id="1713" w:name="_Toc10891734"/>
      <w:bookmarkStart w:id="1714" w:name="_Toc10892409"/>
      <w:bookmarkStart w:id="1715" w:name="_Toc11390276"/>
      <w:bookmarkStart w:id="1716" w:name="_Toc11937493"/>
      <w:r>
        <w:t>Джамбулатов М.М., Зубаилов Г.И.</w:t>
      </w:r>
      <w:bookmarkEnd w:id="1710"/>
      <w:bookmarkEnd w:id="1711"/>
      <w:bookmarkEnd w:id="1712"/>
      <w:bookmarkEnd w:id="1713"/>
      <w:bookmarkEnd w:id="1714"/>
      <w:bookmarkEnd w:id="1715"/>
      <w:bookmarkEnd w:id="1716"/>
    </w:p>
    <w:p w:rsidR="00F4654E" w:rsidRDefault="00F4654E">
      <w:pPr>
        <w:pStyle w:val="a5"/>
      </w:pPr>
      <w:r>
        <w:t>Дагестанская государственная сельскохозяйственная академия</w:t>
      </w:r>
    </w:p>
    <w:p w:rsidR="00F4654E" w:rsidRDefault="00F4654E">
      <w:pPr>
        <w:pStyle w:val="a6"/>
      </w:pPr>
      <w:r>
        <w:t>Наличие нитратов в растениях – нормальное явление, ведь азот наряду с фосфором и калием составляет основу питания растений, но когда пост</w:t>
      </w:r>
      <w:r>
        <w:t>у</w:t>
      </w:r>
      <w:r>
        <w:t>пление нитратов превышает потребность органического синтеза, они н</w:t>
      </w:r>
      <w:r>
        <w:t>а</w:t>
      </w:r>
      <w:r>
        <w:lastRenderedPageBreak/>
        <w:t>чинают накапливаться в растениях, отсюда вывод – получение экологич</w:t>
      </w:r>
      <w:r>
        <w:t>е</w:t>
      </w:r>
      <w:r>
        <w:t>ски чистых продуктов питания для человека  и животных.</w:t>
      </w:r>
    </w:p>
    <w:p w:rsidR="00F4654E" w:rsidRDefault="00F4654E">
      <w:pPr>
        <w:pStyle w:val="a6"/>
      </w:pPr>
      <w:r>
        <w:t>Нитраты, содержащиеся в кормах и пищевых продуктах в незнач</w:t>
      </w:r>
      <w:r>
        <w:t>и</w:t>
      </w:r>
      <w:r>
        <w:t>тельной концентрации или в среде, в состав которой не входят окислители, практически безопасны для организма. Потенциальная токсичность нитр</w:t>
      </w:r>
      <w:r>
        <w:t>а</w:t>
      </w:r>
      <w:r>
        <w:t>тов заключается в том, что они при определенных условиях могут оки</w:t>
      </w:r>
      <w:r>
        <w:t>с</w:t>
      </w:r>
      <w:r>
        <w:t>ляться до нитритов, которые обуславливают серьезное нарушение здор</w:t>
      </w:r>
      <w:r>
        <w:t>о</w:t>
      </w:r>
      <w:r>
        <w:t>вья человека и животных.</w:t>
      </w:r>
    </w:p>
    <w:p w:rsidR="00F4654E" w:rsidRPr="00414261" w:rsidRDefault="00F4654E">
      <w:pPr>
        <w:pStyle w:val="a6"/>
        <w:rPr>
          <w:spacing w:val="-4"/>
        </w:rPr>
      </w:pPr>
      <w:r w:rsidRPr="00414261">
        <w:rPr>
          <w:spacing w:val="-4"/>
        </w:rPr>
        <w:t>Токсическое действие нитратов в организме человека и животных пр</w:t>
      </w:r>
      <w:r w:rsidRPr="00414261">
        <w:rPr>
          <w:spacing w:val="-4"/>
        </w:rPr>
        <w:t>о</w:t>
      </w:r>
      <w:r w:rsidRPr="00414261">
        <w:rPr>
          <w:spacing w:val="-4"/>
        </w:rPr>
        <w:t>является в форме метгемоглобинемии. Она является следствием оки</w:t>
      </w:r>
      <w:r w:rsidRPr="00414261">
        <w:rPr>
          <w:spacing w:val="-4"/>
        </w:rPr>
        <w:t>с</w:t>
      </w:r>
      <w:r w:rsidRPr="00414261">
        <w:rPr>
          <w:spacing w:val="-4"/>
        </w:rPr>
        <w:t>ления двухвалентного железа (Fe</w:t>
      </w:r>
      <w:r w:rsidRPr="00414261">
        <w:rPr>
          <w:spacing w:val="-4"/>
          <w:vertAlign w:val="superscript"/>
        </w:rPr>
        <w:t>2+</w:t>
      </w:r>
      <w:r w:rsidRPr="00414261">
        <w:rPr>
          <w:spacing w:val="-4"/>
        </w:rPr>
        <w:t>) гемоглобина в трехвалентное (Fe</w:t>
      </w:r>
      <w:r w:rsidRPr="00414261">
        <w:rPr>
          <w:spacing w:val="-4"/>
          <w:vertAlign w:val="superscript"/>
        </w:rPr>
        <w:t>3+</w:t>
      </w:r>
      <w:r w:rsidRPr="00414261">
        <w:rPr>
          <w:spacing w:val="-4"/>
        </w:rPr>
        <w:t>). В резул</w:t>
      </w:r>
      <w:r w:rsidRPr="00414261">
        <w:rPr>
          <w:spacing w:val="-4"/>
        </w:rPr>
        <w:t>ь</w:t>
      </w:r>
      <w:r w:rsidRPr="00414261">
        <w:rPr>
          <w:spacing w:val="-4"/>
        </w:rPr>
        <w:t>тате такого окисления гемоглоби</w:t>
      </w:r>
      <w:r w:rsidR="00414261">
        <w:rPr>
          <w:spacing w:val="-4"/>
        </w:rPr>
        <w:t>н, имеющий красную окраску прев</w:t>
      </w:r>
      <w:r w:rsidRPr="00414261">
        <w:rPr>
          <w:spacing w:val="-4"/>
        </w:rPr>
        <w:t>ращается в метгемоглобин, который уже имеет темную коричневую окр</w:t>
      </w:r>
      <w:r w:rsidRPr="00414261">
        <w:rPr>
          <w:spacing w:val="-4"/>
        </w:rPr>
        <w:t>а</w:t>
      </w:r>
      <w:r w:rsidRPr="00414261">
        <w:rPr>
          <w:spacing w:val="-4"/>
        </w:rPr>
        <w:t>ску.</w:t>
      </w:r>
    </w:p>
    <w:p w:rsidR="00F4654E" w:rsidRDefault="00F4654E">
      <w:pPr>
        <w:pStyle w:val="a6"/>
      </w:pPr>
      <w:r>
        <w:t>Проблема нитратно-нитритного загрязнения возникла в связи с внес</w:t>
      </w:r>
      <w:r>
        <w:t>е</w:t>
      </w:r>
      <w:r>
        <w:t>нием под сельскохозяйственные культуры больших доз азотистых удобр</w:t>
      </w:r>
      <w:r>
        <w:t>е</w:t>
      </w:r>
      <w:r>
        <w:t>ний. Корма являются основными источниками поступления вредных в</w:t>
      </w:r>
      <w:r>
        <w:t>е</w:t>
      </w:r>
      <w:r>
        <w:t>ществ в организм животного. С молоком и мясом нитраты и нитриты п</w:t>
      </w:r>
      <w:r>
        <w:t>о</w:t>
      </w:r>
      <w:r>
        <w:t xml:space="preserve">ступают в организм человека. </w:t>
      </w:r>
    </w:p>
    <w:p w:rsidR="00F4654E" w:rsidRDefault="00F4654E">
      <w:pPr>
        <w:pStyle w:val="a6"/>
      </w:pPr>
      <w:r>
        <w:t>Использование азотных удобрений на пастбищах без учета оптимал</w:t>
      </w:r>
      <w:r>
        <w:t>ь</w:t>
      </w:r>
      <w:r>
        <w:t>ной потребности в них растений может привести к избыточному накопл</w:t>
      </w:r>
      <w:r>
        <w:t>е</w:t>
      </w:r>
      <w:r>
        <w:t>нию в растительных кормах нитратно-нитритных фракций. Скармливание таких кормов животным ухудшает их здоровье, снижает продуктивность и качество получаемой продукции. В последние годы установлено, что ни</w:t>
      </w:r>
      <w:r>
        <w:t>т</w:t>
      </w:r>
      <w:r>
        <w:t>раты способны к иммунодепрессивному действию канцерогенных и мут</w:t>
      </w:r>
      <w:r>
        <w:t>а</w:t>
      </w:r>
      <w:r>
        <w:t>генных агентов.</w:t>
      </w:r>
    </w:p>
    <w:p w:rsidR="00F4654E" w:rsidRDefault="00F4654E">
      <w:pPr>
        <w:pStyle w:val="a6"/>
      </w:pPr>
      <w:r>
        <w:t>Больше всего нитратов и нитритов в сосудопроводящих частях раст</w:t>
      </w:r>
      <w:r>
        <w:t>е</w:t>
      </w:r>
      <w:r>
        <w:t>ний, транспортирующих питательные вещества. При неграмотном прим</w:t>
      </w:r>
      <w:r>
        <w:t>е</w:t>
      </w:r>
      <w:r>
        <w:t>нении удобрений на пастбищах может быть нарушение обеспечение пит</w:t>
      </w:r>
      <w:r>
        <w:t>а</w:t>
      </w:r>
      <w:r>
        <w:t>тельными веществами. При внесении удобрений следует учитывать не только урожай и калории, но и вкусовые качества. Установлено, что при внесении карбамида в количестве  2 ц/га и по 1-1,5 ц/га после каждого стравливания, содержание нитратов превышало в 5 раз предельно допу</w:t>
      </w:r>
      <w:r>
        <w:t>с</w:t>
      </w:r>
      <w:r>
        <w:t>тимой концентрации (ПДК). При скармливании их лактирующим коровам содержание нитратов в крови и молоке животных достигало соответстве</w:t>
      </w:r>
      <w:r>
        <w:t>н</w:t>
      </w:r>
      <w:r>
        <w:t>но 25,3 и 19,2 мг%, что превышало ПДК в 4 раза. Величина гемолиза эри</w:t>
      </w:r>
      <w:r>
        <w:t>т</w:t>
      </w:r>
      <w:r>
        <w:t>роцитов увеличилась в 2 раза, а содержание метгемоглобина достигло 28% (норма 5%). Поэтому одной из важных мер является установление и с</w:t>
      </w:r>
      <w:r>
        <w:t>о</w:t>
      </w:r>
      <w:r>
        <w:t>блюдение ПДК в кормах, имеющиеся зарубежные величины выражены в процентах к сухому веществу корма, а у нас – мг/кг корма.</w:t>
      </w:r>
    </w:p>
    <w:p w:rsidR="00F4654E" w:rsidRDefault="00F4654E">
      <w:pPr>
        <w:pStyle w:val="a6"/>
      </w:pPr>
      <w:r>
        <w:t>Корм имеющий от 0,44 до 0,88 % нитратов может составить 50% о</w:t>
      </w:r>
      <w:r>
        <w:t>б</w:t>
      </w:r>
      <w:r>
        <w:t>щего рациона, от 0,88 до 1,33% - треть и от 1,33 до 1,77% - четвертую часть рациона. Корм с 1,77% и более нитратов скармливать нельзя, можно только силосовать.</w:t>
      </w:r>
    </w:p>
    <w:p w:rsidR="00F4654E" w:rsidRDefault="00F4654E">
      <w:pPr>
        <w:pStyle w:val="a6"/>
      </w:pPr>
      <w:r>
        <w:lastRenderedPageBreak/>
        <w:t>При нормальном физиологическом состоянии в организме образуется примерно 2% метгемоглобина. Первые признаки болезни наблюдаются при содержании в крови 6-7% метгемоглобина. Легкая форма болезни пр</w:t>
      </w:r>
      <w:r>
        <w:t>о</w:t>
      </w:r>
      <w:r>
        <w:t>является при концентрации – 10-20% метгемоглобина, средняя – при с</w:t>
      </w:r>
      <w:r>
        <w:t>о</w:t>
      </w:r>
      <w:r>
        <w:t>держании 20-40%, а тяжелая – 40 и более процентов метгемоглобина. Для сельскохозяйственных животных ориентировочная разовая доза при при</w:t>
      </w:r>
      <w:r>
        <w:t>е</w:t>
      </w:r>
      <w:r>
        <w:t>ме во внутрь является (г NО</w:t>
      </w:r>
      <w:r>
        <w:rPr>
          <w:vertAlign w:val="subscript"/>
        </w:rPr>
        <w:t xml:space="preserve">3 </w:t>
      </w:r>
      <w:r>
        <w:t>на 100 кг массы):  КРС- 30-50, МРС – 60-100, лошади – 60-70, свиньи – 60-90, птицы – 90-130. Животные с однокаме</w:t>
      </w:r>
      <w:r>
        <w:t>р</w:t>
      </w:r>
      <w:r>
        <w:t>ным желудком более чувствительны к нитратам, чем жвачные.</w:t>
      </w:r>
    </w:p>
    <w:p w:rsidR="00F4654E" w:rsidRDefault="00F4654E">
      <w:pPr>
        <w:pStyle w:val="a6"/>
      </w:pPr>
      <w:r>
        <w:t>Содержание нитратов в кормах совхоза «Путь Ленина» Кизлярского  района находилось в пределах ПДК, за исключением виноградной выжи</w:t>
      </w:r>
      <w:r>
        <w:t>м</w:t>
      </w:r>
      <w:r>
        <w:t>ки и сена люцерновое, в котором оно было выше нормы. Это связано с и</w:t>
      </w:r>
      <w:r>
        <w:t>з</w:t>
      </w:r>
      <w:r>
        <w:t>быточным внесением азотсодержащих удобрений.</w:t>
      </w:r>
    </w:p>
    <w:p w:rsidR="00F4654E" w:rsidRDefault="00F4654E">
      <w:pPr>
        <w:pStyle w:val="a6"/>
      </w:pPr>
      <w:r>
        <w:t>Содержание нитрат-ионов в кормах колхоза «Правда» Хасавюрто</w:t>
      </w:r>
      <w:r>
        <w:t>в</w:t>
      </w:r>
      <w:r>
        <w:t>ского района находилось в пределах ПДК.</w:t>
      </w:r>
    </w:p>
    <w:p w:rsidR="00F4654E" w:rsidRDefault="00F4654E">
      <w:pPr>
        <w:pStyle w:val="a6"/>
      </w:pPr>
      <w:r>
        <w:t>Содержание нитратов и нитритов в кормах откормочного совхоза «Дагестан» Бабаюртовского района составляло: ячменя – 902,6 мг/кг, пш</w:t>
      </w:r>
      <w:r>
        <w:t>е</w:t>
      </w:r>
      <w:r>
        <w:t>ницы 645,6 мг/кг, при норме 300 мг/кг, комбикорме –702,3 мг/кг, в сене разнотравном – 641,2 мг/кг (при норме 500 мг/кг). Содержание нитрат-ионов во всех кормах было выше ПДК. Это связано с тем, что хозяйство являясь откормочным для получения высоких урожаев культур вносили в больших дозах азотсодержащие удобрения, а это  привело к повышенной концентрации  нитрат-ионов.</w:t>
      </w:r>
    </w:p>
    <w:p w:rsidR="00F4654E" w:rsidRDefault="00F4654E">
      <w:pPr>
        <w:pStyle w:val="a6"/>
      </w:pPr>
      <w:r>
        <w:t>Содержание нитратов и нитритов в кормах  учебно-опытного хозяйс</w:t>
      </w:r>
      <w:r>
        <w:t>т</w:t>
      </w:r>
      <w:r>
        <w:t>ва Дагестанской госсельскохозакадемии находилось в пределах ПДК. Ос</w:t>
      </w:r>
      <w:r>
        <w:t>о</w:t>
      </w:r>
      <w:r>
        <w:t>бую экологическую значимость представляют азотсодержащие минерал</w:t>
      </w:r>
      <w:r>
        <w:t>ь</w:t>
      </w:r>
      <w:r>
        <w:t>ные удобрения, которые могут трансформироваться в нитраты и нитриты.</w:t>
      </w:r>
    </w:p>
    <w:p w:rsidR="00F4654E" w:rsidRDefault="00F4654E">
      <w:pPr>
        <w:pStyle w:val="a6"/>
      </w:pPr>
      <w:r>
        <w:t>Содержание нитратов и нитритов в кормах и воде имеет не только с</w:t>
      </w:r>
      <w:r>
        <w:t>а</w:t>
      </w:r>
      <w:r>
        <w:t>нитарное значение, но и экологическое.</w:t>
      </w:r>
    </w:p>
    <w:p w:rsidR="00F4654E" w:rsidRDefault="00F4654E">
      <w:pPr>
        <w:pStyle w:val="a4"/>
      </w:pPr>
      <w:r>
        <w:t>УДК 636.32/38:612.64.089.67 (571.54)</w:t>
      </w:r>
    </w:p>
    <w:p w:rsidR="00F4654E" w:rsidRDefault="00F4654E">
      <w:pPr>
        <w:pStyle w:val="1"/>
      </w:pPr>
      <w:bookmarkStart w:id="1717" w:name="_Toc10731235"/>
      <w:bookmarkStart w:id="1718" w:name="_Toc10731896"/>
      <w:bookmarkStart w:id="1719" w:name="_Toc10891743"/>
      <w:bookmarkStart w:id="1720" w:name="_Toc10892418"/>
      <w:bookmarkStart w:id="1721" w:name="_Toc11390283"/>
      <w:bookmarkStart w:id="1722" w:name="_Toc11839964"/>
      <w:bookmarkStart w:id="1723" w:name="_Toc11937494"/>
      <w:r>
        <w:t>Наследование основных селекционных признаков потомством, полученных разными  методами воспроизводства</w:t>
      </w:r>
      <w:bookmarkEnd w:id="1717"/>
      <w:bookmarkEnd w:id="1718"/>
      <w:bookmarkEnd w:id="1719"/>
      <w:bookmarkEnd w:id="1720"/>
      <w:bookmarkEnd w:id="1721"/>
      <w:bookmarkEnd w:id="1722"/>
      <w:bookmarkEnd w:id="1723"/>
    </w:p>
    <w:p w:rsidR="00F4654E" w:rsidRDefault="00F4654E">
      <w:pPr>
        <w:pStyle w:val="2"/>
      </w:pPr>
      <w:bookmarkStart w:id="1724" w:name="_Toc10731236"/>
      <w:bookmarkStart w:id="1725" w:name="_Toc10731897"/>
      <w:bookmarkStart w:id="1726" w:name="_Toc10891744"/>
      <w:bookmarkStart w:id="1727" w:name="_Toc10892419"/>
      <w:bookmarkStart w:id="1728" w:name="_Toc11390284"/>
      <w:bookmarkStart w:id="1729" w:name="_Toc11937495"/>
      <w:r>
        <w:t>Дондитов У.Ж., Муруев А.В.</w:t>
      </w:r>
      <w:bookmarkEnd w:id="1724"/>
      <w:bookmarkEnd w:id="1725"/>
      <w:bookmarkEnd w:id="1726"/>
      <w:bookmarkEnd w:id="1727"/>
      <w:bookmarkEnd w:id="1728"/>
      <w:bookmarkEnd w:id="1729"/>
    </w:p>
    <w:p w:rsidR="00F4654E" w:rsidRDefault="00F4654E">
      <w:pPr>
        <w:pStyle w:val="a5"/>
      </w:pPr>
      <w:r>
        <w:t>Бурятский научно-исследовательский институт сельского хозяйства СО РАСХН</w:t>
      </w:r>
    </w:p>
    <w:p w:rsidR="00F4654E" w:rsidRDefault="00F4654E">
      <w:pPr>
        <w:pStyle w:val="a6"/>
      </w:pPr>
      <w:r>
        <w:t>Для более полной оценки наследственных признаков в потомстве, п</w:t>
      </w:r>
      <w:r>
        <w:t>о</w:t>
      </w:r>
      <w:r>
        <w:t>лученных методами трансплантации и искусственного осеменения, пров</w:t>
      </w:r>
      <w:r>
        <w:t>е</w:t>
      </w:r>
      <w:r>
        <w:t>дено изучение соотносительного различия у них хозяйственно-полезных признаков.</w:t>
      </w:r>
    </w:p>
    <w:p w:rsidR="00F4654E" w:rsidRDefault="00F4654E">
      <w:pPr>
        <w:pStyle w:val="a6"/>
      </w:pPr>
      <w:r>
        <w:lastRenderedPageBreak/>
        <w:t>Известно, что величина корреляции между одними и теми и же селе</w:t>
      </w:r>
      <w:r>
        <w:t>к</w:t>
      </w:r>
      <w:r>
        <w:t>ционными признаками у животных разного происхождения не одинакова и обусловлена, главным образом, их продуктивной деятельностью.</w:t>
      </w:r>
    </w:p>
    <w:p w:rsidR="00F4654E" w:rsidRDefault="00F4654E">
      <w:pPr>
        <w:pStyle w:val="a6"/>
      </w:pPr>
      <w:r>
        <w:t>При использовании биотехнологического метода воспроизводства – трансплантации эмбрионов в совершенствовании овец бурятского типа з</w:t>
      </w:r>
      <w:r>
        <w:t>а</w:t>
      </w:r>
      <w:r>
        <w:t>байкальской тонкорунной породы преследовалась цель ускорения селе</w:t>
      </w:r>
      <w:r>
        <w:t>к</w:t>
      </w:r>
      <w:r>
        <w:t>ционного процесса и повышения эффективности влияния наследственных признаков в нем маточного поголовья с высокой шерстной продуктивн</w:t>
      </w:r>
      <w:r>
        <w:t>о</w:t>
      </w:r>
      <w:r>
        <w:t>стью, направленного на сочетаемость у потомства высокого настрига чи</w:t>
      </w:r>
      <w:r>
        <w:t>с</w:t>
      </w:r>
      <w:r>
        <w:t>той шерсти, длины шерстного волокна с их скороспелостью и величиной.</w:t>
      </w:r>
    </w:p>
    <w:p w:rsidR="00F4654E" w:rsidRDefault="00F4654E">
      <w:pPr>
        <w:pStyle w:val="a6"/>
      </w:pPr>
      <w:r>
        <w:t>Приведенные данные свидетельствуют о том, что при трансплант</w:t>
      </w:r>
      <w:r>
        <w:t>а</w:t>
      </w:r>
      <w:r>
        <w:t>ции, так и при искусственном осеменении матерей их потомства имеют близкие по значению, но низкие по величине коэффициенты корреляции между настригом шерсти и живой массы (+0,19-0,10). Корреляционная з</w:t>
      </w:r>
      <w:r>
        <w:t>а</w:t>
      </w:r>
      <w:r>
        <w:t>висимость же между настригом и длиной шерсти средняя (+0,51-0,40).</w:t>
      </w:r>
    </w:p>
    <w:p w:rsidR="00F4654E" w:rsidRDefault="00F4654E">
      <w:pPr>
        <w:pStyle w:val="a6"/>
      </w:pPr>
      <w:r>
        <w:t>Тесная зависимость между шерстной продуктивностью и длиной шт</w:t>
      </w:r>
      <w:r>
        <w:t>а</w:t>
      </w:r>
      <w:r>
        <w:t>пеля ярок-трансплантантов с аналогичными показателями у ярок, пол</w:t>
      </w:r>
      <w:r>
        <w:t>у</w:t>
      </w:r>
      <w:r>
        <w:t>ченных от искусственного осеменения, по-видимому, связано с развитием первых двух селекционных признаков и, которые указывают на необход</w:t>
      </w:r>
      <w:r>
        <w:t>и</w:t>
      </w:r>
      <w:r>
        <w:t>мость продолжения селекции с овцами бурятского типа забайкальской тонкорунной породы. Вместе с тем, слабая положительная корреляционная связь между длиной и настригом шерсти у трансплантантов с генотипом родителей (длина и настриг шерсти) указывает на недостаточно высокую сочетаемость у них этих селекционных признаков.</w:t>
      </w:r>
    </w:p>
    <w:p w:rsidR="00F4654E" w:rsidRDefault="00F4654E">
      <w:pPr>
        <w:pStyle w:val="a6"/>
      </w:pPr>
      <w:r>
        <w:t>Таким образом, анализ корреляционных связей и регрессий свид</w:t>
      </w:r>
      <w:r>
        <w:t>е</w:t>
      </w:r>
      <w:r>
        <w:t>тельствует, что при увеличении живой массы ярок-трансплантантов на 1 кг, полученных от подбора плюс вариантов по длине и настригу шерсти, величина настрига шерсти возрастает в среднем соответственно на R= +0,05 : 0,12 кг при гарантированном минимуме изменения 0,02-0,10 кг и возможном максимуме 0,07-0,14 кг. Значительно большее действие на н</w:t>
      </w:r>
      <w:r>
        <w:t>а</w:t>
      </w:r>
      <w:r>
        <w:t>стриг шерсти у подопытных животных оказывает длина штапеля, увелич</w:t>
      </w:r>
      <w:r>
        <w:t>е</w:t>
      </w:r>
      <w:r>
        <w:t>ние которого на 1см повышает шерстную продуктивность в среднем по первой группе на 0,39, по второй группе 0,37 кг с гарантированным мин</w:t>
      </w:r>
      <w:r>
        <w:t>и</w:t>
      </w:r>
      <w:r>
        <w:t>мумом 0,23 : 0,27 кг и максимуму 0,55 : 0,47 кг.</w:t>
      </w:r>
    </w:p>
    <w:p w:rsidR="00F4654E" w:rsidRDefault="00F4654E">
      <w:pPr>
        <w:pStyle w:val="a6"/>
      </w:pPr>
      <w:r>
        <w:t>Для установления величин наследуемости селекционных признаков у подопытных животных методом дисперсии был рассчитан их коэффиц</w:t>
      </w:r>
      <w:r>
        <w:t>и</w:t>
      </w:r>
      <w:r>
        <w:t>ент.</w:t>
      </w:r>
      <w:r w:rsidR="00414261">
        <w:t xml:space="preserve"> </w:t>
      </w:r>
      <w:r>
        <w:t>Высокие коэффициенты наследуемости основных селекционных пр</w:t>
      </w:r>
      <w:r>
        <w:t>и</w:t>
      </w:r>
      <w:r>
        <w:t>знаков у потомства, полученного методом трансплантации, по живой ма</w:t>
      </w:r>
      <w:r>
        <w:t>с</w:t>
      </w:r>
      <w:r>
        <w:t>се, длине и настригу шерсти и у потомства, полученного от искусственн</w:t>
      </w:r>
      <w:r>
        <w:t>о</w:t>
      </w:r>
      <w:r>
        <w:t>го осеменения, живой массе свидетельствовали о большой изменчивости признаков, но, не смотря на значительный разброс признаков по коэфф</w:t>
      </w:r>
      <w:r>
        <w:t>и</w:t>
      </w:r>
      <w:r>
        <w:t>циенту наследуемости, в целом, трансплантанты были предпочтительнее.</w:t>
      </w:r>
    </w:p>
    <w:p w:rsidR="00F4654E" w:rsidRDefault="00F4654E">
      <w:pPr>
        <w:pStyle w:val="a4"/>
      </w:pPr>
      <w:r>
        <w:lastRenderedPageBreak/>
        <w:t>УДК 636.32/38:612.64.089.67 (571.54)</w:t>
      </w:r>
    </w:p>
    <w:p w:rsidR="00F4654E" w:rsidRDefault="00F4654E">
      <w:pPr>
        <w:pStyle w:val="1"/>
      </w:pPr>
      <w:bookmarkStart w:id="1730" w:name="_Toc10731237"/>
      <w:bookmarkStart w:id="1731" w:name="_Toc10731898"/>
      <w:bookmarkStart w:id="1732" w:name="_Toc10891745"/>
      <w:bookmarkStart w:id="1733" w:name="_Toc10892420"/>
      <w:bookmarkStart w:id="1734" w:name="_Toc11390285"/>
      <w:bookmarkStart w:id="1735" w:name="_Toc11839966"/>
      <w:bookmarkStart w:id="1736" w:name="_Toc11937496"/>
      <w:r>
        <w:t xml:space="preserve">Продуктивные качества молодняка овец полученного </w:t>
      </w:r>
      <w:r>
        <w:br/>
        <w:t>от разных методов воспроизводства</w:t>
      </w:r>
      <w:bookmarkEnd w:id="1730"/>
      <w:bookmarkEnd w:id="1731"/>
      <w:bookmarkEnd w:id="1732"/>
      <w:bookmarkEnd w:id="1733"/>
      <w:bookmarkEnd w:id="1734"/>
      <w:bookmarkEnd w:id="1735"/>
      <w:bookmarkEnd w:id="1736"/>
    </w:p>
    <w:p w:rsidR="00F4654E" w:rsidRDefault="00F4654E">
      <w:pPr>
        <w:pStyle w:val="2"/>
      </w:pPr>
      <w:bookmarkStart w:id="1737" w:name="_Toc10731238"/>
      <w:bookmarkStart w:id="1738" w:name="_Toc10731899"/>
      <w:bookmarkStart w:id="1739" w:name="_Toc10891746"/>
      <w:bookmarkStart w:id="1740" w:name="_Toc10892421"/>
      <w:bookmarkStart w:id="1741" w:name="_Toc11390286"/>
      <w:bookmarkStart w:id="1742" w:name="_Toc11937497"/>
      <w:r>
        <w:t>Дондитов У.Ж., Муруев А.В.</w:t>
      </w:r>
      <w:bookmarkEnd w:id="1737"/>
      <w:bookmarkEnd w:id="1738"/>
      <w:bookmarkEnd w:id="1739"/>
      <w:bookmarkEnd w:id="1740"/>
      <w:bookmarkEnd w:id="1741"/>
      <w:bookmarkEnd w:id="1742"/>
    </w:p>
    <w:p w:rsidR="00F4654E" w:rsidRDefault="00F4654E">
      <w:pPr>
        <w:pStyle w:val="a5"/>
      </w:pPr>
      <w:r>
        <w:t>Бурятский научно-исследовательский институт сельского хозяйства СО РАСХН</w:t>
      </w:r>
    </w:p>
    <w:p w:rsidR="00F4654E" w:rsidRDefault="00F4654E">
      <w:pPr>
        <w:pStyle w:val="a6"/>
      </w:pPr>
      <w:r>
        <w:t>Овцеводство Восточной Сибири и Забайкалья занимало значительное место в сельскохозяйственном производстве Российской Федерации. Доля его в производство шерсти и баранины в 80-х годах составляла 25 и 26 %.</w:t>
      </w:r>
    </w:p>
    <w:p w:rsidR="00F4654E" w:rsidRDefault="00F4654E">
      <w:pPr>
        <w:pStyle w:val="a6"/>
      </w:pPr>
      <w:r>
        <w:t>В настоящее время в связи со сложившимся сложным социально-экономическим положением России, спадом производства и нарушением не только хозяйственных связей, но и диспаритета цен между сельскох</w:t>
      </w:r>
      <w:r>
        <w:t>о</w:t>
      </w:r>
      <w:r>
        <w:t>зяйственной продукцией и промышленной наблюдается резкое сокращ</w:t>
      </w:r>
      <w:r>
        <w:t>е</w:t>
      </w:r>
      <w:r>
        <w:t>ние поголовья овец, снижение производства и реализации продукции о</w:t>
      </w:r>
      <w:r>
        <w:t>в</w:t>
      </w:r>
      <w:r>
        <w:t>цеводства. Снятие социальной напряженности совместно с эколого-экономичес-кими проблемами Бурятии, территория которой непосредс</w:t>
      </w:r>
      <w:r>
        <w:t>т</w:t>
      </w:r>
      <w:r>
        <w:t>венно граничит с озером Байкал, требуют принятия эффективных мер р</w:t>
      </w:r>
      <w:r>
        <w:t>а</w:t>
      </w:r>
      <w:r>
        <w:t>ционального использования природных ресурсов и генофонда ценных ж</w:t>
      </w:r>
      <w:r>
        <w:t>и</w:t>
      </w:r>
      <w:r>
        <w:t>вотных. В о</w:t>
      </w:r>
      <w:r>
        <w:t>с</w:t>
      </w:r>
      <w:r>
        <w:t>нову этих мер должны быть заложены не только современные прогрессивные технологии практики, но и достижение мировой науки, о</w:t>
      </w:r>
      <w:r>
        <w:t>с</w:t>
      </w:r>
      <w:r>
        <w:t>нованной, прежде всего, на интенсификации, т.е. повышении продукти</w:t>
      </w:r>
      <w:r>
        <w:t>в</w:t>
      </w:r>
      <w:r>
        <w:t>ности овец при одновременном снижении затрат на производство проду</w:t>
      </w:r>
      <w:r>
        <w:t>к</w:t>
      </w:r>
      <w:r>
        <w:t>ции, а также путем интенсификации воспроизводства высокопродукти</w:t>
      </w:r>
      <w:r>
        <w:t>в</w:t>
      </w:r>
      <w:r>
        <w:t>ных животных современными биотехнологическими методами, в том чи</w:t>
      </w:r>
      <w:r>
        <w:t>с</w:t>
      </w:r>
      <w:r>
        <w:t>ле за счет применения перспективных методов биотехнологии – тран</w:t>
      </w:r>
      <w:r>
        <w:t>с</w:t>
      </w:r>
      <w:r>
        <w:t>плантации эмбрионов.</w:t>
      </w:r>
    </w:p>
    <w:p w:rsidR="00F4654E" w:rsidRDefault="00F4654E">
      <w:pPr>
        <w:pStyle w:val="a6"/>
      </w:pPr>
      <w:r>
        <w:t>В селекции овец метод трансплантации эмбрионов обеспечивает б</w:t>
      </w:r>
      <w:r>
        <w:t>о</w:t>
      </w:r>
      <w:r>
        <w:t>лее интенсивное размножение животных с высокой генетической ценн</w:t>
      </w:r>
      <w:r>
        <w:t>о</w:t>
      </w:r>
      <w:r>
        <w:t>стью и овец малочисленных пород, сокращает генерационный интервал, дает возможность более строгой селекции матерей производителей, улу</w:t>
      </w:r>
      <w:r>
        <w:t>ч</w:t>
      </w:r>
      <w:r>
        <w:t>шает контроль за наследственностью матерей племенных баранов-производителей.</w:t>
      </w:r>
    </w:p>
    <w:p w:rsidR="00F4654E" w:rsidRDefault="00F4654E">
      <w:pPr>
        <w:pStyle w:val="a6"/>
      </w:pPr>
      <w:r>
        <w:t>В Восточной Сибири и Забайкалье экспериментальные исследования по этой актуальной проблеме проводились на овцах ОПХ «Иволгинское» Бурятского НИИСХ СО РАСХН. Одной из основных задач селекционно-племенной работы в овцеводстве данного хозяйства являлось повышение шерстной продуктивности овец, разводимых в нашем регионе, улучшение качественных показателей тонкой шерсти (удлинение шерстных волокон, повышение выхода чистой шерсти) с одновременным сохранением адапт</w:t>
      </w:r>
      <w:r>
        <w:t>а</w:t>
      </w:r>
      <w:r>
        <w:t>ционно-приспособительных особенностей животных к местным условиям среды обитания.</w:t>
      </w:r>
    </w:p>
    <w:p w:rsidR="00F4654E" w:rsidRDefault="00F4654E">
      <w:pPr>
        <w:pStyle w:val="a6"/>
      </w:pPr>
      <w:r>
        <w:t xml:space="preserve">Анализ возрастной динамики роста и развития ярочек-трансплантан-тов в сравнении с ягнятами, полученными от искусственного осеменения, </w:t>
      </w:r>
      <w:r>
        <w:lastRenderedPageBreak/>
        <w:t>показал, что преимущество в живой массе оказалось у ярочек-трансплан-тантов – 42,3 кг. В 16-месячном возрасте постнатального онтогенеза ярки-трансплан-танты в сравнении с матерями-донорами и – реципиентами до</w:t>
      </w:r>
      <w:r>
        <w:t>с</w:t>
      </w:r>
      <w:r>
        <w:t>тигали в живой массе соответственно 74,9-78,3 % и 75,5-82,9 % от живой массы взрослой особи. Интенсивность суточного прироста живой массы у ярок-трансплантантов и ярок, полученных в результате искусственного осеменения овец, была наиболее высокой в первые 4 месяца постнатальн</w:t>
      </w:r>
      <w:r>
        <w:t>о</w:t>
      </w:r>
      <w:r>
        <w:t>го развития.</w:t>
      </w:r>
    </w:p>
    <w:p w:rsidR="00F4654E" w:rsidRDefault="00F4654E">
      <w:pPr>
        <w:pStyle w:val="a6"/>
      </w:pPr>
      <w:r>
        <w:t>При изучении качества шерсти ярочек-трансплантантов и ярок пол</w:t>
      </w:r>
      <w:r>
        <w:t>у</w:t>
      </w:r>
      <w:r>
        <w:t>ченных от искусственного осеменения овец, выявлено, что наибольшей длиной штапеля шерстных волокон отличалось потомство, полученное от метода трансплантации, показатель которых в возрасте 12-ти и 16-ти мес</w:t>
      </w:r>
      <w:r>
        <w:t>я</w:t>
      </w:r>
      <w:r>
        <w:t>цев составил – 9,3 и 12,3 см и превосходил длину штапеля шерсти у све</w:t>
      </w:r>
      <w:r>
        <w:t>р</w:t>
      </w:r>
      <w:r>
        <w:t>стниц, полученных от искусственного осеменения. Оценка заводской це</w:t>
      </w:r>
      <w:r>
        <w:t>н</w:t>
      </w:r>
      <w:r>
        <w:t>ности подопытных животных (качество и количество шерсти) показала, что у ярочек-трансплантантов данные были выше, чем у ярочек, получе</w:t>
      </w:r>
      <w:r>
        <w:t>н</w:t>
      </w:r>
      <w:r>
        <w:t>ных от искусственного осеменения.</w:t>
      </w:r>
    </w:p>
    <w:p w:rsidR="00F4654E" w:rsidRPr="00414261" w:rsidRDefault="00F4654E">
      <w:pPr>
        <w:pStyle w:val="a6"/>
        <w:rPr>
          <w:spacing w:val="-4"/>
        </w:rPr>
      </w:pPr>
      <w:r w:rsidRPr="00414261">
        <w:rPr>
          <w:spacing w:val="-4"/>
        </w:rPr>
        <w:t>Таким образом, трансплантация эмбрионов от овцематок-доноров, обл</w:t>
      </w:r>
      <w:r w:rsidRPr="00414261">
        <w:rPr>
          <w:spacing w:val="-4"/>
        </w:rPr>
        <w:t>а</w:t>
      </w:r>
      <w:r w:rsidRPr="00414261">
        <w:rPr>
          <w:spacing w:val="-4"/>
        </w:rPr>
        <w:t>дающих выдающейся продуктивностью, создает возможность интенси</w:t>
      </w:r>
      <w:r w:rsidRPr="00414261">
        <w:rPr>
          <w:spacing w:val="-4"/>
        </w:rPr>
        <w:t>в</w:t>
      </w:r>
      <w:r w:rsidRPr="00414261">
        <w:rPr>
          <w:spacing w:val="-4"/>
        </w:rPr>
        <w:t>ного получения значительного количества аналогичного приплода, что способс</w:t>
      </w:r>
      <w:r w:rsidRPr="00414261">
        <w:rPr>
          <w:spacing w:val="-4"/>
        </w:rPr>
        <w:t>т</w:t>
      </w:r>
      <w:r w:rsidRPr="00414261">
        <w:rPr>
          <w:spacing w:val="-4"/>
        </w:rPr>
        <w:t>вует совершенствованию племенных и продуктивных качеств овец.</w:t>
      </w:r>
    </w:p>
    <w:p w:rsidR="00F4654E" w:rsidRDefault="00F4654E">
      <w:pPr>
        <w:pStyle w:val="a4"/>
      </w:pPr>
      <w:r>
        <w:t>УДК 636.03:579.842.23</w:t>
      </w:r>
    </w:p>
    <w:p w:rsidR="00F4654E" w:rsidRDefault="00F4654E">
      <w:pPr>
        <w:pStyle w:val="1"/>
      </w:pPr>
      <w:bookmarkStart w:id="1743" w:name="_Toc10115376"/>
      <w:bookmarkStart w:id="1744" w:name="_Toc10731229"/>
      <w:bookmarkStart w:id="1745" w:name="_Toc10731890"/>
      <w:bookmarkStart w:id="1746" w:name="_Toc10891737"/>
      <w:bookmarkStart w:id="1747" w:name="_Toc10892412"/>
      <w:bookmarkStart w:id="1748" w:name="_Toc11390277"/>
      <w:bookmarkStart w:id="1749" w:name="_Toc11839958"/>
      <w:bookmarkStart w:id="1750" w:name="_Toc11937498"/>
      <w:r>
        <w:t>Активность аминогликозидов, цефалоспоринов, фторхинолонов по отношению к иерсиниям</w:t>
      </w:r>
      <w:bookmarkEnd w:id="1743"/>
      <w:bookmarkEnd w:id="1744"/>
      <w:bookmarkEnd w:id="1745"/>
      <w:bookmarkEnd w:id="1746"/>
      <w:bookmarkEnd w:id="1747"/>
      <w:bookmarkEnd w:id="1748"/>
      <w:bookmarkEnd w:id="1749"/>
      <w:bookmarkEnd w:id="1750"/>
    </w:p>
    <w:p w:rsidR="00F4654E" w:rsidRDefault="00F4654E">
      <w:pPr>
        <w:pStyle w:val="2"/>
      </w:pPr>
      <w:bookmarkStart w:id="1751" w:name="_Toc10115377"/>
      <w:bookmarkStart w:id="1752" w:name="_Toc10731230"/>
      <w:bookmarkStart w:id="1753" w:name="_Toc10731891"/>
      <w:bookmarkStart w:id="1754" w:name="_Toc10891738"/>
      <w:bookmarkStart w:id="1755" w:name="_Toc10892413"/>
      <w:bookmarkStart w:id="1756" w:name="_Toc11390278"/>
      <w:bookmarkStart w:id="1757" w:name="_Toc11937499"/>
      <w:r>
        <w:t>Довбыш В.С.</w:t>
      </w:r>
      <w:bookmarkEnd w:id="1751"/>
      <w:bookmarkEnd w:id="1752"/>
      <w:bookmarkEnd w:id="1753"/>
      <w:bookmarkEnd w:id="1754"/>
      <w:bookmarkEnd w:id="1755"/>
      <w:bookmarkEnd w:id="1756"/>
      <w:bookmarkEnd w:id="1757"/>
    </w:p>
    <w:p w:rsidR="00F4654E" w:rsidRDefault="00F4654E">
      <w:pPr>
        <w:pStyle w:val="a5"/>
      </w:pPr>
      <w:r>
        <w:t>Московский государственный университет прикладной биотехнологии</w:t>
      </w:r>
    </w:p>
    <w:p w:rsidR="00F4654E" w:rsidRDefault="00F4654E">
      <w:pPr>
        <w:pStyle w:val="a6"/>
      </w:pPr>
      <w:r>
        <w:t>Одним из основных принципов успешного применения антибиотиков является точное соответствие бактериального спектра химиотерапевтич</w:t>
      </w:r>
      <w:r>
        <w:t>е</w:t>
      </w:r>
      <w:r>
        <w:t>ских препаратов. В последние десятилетия наблюдается изменение «ми</w:t>
      </w:r>
      <w:r>
        <w:t>к</w:t>
      </w:r>
      <w:r>
        <w:t>робного пейзажа» при болезнях желудочно-кишечного тракта. В частн</w:t>
      </w:r>
      <w:r>
        <w:t>о</w:t>
      </w:r>
      <w:r>
        <w:t>сти, при определенных обстоятельствах Y.enterocolitica могут явиться этиологическим фактором этих болезней.</w:t>
      </w:r>
    </w:p>
    <w:p w:rsidR="00F4654E" w:rsidRDefault="00F4654E">
      <w:pPr>
        <w:pStyle w:val="a6"/>
      </w:pPr>
      <w:r>
        <w:t>Цель исследований – подобрать оптимальную методику определения чувствительности к антибиотикам и определить активность антибиотиков разного спектра действия по отношению к иерсиниям.</w:t>
      </w:r>
    </w:p>
    <w:p w:rsidR="00F4654E" w:rsidRDefault="00F4654E">
      <w:pPr>
        <w:pStyle w:val="a6"/>
      </w:pPr>
      <w:r>
        <w:t>В опытах использовали 18-ти часовые культуры Y.enterocolitica, кул</w:t>
      </w:r>
      <w:r>
        <w:t>ь</w:t>
      </w:r>
      <w:r>
        <w:t>тивирование проводили при 28 ˚С. При определении чувствительности иерсиний к антибиотикам методом диффузии в агар использовали ста</w:t>
      </w:r>
      <w:r>
        <w:t>н</w:t>
      </w:r>
      <w:r>
        <w:t xml:space="preserve">дартные коммерческие диски, содержащие 5-30 мкг антибиотика. </w:t>
      </w:r>
    </w:p>
    <w:p w:rsidR="00F4654E" w:rsidRDefault="00F4654E">
      <w:pPr>
        <w:pStyle w:val="a6"/>
      </w:pPr>
      <w:r>
        <w:t>При использовании гентамицина, неомицина, канамицина, моном</w:t>
      </w:r>
      <w:r>
        <w:t>и</w:t>
      </w:r>
      <w:r>
        <w:t xml:space="preserve">цина, полимиксина, левомицетина, тетрациклина, цефотаксима, байтрила </w:t>
      </w:r>
      <w:r>
        <w:lastRenderedPageBreak/>
        <w:t>зоны задержки роста культур микроорганизмов составили 19,0±0,95 – 36,0±1,80 мм, т.е. к указанным антибиотикам иерсинии были чувствител</w:t>
      </w:r>
      <w:r>
        <w:t>ь</w:t>
      </w:r>
      <w:r>
        <w:t>ны. При использовании эритромицина, фузидина, рифампицина, стрепт</w:t>
      </w:r>
      <w:r>
        <w:t>о</w:t>
      </w:r>
      <w:r>
        <w:t>мицина зоны задержки роста культур микроорганизмов составили 11,5±0,6 – 14,5±0,72 мм, т.е. к этим антибиотикам иерсинии были умеренно чувс</w:t>
      </w:r>
      <w:r>
        <w:t>т</w:t>
      </w:r>
      <w:r>
        <w:t>вительны. В то же время выявлена резистентность изученных культур микроорганизмов к бензилпенициллину, оксациллину, ампициллину, ка</w:t>
      </w:r>
      <w:r>
        <w:t>р</w:t>
      </w:r>
      <w:r>
        <w:t>бенициллину, олеандомицину, линкомицину, ристомицину. Используя м</w:t>
      </w:r>
      <w:r>
        <w:t>е</w:t>
      </w:r>
      <w:r>
        <w:t>тод серийных разведений в жидкой питательной среде и питательном агаре определяли МПК (минимальное количество антибиотика, дающее полную видимую задержку роста культуры) по отсутствию помутнения в МПБ и не более 5-10 колоний на МПА. Установили, что МПК канамицина 6,2 мкг/мл, а цефазолина 25 мкг/мл.</w:t>
      </w:r>
    </w:p>
    <w:p w:rsidR="00F4654E" w:rsidRDefault="00F4654E">
      <w:pPr>
        <w:pStyle w:val="a6"/>
        <w:rPr>
          <w:i/>
        </w:rPr>
      </w:pPr>
      <w:r>
        <w:t>Таким образом, культуры микроорганизмов Y.enterocolitica высок</w:t>
      </w:r>
      <w:r>
        <w:t>о</w:t>
      </w:r>
      <w:r>
        <w:t>чувствительны к аминогликозидам, цефалоспоринам и фторхиноловым препаратам; устойчивы к антибиотикам группы природных и полусинт</w:t>
      </w:r>
      <w:r>
        <w:t>е</w:t>
      </w:r>
      <w:r>
        <w:t>тических пенициллинов. Результаты исследований можно рекомендовать как для экспериментальных научных исследований, так и в практической работе при разработке мер борьбы и профилактики инфекционных боле</w:t>
      </w:r>
      <w:r>
        <w:t>з</w:t>
      </w:r>
      <w:r>
        <w:t>ней желудочно-кишечного тракта.</w:t>
      </w:r>
    </w:p>
    <w:p w:rsidR="00F4654E" w:rsidRDefault="00F4654E">
      <w:pPr>
        <w:pStyle w:val="a4"/>
      </w:pPr>
      <w:r>
        <w:t>УДК 636.03:579.842.23</w:t>
      </w:r>
    </w:p>
    <w:p w:rsidR="00F4654E" w:rsidRDefault="00F4654E">
      <w:pPr>
        <w:pStyle w:val="1"/>
      </w:pPr>
      <w:bookmarkStart w:id="1758" w:name="_Toc10115378"/>
      <w:bookmarkStart w:id="1759" w:name="_Toc10731231"/>
      <w:bookmarkStart w:id="1760" w:name="_Toc10731892"/>
      <w:bookmarkStart w:id="1761" w:name="_Toc10891739"/>
      <w:bookmarkStart w:id="1762" w:name="_Toc10892414"/>
      <w:bookmarkStart w:id="1763" w:name="_Toc11390279"/>
      <w:bookmarkStart w:id="1764" w:name="_Toc11839960"/>
      <w:bookmarkStart w:id="1765" w:name="_Toc11937500"/>
      <w:r>
        <w:t>Критерии дифференциации иерсиний от таксономически близких и сходных видов бактерий</w:t>
      </w:r>
      <w:bookmarkEnd w:id="1758"/>
      <w:bookmarkEnd w:id="1759"/>
      <w:bookmarkEnd w:id="1760"/>
      <w:bookmarkEnd w:id="1761"/>
      <w:bookmarkEnd w:id="1762"/>
      <w:bookmarkEnd w:id="1763"/>
      <w:bookmarkEnd w:id="1764"/>
      <w:bookmarkEnd w:id="1765"/>
    </w:p>
    <w:p w:rsidR="00F4654E" w:rsidRDefault="00F4654E">
      <w:pPr>
        <w:pStyle w:val="2"/>
      </w:pPr>
      <w:bookmarkStart w:id="1766" w:name="_Toc10115379"/>
      <w:bookmarkStart w:id="1767" w:name="_Toc10731232"/>
      <w:bookmarkStart w:id="1768" w:name="_Toc10731893"/>
      <w:bookmarkStart w:id="1769" w:name="_Toc10891740"/>
      <w:bookmarkStart w:id="1770" w:name="_Toc10892415"/>
      <w:bookmarkStart w:id="1771" w:name="_Toc11390280"/>
      <w:bookmarkStart w:id="1772" w:name="_Toc11937501"/>
      <w:r>
        <w:t>Довбыш В.С.</w:t>
      </w:r>
      <w:bookmarkEnd w:id="1766"/>
      <w:bookmarkEnd w:id="1767"/>
      <w:bookmarkEnd w:id="1768"/>
      <w:bookmarkEnd w:id="1769"/>
      <w:bookmarkEnd w:id="1770"/>
      <w:bookmarkEnd w:id="1771"/>
      <w:bookmarkEnd w:id="1772"/>
    </w:p>
    <w:p w:rsidR="00F4654E" w:rsidRDefault="00F4654E">
      <w:pPr>
        <w:pStyle w:val="a5"/>
      </w:pPr>
      <w:r>
        <w:t>Московский государственный университет прикладной биотехнологии</w:t>
      </w:r>
    </w:p>
    <w:p w:rsidR="00F4654E" w:rsidRDefault="00F4654E">
      <w:pPr>
        <w:pStyle w:val="a6"/>
      </w:pPr>
      <w:r>
        <w:t>В структуре заболеваний животных раннего постнатального периода основное место занимают расстройства деятельности желудочно-ки-шечного тракта бактериальной и вирусной этиологии, клинически проя</w:t>
      </w:r>
      <w:r>
        <w:t>в</w:t>
      </w:r>
      <w:r>
        <w:t>ляющиеся диареей, дегидратацией и токсемией. Наиболее часто этиолог</w:t>
      </w:r>
      <w:r>
        <w:t>и</w:t>
      </w:r>
      <w:r>
        <w:t xml:space="preserve">ческая роль отводится бактериям семейства Enterobacteriaceae. </w:t>
      </w:r>
    </w:p>
    <w:p w:rsidR="00F4654E" w:rsidRDefault="00F4654E">
      <w:pPr>
        <w:pStyle w:val="a6"/>
      </w:pPr>
      <w:r>
        <w:t>Целью данной работы явилось выявление признаков, позволяющих дифференцировать иерсинии от таксономически близких и сходных видов бактерий.</w:t>
      </w:r>
    </w:p>
    <w:p w:rsidR="00F4654E" w:rsidRDefault="00F4654E">
      <w:pPr>
        <w:pStyle w:val="a6"/>
        <w:rPr>
          <w:color w:val="000000"/>
        </w:rPr>
      </w:pPr>
      <w:r>
        <w:t>Материалом для исследований служили 18-часовые музейные культ</w:t>
      </w:r>
      <w:r>
        <w:t>у</w:t>
      </w:r>
      <w:r>
        <w:t xml:space="preserve">ры, а также культуры, выделенные из патологического материала от телят, поросят и нутрий. Изучено 37 культур микроорганизмов, из них: 18 </w:t>
      </w:r>
      <w:r>
        <w:rPr>
          <w:color w:val="000000"/>
        </w:rPr>
        <w:t>Escherichia coli, 3 Salmonella dublin, 4 Salmonella enteritidis, 3 Salmonella typhi</w:t>
      </w:r>
      <w:r w:rsidR="007A098E" w:rsidRPr="007A098E">
        <w:rPr>
          <w:color w:val="000000"/>
        </w:rPr>
        <w:t xml:space="preserve"> </w:t>
      </w:r>
      <w:r>
        <w:rPr>
          <w:color w:val="000000"/>
        </w:rPr>
        <w:t xml:space="preserve">murium, 5 Citrobacter freundii, 4 </w:t>
      </w:r>
      <w:r>
        <w:t>Yersinia enterocolitica.</w:t>
      </w:r>
    </w:p>
    <w:p w:rsidR="00F4654E" w:rsidRDefault="00F4654E">
      <w:pPr>
        <w:pStyle w:val="a6"/>
      </w:pPr>
      <w:r>
        <w:t>На первом этапе исследований изучали морфологию бактерий. В ма</w:t>
      </w:r>
      <w:r>
        <w:t>з</w:t>
      </w:r>
      <w:r>
        <w:t>ках, окрашенных по Граму, Yersinia enterocolitica были представлены гр</w:t>
      </w:r>
      <w:r>
        <w:t>а</w:t>
      </w:r>
      <w:r>
        <w:t xml:space="preserve">мотрицательными палочками с закругленными концами, нередко овоидной </w:t>
      </w:r>
      <w:r>
        <w:lastRenderedPageBreak/>
        <w:t>или кокковидной формы. При изучении культуральных свойств установ</w:t>
      </w:r>
      <w:r>
        <w:t>и</w:t>
      </w:r>
      <w:r>
        <w:t>ли, что на плотных питательных средах отличительным признаком иерс</w:t>
      </w:r>
      <w:r>
        <w:t>и</w:t>
      </w:r>
      <w:r>
        <w:t>ний, позволяющим дифференцировать их от сальмонелл, эшерихий и ци</w:t>
      </w:r>
      <w:r>
        <w:t>т</w:t>
      </w:r>
      <w:r>
        <w:t xml:space="preserve">робактеров, являлись размеры колоний. </w:t>
      </w:r>
    </w:p>
    <w:p w:rsidR="00F4654E" w:rsidRDefault="00F4654E">
      <w:pPr>
        <w:pStyle w:val="a6"/>
        <w:rPr>
          <w:color w:val="000000"/>
        </w:rPr>
      </w:pPr>
      <w:r>
        <w:t>На среде Эндо при 25 ºС через 18 ч Y.enterocolitica формировали к</w:t>
      </w:r>
      <w:r>
        <w:t>о</w:t>
      </w:r>
      <w:r>
        <w:t xml:space="preserve">лонии - 0,1-0,2 мм, круглые, выпуклые, с ровными краями, прозрачные, бесцветные; </w:t>
      </w:r>
      <w:r>
        <w:rPr>
          <w:color w:val="000000"/>
        </w:rPr>
        <w:t>E.coli – 1-4 мм, круглые, выпуклые, влажные, прозрачные, красные или бесцветные; S.typhi</w:t>
      </w:r>
      <w:r w:rsidR="007A098E" w:rsidRPr="007A098E">
        <w:rPr>
          <w:color w:val="000000"/>
        </w:rPr>
        <w:t xml:space="preserve"> </w:t>
      </w:r>
      <w:r>
        <w:rPr>
          <w:color w:val="000000"/>
        </w:rPr>
        <w:t xml:space="preserve">murium – 1-4 мм, прозрачные, розовые. </w:t>
      </w:r>
    </w:p>
    <w:p w:rsidR="00F4654E" w:rsidRDefault="00F4654E">
      <w:pPr>
        <w:pStyle w:val="a6"/>
        <w:rPr>
          <w:color w:val="000000"/>
        </w:rPr>
      </w:pPr>
      <w:r>
        <w:rPr>
          <w:color w:val="000000"/>
        </w:rPr>
        <w:t xml:space="preserve">На висмут-сульфит-агаре при </w:t>
      </w:r>
      <w:r>
        <w:t>25 ºС Y.enterocolitica развивались тол</w:t>
      </w:r>
      <w:r>
        <w:t>ь</w:t>
      </w:r>
      <w:r>
        <w:t xml:space="preserve">ко через 48-72 ч в виде мелких светло-коричневых колоний с ровными краями, диаметром 1,0-1,5 мм, на месте расположения колоний цвет среды не изменялся; рост </w:t>
      </w:r>
      <w:r>
        <w:rPr>
          <w:color w:val="000000"/>
        </w:rPr>
        <w:t>S.typhi</w:t>
      </w:r>
      <w:r w:rsidR="007A098E" w:rsidRPr="007A098E">
        <w:rPr>
          <w:color w:val="000000"/>
        </w:rPr>
        <w:t xml:space="preserve"> </w:t>
      </w:r>
      <w:r>
        <w:rPr>
          <w:color w:val="000000"/>
        </w:rPr>
        <w:t>murium наблюдался через 18-24 ч, колонии были крупные, диаметром 2,0-3,0 мм, пастообразные, интенсивно-черного цвета, по краю колоний выявлялся прозрачный валик, на месте расположения к</w:t>
      </w:r>
      <w:r>
        <w:rPr>
          <w:color w:val="000000"/>
        </w:rPr>
        <w:t>о</w:t>
      </w:r>
      <w:r>
        <w:rPr>
          <w:color w:val="000000"/>
        </w:rPr>
        <w:t xml:space="preserve">лонии цвет среды изменялся на коричневый; C.freundii через 48 ч давали обильный рост, образуя светло-зеленые, коричневые или черные колонии с неприятным запахом без окрашивания участка среды под колонией. </w:t>
      </w:r>
    </w:p>
    <w:p w:rsidR="00F4654E" w:rsidRDefault="00F4654E">
      <w:pPr>
        <w:pStyle w:val="a6"/>
        <w:rPr>
          <w:color w:val="000000"/>
        </w:rPr>
      </w:pPr>
      <w:r>
        <w:t>Далее изучали физиологические характеристики иерсиний для ди</w:t>
      </w:r>
      <w:r>
        <w:t>ф</w:t>
      </w:r>
      <w:r>
        <w:t>ференциации от таксономически родственных видов бактерий. О</w:t>
      </w:r>
      <w:r>
        <w:rPr>
          <w:color w:val="000000"/>
        </w:rPr>
        <w:t>дним из ведущих признаков дифференциации от других грамотрицательных ми</w:t>
      </w:r>
      <w:r>
        <w:rPr>
          <w:color w:val="000000"/>
        </w:rPr>
        <w:t>к</w:t>
      </w:r>
      <w:r>
        <w:rPr>
          <w:color w:val="000000"/>
        </w:rPr>
        <w:t>роорганизмов являлось</w:t>
      </w:r>
      <w:r>
        <w:t xml:space="preserve"> определение каким путем (окислением или фе</w:t>
      </w:r>
      <w:r>
        <w:t>р</w:t>
      </w:r>
      <w:r>
        <w:t>ментацией) иерсинии расщепляют углеводы (в опытах глюкозу). При этом</w:t>
      </w:r>
      <w:r>
        <w:rPr>
          <w:color w:val="000000"/>
        </w:rPr>
        <w:t xml:space="preserve"> установили, что иерсинии, в отличие от бактерий родов Pseudomonas, Neisseria, Brucella, Bordetella, Francisella расщепляли углеводы путем бр</w:t>
      </w:r>
      <w:r>
        <w:rPr>
          <w:color w:val="000000"/>
        </w:rPr>
        <w:t>о</w:t>
      </w:r>
      <w:r>
        <w:rPr>
          <w:color w:val="000000"/>
        </w:rPr>
        <w:t xml:space="preserve">жения и окисления, т.е. являлись факультативными анаэробами. Бактерии рода </w:t>
      </w:r>
      <w:r>
        <w:t>Yersiniа были оксидазоотрицательными, что отличало их от Pseudomonodaceae. По наличию этих признаков, наряду с присутствием к</w:t>
      </w:r>
      <w:r>
        <w:t>а</w:t>
      </w:r>
      <w:r>
        <w:t xml:space="preserve">талазы, иерсинии относили к </w:t>
      </w:r>
      <w:r>
        <w:rPr>
          <w:color w:val="000000"/>
        </w:rPr>
        <w:t>семейству Enterobacteriaceae. Критериями дифференциации внутри семейства были характерные для иерсиний ра</w:t>
      </w:r>
      <w:r>
        <w:rPr>
          <w:color w:val="000000"/>
        </w:rPr>
        <w:t>з</w:t>
      </w:r>
      <w:r>
        <w:rPr>
          <w:color w:val="000000"/>
        </w:rPr>
        <w:t xml:space="preserve">меры колоний менее 1 мм. Микроорганизмы рода </w:t>
      </w:r>
      <w:r>
        <w:t xml:space="preserve">Yersiniа не обладали свойством дезаминировать </w:t>
      </w:r>
      <w:r>
        <w:rPr>
          <w:color w:val="000000"/>
        </w:rPr>
        <w:t>фенилаланин, что отличало их от Proteus, Morganella, Providencia. От бактерий этих родов иерсинии также отлич</w:t>
      </w:r>
      <w:r>
        <w:rPr>
          <w:color w:val="000000"/>
        </w:rPr>
        <w:t>а</w:t>
      </w:r>
      <w:r>
        <w:rPr>
          <w:color w:val="000000"/>
        </w:rPr>
        <w:t xml:space="preserve">лись расщеплением D-маннита. </w:t>
      </w:r>
    </w:p>
    <w:p w:rsidR="00F4654E" w:rsidRDefault="00F4654E">
      <w:pPr>
        <w:pStyle w:val="a6"/>
        <w:rPr>
          <w:color w:val="000000"/>
        </w:rPr>
      </w:pPr>
      <w:r>
        <w:rPr>
          <w:color w:val="000000"/>
        </w:rPr>
        <w:t>В реакции Фогес-Проскауэра при 37 ºС получен отрицательный р</w:t>
      </w:r>
      <w:r>
        <w:rPr>
          <w:color w:val="000000"/>
        </w:rPr>
        <w:t>е</w:t>
      </w:r>
      <w:r>
        <w:rPr>
          <w:color w:val="000000"/>
        </w:rPr>
        <w:t>зультат, что являлось дифференциальным признаком от бактерий рода Entero-bacter и Klebsiella. Отсутствие фермента желатиназы являлось о</w:t>
      </w:r>
      <w:r>
        <w:rPr>
          <w:color w:val="000000"/>
        </w:rPr>
        <w:t>д</w:t>
      </w:r>
      <w:r>
        <w:rPr>
          <w:color w:val="000000"/>
        </w:rPr>
        <w:t xml:space="preserve">ним из отличительных признаком от Proteus. От Salmonella, Citrobacter, Enterobacter, Klebsiella, Providencia иерсинии отличались также тем, что не утилизировали цитрат Симмонса. </w:t>
      </w:r>
      <w:r>
        <w:t xml:space="preserve">Y.enterocolitica образовывали уреазу, что являлось важным дифференциальным признаком от бактерий родов </w:t>
      </w:r>
      <w:r>
        <w:rPr>
          <w:color w:val="000000"/>
        </w:rPr>
        <w:t>Escherichia, Salmonella, Edwardsiella, Hafnia, Serratia. В опытах по опред</w:t>
      </w:r>
      <w:r>
        <w:rPr>
          <w:color w:val="000000"/>
        </w:rPr>
        <w:t>е</w:t>
      </w:r>
      <w:r>
        <w:rPr>
          <w:color w:val="000000"/>
        </w:rPr>
        <w:t xml:space="preserve">лению сероводорода положительный результат фиксировали у S.dublin, </w:t>
      </w:r>
      <w:r>
        <w:rPr>
          <w:color w:val="000000"/>
        </w:rPr>
        <w:lastRenderedPageBreak/>
        <w:t>S.enteritidis, S.typhi</w:t>
      </w:r>
      <w:r w:rsidR="007A098E" w:rsidRPr="007A098E">
        <w:rPr>
          <w:color w:val="000000"/>
        </w:rPr>
        <w:t xml:space="preserve"> </w:t>
      </w:r>
      <w:r>
        <w:rPr>
          <w:color w:val="000000"/>
        </w:rPr>
        <w:t xml:space="preserve">murium, а у </w:t>
      </w:r>
      <w:r>
        <w:t xml:space="preserve">Y.enterocolitica и </w:t>
      </w:r>
      <w:r>
        <w:rPr>
          <w:color w:val="000000"/>
        </w:rPr>
        <w:t>C. freundii наблюдали о</w:t>
      </w:r>
      <w:r>
        <w:rPr>
          <w:color w:val="000000"/>
        </w:rPr>
        <w:t>т</w:t>
      </w:r>
      <w:r>
        <w:rPr>
          <w:color w:val="000000"/>
        </w:rPr>
        <w:t xml:space="preserve">рицательные реакции. </w:t>
      </w:r>
    </w:p>
    <w:p w:rsidR="00F4654E" w:rsidRDefault="00F4654E">
      <w:pPr>
        <w:pStyle w:val="a6"/>
        <w:rPr>
          <w:color w:val="000000"/>
        </w:rPr>
      </w:pPr>
      <w:r>
        <w:rPr>
          <w:color w:val="000000"/>
        </w:rPr>
        <w:t>Таким образом сравнительное изучение физиологических свойств иерсиний и достаточно сходных с ними видов бактерий позволило от</w:t>
      </w:r>
      <w:r>
        <w:rPr>
          <w:color w:val="000000"/>
        </w:rPr>
        <w:t>о</w:t>
      </w:r>
      <w:r>
        <w:rPr>
          <w:color w:val="000000"/>
        </w:rPr>
        <w:t>брать для их дифференциации минимальный набор признаков. При этом к семейству Enterobacteriaceae относили небольшие, грамотрицательные п</w:t>
      </w:r>
      <w:r>
        <w:rPr>
          <w:color w:val="000000"/>
        </w:rPr>
        <w:t>а</w:t>
      </w:r>
      <w:r>
        <w:rPr>
          <w:color w:val="000000"/>
        </w:rPr>
        <w:t>лочки подвижные, факультативно-анаэробные, оксидазоотрицательные, каталазоположительные. Если на МПА через 24 ч при температуре культ</w:t>
      </w:r>
      <w:r>
        <w:rPr>
          <w:color w:val="000000"/>
        </w:rPr>
        <w:t>и</w:t>
      </w:r>
      <w:r>
        <w:rPr>
          <w:color w:val="000000"/>
        </w:rPr>
        <w:t xml:space="preserve">вирования 28 </w:t>
      </w:r>
      <w:r>
        <w:rPr>
          <w:color w:val="000000"/>
        </w:rPr>
        <w:sym w:font="Symbol" w:char="F0B0"/>
      </w:r>
      <w:r>
        <w:rPr>
          <w:color w:val="000000"/>
        </w:rPr>
        <w:t>С образовывались колонии менее 1 мм, реакции с метилен</w:t>
      </w:r>
      <w:r>
        <w:rPr>
          <w:color w:val="000000"/>
        </w:rPr>
        <w:t>о</w:t>
      </w:r>
      <w:r>
        <w:rPr>
          <w:color w:val="000000"/>
        </w:rPr>
        <w:t>вым красным, уреазой, D-маннитом – положительные, с сероводородом, фенилаланиндезаминазой, Фогес-Проскауэра, желатином, цитратом Си</w:t>
      </w:r>
      <w:r>
        <w:rPr>
          <w:color w:val="000000"/>
        </w:rPr>
        <w:t>м</w:t>
      </w:r>
      <w:r>
        <w:rPr>
          <w:color w:val="000000"/>
        </w:rPr>
        <w:t>монса – отрицательные, то подозревали наличие иерсиний.</w:t>
      </w:r>
    </w:p>
    <w:p w:rsidR="00F4654E" w:rsidRDefault="00F4654E">
      <w:pPr>
        <w:pStyle w:val="a4"/>
      </w:pPr>
      <w:r>
        <w:t>УДК 619:612.015.31/32:615.3:636.4</w:t>
      </w:r>
    </w:p>
    <w:p w:rsidR="00F4654E" w:rsidRDefault="00F4654E">
      <w:pPr>
        <w:pStyle w:val="1"/>
      </w:pPr>
      <w:bookmarkStart w:id="1773" w:name="_Toc10731239"/>
      <w:bookmarkStart w:id="1774" w:name="_Toc10731900"/>
      <w:bookmarkStart w:id="1775" w:name="_Toc10891747"/>
      <w:bookmarkStart w:id="1776" w:name="_Toc10892422"/>
      <w:bookmarkStart w:id="1777" w:name="_Toc11390287"/>
      <w:bookmarkStart w:id="1778" w:name="_Toc11839968"/>
      <w:bookmarkStart w:id="1779" w:name="_Toc11937502"/>
      <w:r>
        <w:t>Влияние фосгумина на углеводно-фосфорный обмен поросят</w:t>
      </w:r>
      <w:bookmarkEnd w:id="1773"/>
      <w:bookmarkEnd w:id="1774"/>
      <w:bookmarkEnd w:id="1775"/>
      <w:bookmarkEnd w:id="1776"/>
      <w:bookmarkEnd w:id="1777"/>
      <w:bookmarkEnd w:id="1778"/>
      <w:bookmarkEnd w:id="1779"/>
    </w:p>
    <w:p w:rsidR="00F4654E" w:rsidRDefault="00F4654E">
      <w:pPr>
        <w:pStyle w:val="2"/>
      </w:pPr>
      <w:bookmarkStart w:id="1780" w:name="_Toc10731240"/>
      <w:bookmarkStart w:id="1781" w:name="_Toc10731901"/>
      <w:bookmarkStart w:id="1782" w:name="_Toc10891748"/>
      <w:bookmarkStart w:id="1783" w:name="_Toc10892423"/>
      <w:bookmarkStart w:id="1784" w:name="_Toc11390288"/>
      <w:bookmarkStart w:id="1785" w:name="_Toc11937503"/>
      <w:r>
        <w:t>Долгополов В.Н.</w:t>
      </w:r>
      <w:bookmarkEnd w:id="1780"/>
      <w:bookmarkEnd w:id="1781"/>
      <w:bookmarkEnd w:id="1782"/>
      <w:bookmarkEnd w:id="1783"/>
      <w:bookmarkEnd w:id="1784"/>
      <w:bookmarkEnd w:id="1785"/>
    </w:p>
    <w:p w:rsidR="00F4654E" w:rsidRDefault="00F4654E">
      <w:pPr>
        <w:pStyle w:val="a5"/>
      </w:pPr>
      <w:r>
        <w:t>Всероссийский  НИВИ патологии, фармакологии и терапии</w:t>
      </w:r>
    </w:p>
    <w:p w:rsidR="00F4654E" w:rsidRDefault="00F4654E">
      <w:pPr>
        <w:pStyle w:val="a6"/>
      </w:pPr>
      <w:r>
        <w:t>Фосгумин представляет собой комплексный препарат, содержащий аммониевые соли гумусовых кислот, метилметионин сульфония хлорид и муку виноградных выжимок. Препарат не токсичен для теплокровных ж</w:t>
      </w:r>
      <w:r>
        <w:t>и</w:t>
      </w:r>
      <w:r>
        <w:t>вотных, не оказывает эмбриотоксического и тератогенного действия.</w:t>
      </w:r>
    </w:p>
    <w:p w:rsidR="00F4654E" w:rsidRDefault="00F4654E">
      <w:pPr>
        <w:pStyle w:val="a6"/>
      </w:pPr>
      <w:r>
        <w:t>Целью настоящей работы явилось изучение влияния фосгумина на обмен веществ и физиологическое состояние трехмесячных поросят, пер</w:t>
      </w:r>
      <w:r>
        <w:t>е</w:t>
      </w:r>
      <w:r>
        <w:t>везенных автотранспортом в спецхоз на доращивание в зимний период г</w:t>
      </w:r>
      <w:r>
        <w:t>о</w:t>
      </w:r>
      <w:r>
        <w:t>да. Было сформировано две группы поросят по 20 голов в каждой. Обе группы животных находились в аналогичных условиях кормления и с</w:t>
      </w:r>
      <w:r>
        <w:t>о</w:t>
      </w:r>
      <w:r>
        <w:t>держания. Первая группа поросят служила контролем, (препарат не пол</w:t>
      </w:r>
      <w:r>
        <w:t>у</w:t>
      </w:r>
      <w:r>
        <w:t>чала), поросята второй опытной группы помимо основного рациона пол</w:t>
      </w:r>
      <w:r>
        <w:t>у</w:t>
      </w:r>
      <w:r>
        <w:t>чали в течение 90 дней в смеси с кормом фосгумин ежедневно в дозе 0,5 г/кг массы тела.</w:t>
      </w:r>
    </w:p>
    <w:p w:rsidR="00F4654E" w:rsidRDefault="00F4654E">
      <w:pPr>
        <w:pStyle w:val="a6"/>
      </w:pPr>
      <w:r>
        <w:t>Как показали исследования крови, поросята при постановке на дор</w:t>
      </w:r>
      <w:r>
        <w:t>а</w:t>
      </w:r>
      <w:r>
        <w:t>щивание находились в стрессовом состоянии, вызванном автотранспорт</w:t>
      </w:r>
      <w:r>
        <w:t>и</w:t>
      </w:r>
      <w:r>
        <w:t xml:space="preserve">ровкой, сменой условий содержания и кормления. Активность ферментов креатинкиназы и лактатдегидрогеназы, концентрация глюкозы в крови в первые дни доращивания выше физиологической нормы в 1,5 – 2 раза. У поросят низкий уровень АТФ (0,28 мМ/л), пула аденилатов и величины энергетического заряда (0,62). </w:t>
      </w:r>
    </w:p>
    <w:p w:rsidR="00F4654E" w:rsidRDefault="00F4654E">
      <w:pPr>
        <w:pStyle w:val="a6"/>
      </w:pPr>
      <w:r>
        <w:t>Через 34 дня после начала опыта у животных обеих групп отмечается нормализация энергообеспечения функций. Это проявляется увеличением содержания АТФ, отношения АТФ/АДФ, пула аденилатов и величины энергетического заряда. Однако, у поросят, получавших фосгумин, восст</w:t>
      </w:r>
      <w:r>
        <w:t>а</w:t>
      </w:r>
      <w:r>
        <w:t>новление протекает более активно. Это подтверждается высокой абсолю</w:t>
      </w:r>
      <w:r>
        <w:t>т</w:t>
      </w:r>
      <w:r>
        <w:lastRenderedPageBreak/>
        <w:t>ной концентрацией АТФ в крови животных опытной группы (0,59 мМ/л,  в контроле 0,49 мМ/л) и более высоким процентом ее прироста (97,3% в опытной группе и 76,9% - в контрольной). У животных опытной группы более высоки величины отношения АТФ/АДФ и энергетического заряда. В то же время снижение гликолитических процессов у поросят опытной группы выражено в меньшей степени, чем в контроле. У поросят на 22,9% выше активность альдолазы и на 23,4% лактатдегидрогеназы. Помимо эт</w:t>
      </w:r>
      <w:r>
        <w:t>о</w:t>
      </w:r>
      <w:r>
        <w:t>го у поросят опытной группы интенсифицируются процессы утилизации липидов. Концентрация общих липидов к 34-му дню снизилась с 2,59 до 1,68 г/л или на 35,1%, в то время как у поросят контрольной группы пр</w:t>
      </w:r>
      <w:r>
        <w:t>о</w:t>
      </w:r>
      <w:r>
        <w:t>изошло снижение этого показателя на 9,3%.</w:t>
      </w:r>
    </w:p>
    <w:p w:rsidR="00F4654E" w:rsidRDefault="00F4654E">
      <w:pPr>
        <w:pStyle w:val="a6"/>
      </w:pPr>
      <w:r>
        <w:t>Значительные изменения наблюдаются в активности Г-6-ФДГ-фермента пентозофосфатного цикла, которая повышается к 35-му дню д</w:t>
      </w:r>
      <w:r>
        <w:t>о</w:t>
      </w:r>
      <w:r>
        <w:t>ращивания в 3-5 раз. У поросят, получавших фосгумин, активность Г-6-ФДГ выше, чем в контрольной группе на 31,3%, что позволяет сделать в</w:t>
      </w:r>
      <w:r>
        <w:t>ы</w:t>
      </w:r>
      <w:r>
        <w:t>вод о том, что в период стрессовых нагрузок в организме поросят усилив</w:t>
      </w:r>
      <w:r>
        <w:t>а</w:t>
      </w:r>
      <w:r>
        <w:t>ется пентозофосфатный цикл расщепления глюкозы, а фосгумин, стимул</w:t>
      </w:r>
      <w:r>
        <w:t>и</w:t>
      </w:r>
      <w:r>
        <w:t>руя эти процессы, способствует более «экономному» использованию фе</w:t>
      </w:r>
      <w:r>
        <w:t>р</w:t>
      </w:r>
      <w:r>
        <w:t>ментов.</w:t>
      </w:r>
    </w:p>
    <w:p w:rsidR="00F4654E" w:rsidRDefault="00F4654E">
      <w:pPr>
        <w:pStyle w:val="a6"/>
      </w:pPr>
      <w:r>
        <w:t>Особо следует отметить динамику активности креатинфосфокиназы в сыворотке крови поросят. У поросят обеих групп отмечается увеличение этого показателя. Известно, что активность креатинкиназы является пок</w:t>
      </w:r>
      <w:r>
        <w:t>а</w:t>
      </w:r>
      <w:r>
        <w:t>зателем, характеризующим «степень» стрессового состояния организма. Увеличение ее в нашем случае является, по-видимому, следствием вакц</w:t>
      </w:r>
      <w:r>
        <w:t>и</w:t>
      </w:r>
      <w:r>
        <w:t>нации (паратиф), которой были подвергнуты животные на 15-17 дни оп</w:t>
      </w:r>
      <w:r>
        <w:t>ы</w:t>
      </w:r>
      <w:r>
        <w:t>та. В опытной группе активность креатинкиназы увеличилась на 14,2%, а в контрольной на 88,9%.</w:t>
      </w:r>
    </w:p>
    <w:p w:rsidR="00F4654E" w:rsidRDefault="00F4654E">
      <w:pPr>
        <w:pStyle w:val="a6"/>
      </w:pPr>
      <w:r>
        <w:t>Анализируя вышеизложенное, можно сделать заключение о том, что применение фосгумина поросятам на доращивании оказало положительное действие. За счет усиления гликолитических процессов, активности пент</w:t>
      </w:r>
      <w:r>
        <w:t>о</w:t>
      </w:r>
      <w:r>
        <w:t>зофосфатного цикла расщепления глюкозы и использования жиров на энергетические нужды происходит ускоренная активация энергетического метаболизма после воздействия такого сильного стресс-фактора, как транспортировка. Это способствует более эффективной адаптации к новым условиям содержания и более мягкому ответу на следующее стресс-воздействие – вакцинацию.</w:t>
      </w:r>
    </w:p>
    <w:p w:rsidR="00F4654E" w:rsidRDefault="00F4654E">
      <w:pPr>
        <w:pStyle w:val="a6"/>
      </w:pPr>
      <w:r>
        <w:t>Применение фосгумина поросятам на доращивании приводит к и</w:t>
      </w:r>
      <w:r>
        <w:t>н</w:t>
      </w:r>
      <w:r>
        <w:t>тенсификации роста, как в первый месяц, так и в течение всего периода доращивания. Среднесуточные привесы поросят в первый месяц опыта б</w:t>
      </w:r>
      <w:r>
        <w:t>и</w:t>
      </w:r>
      <w:r>
        <w:t>ли на 37% выше, а за весь период опыта (90 дней) на 35,9% по сравнению с контролем. В контрольной группе за весь период доращивания пало от пневмонии  35%  поросят,  в опытной группе – 7,3%.</w:t>
      </w:r>
    </w:p>
    <w:p w:rsidR="00F4654E" w:rsidRDefault="00F4654E">
      <w:pPr>
        <w:pStyle w:val="a4"/>
      </w:pPr>
      <w:r>
        <w:lastRenderedPageBreak/>
        <w:t>УДК 591.8/591.2.636.2</w:t>
      </w:r>
    </w:p>
    <w:p w:rsidR="00F4654E" w:rsidRDefault="00F4654E">
      <w:pPr>
        <w:pStyle w:val="1"/>
      </w:pPr>
      <w:bookmarkStart w:id="1786" w:name="_Toc10731233"/>
      <w:bookmarkStart w:id="1787" w:name="_Toc10731894"/>
      <w:bookmarkStart w:id="1788" w:name="_Toc10891741"/>
      <w:bookmarkStart w:id="1789" w:name="_Toc10892416"/>
      <w:bookmarkStart w:id="1790" w:name="_Toc11390281"/>
      <w:bookmarkStart w:id="1791" w:name="_Toc11839962"/>
      <w:bookmarkStart w:id="1792" w:name="_Toc11937504"/>
      <w:r>
        <w:t xml:space="preserve">МОРФОЛОГИЧЕСКИЕ ИЗМЕНЕНИЯ В ОРГАНАХ КОРОВ  В СИСТЕМЕ </w:t>
      </w:r>
      <w:r>
        <w:br/>
        <w:t>«МАТЬ-ПЛОД» НА ТЕРРИТОРИИ ТЕХНОГЕННОГО ЗАГРЯЗНЕНИЯ</w:t>
      </w:r>
      <w:bookmarkEnd w:id="1786"/>
      <w:bookmarkEnd w:id="1787"/>
      <w:bookmarkEnd w:id="1788"/>
      <w:bookmarkEnd w:id="1789"/>
      <w:bookmarkEnd w:id="1790"/>
      <w:bookmarkEnd w:id="1791"/>
      <w:bookmarkEnd w:id="1792"/>
    </w:p>
    <w:p w:rsidR="00F4654E" w:rsidRDefault="00F4654E">
      <w:pPr>
        <w:pStyle w:val="2"/>
      </w:pPr>
      <w:bookmarkStart w:id="1793" w:name="_Toc10731234"/>
      <w:bookmarkStart w:id="1794" w:name="_Toc10731895"/>
      <w:bookmarkStart w:id="1795" w:name="_Toc10891742"/>
      <w:bookmarkStart w:id="1796" w:name="_Toc10892417"/>
      <w:bookmarkStart w:id="1797" w:name="_Toc11390282"/>
      <w:bookmarkStart w:id="1798" w:name="_Toc11937505"/>
      <w:r>
        <w:t>Дроздова Л.И., Виноградова О.В., Малыгина А.А.</w:t>
      </w:r>
      <w:bookmarkEnd w:id="1793"/>
      <w:bookmarkEnd w:id="1794"/>
      <w:bookmarkEnd w:id="1795"/>
      <w:bookmarkEnd w:id="1796"/>
      <w:bookmarkEnd w:id="1797"/>
      <w:bookmarkEnd w:id="1798"/>
    </w:p>
    <w:p w:rsidR="00F4654E" w:rsidRDefault="00F4654E">
      <w:pPr>
        <w:pStyle w:val="a5"/>
      </w:pPr>
      <w:r>
        <w:t>Свердловская научно-исследовательская ветеринарная станция</w:t>
      </w:r>
      <w:r>
        <w:br/>
        <w:t>Уральская государственная сельскохозяйственная академия</w:t>
      </w:r>
    </w:p>
    <w:p w:rsidR="00F4654E" w:rsidRDefault="00F4654E">
      <w:pPr>
        <w:pStyle w:val="a6"/>
      </w:pPr>
      <w:r>
        <w:t>Известно, что большинство тяжелых металлов беспрепятственно пр</w:t>
      </w:r>
      <w:r>
        <w:t>о</w:t>
      </w:r>
      <w:r>
        <w:t>никает через плацентарный барьер и в значительных количествах депон</w:t>
      </w:r>
      <w:r>
        <w:t>и</w:t>
      </w:r>
      <w:r>
        <w:t>руется в органах и тканях плодов.</w:t>
      </w:r>
      <w:r w:rsidR="00414261">
        <w:t xml:space="preserve"> </w:t>
      </w:r>
      <w:r>
        <w:t>Накапливаясь в организме животных, тяжелые металлы вызывают н</w:t>
      </w:r>
      <w:r>
        <w:t>а</w:t>
      </w:r>
      <w:r>
        <w:t>рушение обменных процессов, угнетение активности ферментов, измен</w:t>
      </w:r>
      <w:r>
        <w:t>е</w:t>
      </w:r>
      <w:r>
        <w:t xml:space="preserve">ние проницаемости клеточных мембран. </w:t>
      </w:r>
    </w:p>
    <w:p w:rsidR="00F4654E" w:rsidRDefault="00F4654E">
      <w:pPr>
        <w:pStyle w:val="a6"/>
      </w:pPr>
      <w:r>
        <w:t>Наши исследования выполнены в Первоуральском районе Свердло</w:t>
      </w:r>
      <w:r>
        <w:t>в</w:t>
      </w:r>
      <w:r>
        <w:t>ской области, который относится к территории с чрезвычайной экологич</w:t>
      </w:r>
      <w:r>
        <w:t>е</w:t>
      </w:r>
      <w:r>
        <w:t>ской ситуацией. Здесь сосредоточена горнообогатительная, металлургич</w:t>
      </w:r>
      <w:r>
        <w:t>е</w:t>
      </w:r>
      <w:r>
        <w:t>ская и металлообрабатывающая промышленность. Приоритетными загря</w:t>
      </w:r>
      <w:r>
        <w:t>з</w:t>
      </w:r>
      <w:r>
        <w:t>нителями воздушного бассейна и почв района являются сернистый анги</w:t>
      </w:r>
      <w:r>
        <w:t>д</w:t>
      </w:r>
      <w:r>
        <w:t xml:space="preserve">рид, двуокись азота, фенол, хром, свинец, мышьяк, кадмий и др. </w:t>
      </w:r>
    </w:p>
    <w:p w:rsidR="00F4654E" w:rsidRDefault="00F4654E">
      <w:pPr>
        <w:pStyle w:val="a6"/>
      </w:pPr>
      <w:r>
        <w:t>Объектом для исследования служили коровы-матери 7-8 летнего во</w:t>
      </w:r>
      <w:r>
        <w:t>з</w:t>
      </w:r>
      <w:r w:rsidR="00414261">
        <w:t xml:space="preserve">раста и их плоды. </w:t>
      </w:r>
      <w:r>
        <w:t>Гистологическими исследованиями установлены патол</w:t>
      </w:r>
      <w:r>
        <w:t>о</w:t>
      </w:r>
      <w:r>
        <w:t>гические изменения в системе «мать-плацента-плод». Уже в первую пол</w:t>
      </w:r>
      <w:r>
        <w:t>о</w:t>
      </w:r>
      <w:r>
        <w:t>вину стельности зарегистрировано в плаценте утолщение и нарушение  эпителизации ворсин. Отмечается вакуолизация стромы ворсин хориона, их разрушение и наличие фибриноида между ворсинами. К концу бер</w:t>
      </w:r>
      <w:r>
        <w:t>е</w:t>
      </w:r>
      <w:r>
        <w:t>менности обнаружен  некроз отдельных эпителиальных клеток, не связа</w:t>
      </w:r>
      <w:r>
        <w:t>н</w:t>
      </w:r>
      <w:r>
        <w:t>ный со старением плаценты, т.к. имеют место двуядерные клетки, что св</w:t>
      </w:r>
      <w:r>
        <w:t>и</w:t>
      </w:r>
      <w:r>
        <w:t>детельствует о позднем созревании плаценты.</w:t>
      </w:r>
      <w:r w:rsidR="00414261">
        <w:t xml:space="preserve"> </w:t>
      </w:r>
      <w:r>
        <w:t>Наряду с гиперпластич</w:t>
      </w:r>
      <w:r>
        <w:t>е</w:t>
      </w:r>
      <w:r>
        <w:t>скими процессами в эпителии матки   видны обширные периваскулярные отеки, участки с массовым выходом эритроцитов и фибрина, стенки сос</w:t>
      </w:r>
      <w:r>
        <w:t>у</w:t>
      </w:r>
      <w:r>
        <w:t>дов в состоянии мукоидного набухания, в мышечной ткани - отек, участки некроза, железы в основном содержат слизь с примесью клеток слущенн</w:t>
      </w:r>
      <w:r>
        <w:t>о</w:t>
      </w:r>
      <w:r>
        <w:t>го эпителия,  местами эпителий разрушен и тогда базальная мембрана ог</w:t>
      </w:r>
      <w:r>
        <w:t>о</w:t>
      </w:r>
      <w:r>
        <w:t>лена, а на других участках имеются уплотнения с очагами разрастания с</w:t>
      </w:r>
      <w:r>
        <w:t>о</w:t>
      </w:r>
      <w:r>
        <w:t xml:space="preserve">единительной ткани. </w:t>
      </w:r>
    </w:p>
    <w:p w:rsidR="00F4654E" w:rsidRDefault="00F4654E">
      <w:pPr>
        <w:pStyle w:val="a6"/>
      </w:pPr>
      <w:r>
        <w:t>В районах с напряженной эколого-антропогенной ситуацией критич</w:t>
      </w:r>
      <w:r>
        <w:t>е</w:t>
      </w:r>
      <w:r>
        <w:t>скими органами у коров-матерей, накапливающими максимальное колич</w:t>
      </w:r>
      <w:r>
        <w:t>е</w:t>
      </w:r>
      <w:r>
        <w:t xml:space="preserve">ство свинца и кадмия, при сочетанном воздействии, являются печень и почки, которые принимают на себя основную тяжесть по их утилизации. </w:t>
      </w:r>
    </w:p>
    <w:p w:rsidR="00F4654E" w:rsidRDefault="00F4654E">
      <w:pPr>
        <w:pStyle w:val="a6"/>
      </w:pPr>
      <w:r>
        <w:t>При исследовании почек у коров-матерей обнаружены в корковом слое изменения характерные для прогрессирующего склероза: четко выр</w:t>
      </w:r>
      <w:r>
        <w:t>а</w:t>
      </w:r>
      <w:r>
        <w:t>жен рисунок утолщенных стенок артериол клубочка, мезангиальные кле</w:t>
      </w:r>
      <w:r>
        <w:t>т</w:t>
      </w:r>
      <w:r>
        <w:t>ки набухшие, капсула Боумена-Шумлянского утолщена,  наблюдается пролиферация клеток эпителия капсулы, в некоторых клубочках обнар</w:t>
      </w:r>
      <w:r>
        <w:t>у</w:t>
      </w:r>
      <w:r>
        <w:lastRenderedPageBreak/>
        <w:t>живается фибринозная масса, местами они деформированы. В извитых к</w:t>
      </w:r>
      <w:r>
        <w:t>а</w:t>
      </w:r>
      <w:r>
        <w:t>нальцах первого порядка – вакуольная дистрофия эпителия и слущивание его в просвет, а порой и  некроз. Между канальцами обнаруживается н</w:t>
      </w:r>
      <w:r>
        <w:t>е</w:t>
      </w:r>
      <w:r>
        <w:t>значительный полиморфноклеточный инфильтрат, состоящий преимущ</w:t>
      </w:r>
      <w:r>
        <w:t>е</w:t>
      </w:r>
      <w:r>
        <w:t>ственно из лейкоцитов, такие же инфильтраты, но более плотные с нал</w:t>
      </w:r>
      <w:r>
        <w:t>и</w:t>
      </w:r>
      <w:r>
        <w:t xml:space="preserve">чием лимфоидных клеток наблюдаются периваскулярно. В кровеносных сосудах венозного типа отмечен застой крови с гемолизом эритроцитов, элементы их стенки  в состоянии активной пролиферации. Весь процесс можно охарактеризовать как склерозирующий гломерулонефрит. </w:t>
      </w:r>
    </w:p>
    <w:p w:rsidR="00F4654E" w:rsidRPr="00414261" w:rsidRDefault="00F4654E">
      <w:pPr>
        <w:pStyle w:val="a6"/>
        <w:rPr>
          <w:spacing w:val="-4"/>
        </w:rPr>
      </w:pPr>
      <w:r>
        <w:t>Аналогичная патология выявлена и у плодов. При исследовании почек установлены изменения  сходные с материнскими - ярко выражена зерн</w:t>
      </w:r>
      <w:r>
        <w:t>и</w:t>
      </w:r>
      <w:r>
        <w:t>стая и вакуольная дистрофия извитых канальцев, неравномерное развитие клубочков, расширение и опустошение артериол, так называемый «лапч</w:t>
      </w:r>
      <w:r>
        <w:t>а</w:t>
      </w:r>
      <w:r w:rsidR="00414261">
        <w:t xml:space="preserve">тый клубочек». </w:t>
      </w:r>
      <w:r>
        <w:t>При исследовании печени была установлена ярко выр</w:t>
      </w:r>
      <w:r>
        <w:t>а</w:t>
      </w:r>
      <w:r>
        <w:t>женная зернистая дистрофия, отмечалась неравномерная окраска печено</w:t>
      </w:r>
      <w:r>
        <w:t>ч</w:t>
      </w:r>
      <w:r>
        <w:t>ных клеток, что косвенно свидетельствует о недостатке гликогена. Анал</w:t>
      </w:r>
      <w:r>
        <w:t>о</w:t>
      </w:r>
      <w:r>
        <w:t>гичная картина в печени плода, это характеризует  снижение ее дезинто</w:t>
      </w:r>
      <w:r>
        <w:t>к</w:t>
      </w:r>
      <w:r>
        <w:t>сикационной активности. Имеет место патология печени связанная с н</w:t>
      </w:r>
      <w:r>
        <w:t>а</w:t>
      </w:r>
      <w:r>
        <w:t>рушением  водно-солевого обмена, что представлено подчеркнутой бало</w:t>
      </w:r>
      <w:r>
        <w:t>ч</w:t>
      </w:r>
      <w:r>
        <w:t>ной структурой за счет расширения пространств Диссе, в некоторых кле</w:t>
      </w:r>
      <w:r>
        <w:t>т</w:t>
      </w:r>
      <w:r>
        <w:t>ках ядра лизированы. Как компенсаторная реакция – гипертрофированные гепатоциты с крупными ядрами либо двуядерные клетки.</w:t>
      </w:r>
      <w:r w:rsidR="00414261">
        <w:t xml:space="preserve"> </w:t>
      </w:r>
      <w:r>
        <w:t>В сердце - зерн</w:t>
      </w:r>
      <w:r>
        <w:t>и</w:t>
      </w:r>
      <w:r>
        <w:t>стая дистрофия, стаз и расплавление стенки капилляров, нарастает состо</w:t>
      </w:r>
      <w:r>
        <w:t>я</w:t>
      </w:r>
      <w:r>
        <w:t>ние миокардиодистрофии, при этом у плода - гиперемия в сосудах микр</w:t>
      </w:r>
      <w:r>
        <w:t>о</w:t>
      </w:r>
      <w:r>
        <w:t>циркуляторного русла. В легких - яркая  картина гнойно-катаральной бронхопневмонии с г</w:t>
      </w:r>
      <w:r>
        <w:t>е</w:t>
      </w:r>
      <w:r>
        <w:t>моррагическим синдромом (в бронхах эритроциты, лейкоциты, гнойные тельца, клетки в состоянии гиперсекреции, вакуол</w:t>
      </w:r>
      <w:r>
        <w:t>и</w:t>
      </w:r>
      <w:r>
        <w:t>зированные и распл</w:t>
      </w:r>
      <w:r>
        <w:t>а</w:t>
      </w:r>
      <w:r>
        <w:t>вившиеся стенки бронхов, утолщение стенок альвеол, очаги ателектаза и компенсаторной эмфиземы). Закладывается патология у плода: разрушение стенки бронхов и скопление экссудата с примесью пигмента, разрушение внутренней мембраны, патология мерцательного эпителия.</w:t>
      </w:r>
      <w:r w:rsidR="00414261">
        <w:t xml:space="preserve"> </w:t>
      </w:r>
      <w:r>
        <w:t>В селезенке коров-матерей капсула и трабекулы резко утолщ</w:t>
      </w:r>
      <w:r>
        <w:t>е</w:t>
      </w:r>
      <w:r>
        <w:t>ны. Стенки пульпарных сосудов в состоянии активной пролиферации, пр</w:t>
      </w:r>
      <w:r>
        <w:t>о</w:t>
      </w:r>
      <w:r>
        <w:t>светы их обтурированы. Процесс характеризуется как продуктивный ва</w:t>
      </w:r>
      <w:r>
        <w:t>с</w:t>
      </w:r>
      <w:r>
        <w:t>кулит. У плодов имеются целые лакуны  избыточного депонирования кр</w:t>
      </w:r>
      <w:r>
        <w:t>о</w:t>
      </w:r>
      <w:r>
        <w:t>вью, слабое развитие фолликулов.</w:t>
      </w:r>
      <w:r w:rsidR="00414261">
        <w:t xml:space="preserve"> </w:t>
      </w:r>
      <w:r>
        <w:t>Мезентериальные лимфатические узлы у коров-матерей характеризуются повышенным содержанием гемосидер</w:t>
      </w:r>
      <w:r>
        <w:t>и</w:t>
      </w:r>
      <w:r>
        <w:t>на, резким утолщением ка</w:t>
      </w:r>
      <w:r>
        <w:t>п</w:t>
      </w:r>
      <w:r>
        <w:t>сулы и инфильтрацией разросшейся стромой органа, особенно в мозговой области с замещением мякотных тяжей, кот</w:t>
      </w:r>
      <w:r>
        <w:t>о</w:t>
      </w:r>
      <w:r>
        <w:t>рые атрофированы. Корковая зона разрыхлена, фолликулы не четко оче</w:t>
      </w:r>
      <w:r>
        <w:t>р</w:t>
      </w:r>
      <w:r>
        <w:t>чены, в герменативных центрах усилен рисунок ретикулярной ткани, пр</w:t>
      </w:r>
      <w:r>
        <w:t>о</w:t>
      </w:r>
      <w:r>
        <w:t>цесс характеризуется как продуктивный лимфаденит с выраженным вну</w:t>
      </w:r>
      <w:r>
        <w:t>т</w:t>
      </w:r>
      <w:r>
        <w:t xml:space="preserve">ри и внесосудистым гемолизом. </w:t>
      </w:r>
      <w:r w:rsidRPr="00414261">
        <w:rPr>
          <w:spacing w:val="-4"/>
        </w:rPr>
        <w:t>Тимус плодов хорошо развит, но имеют м</w:t>
      </w:r>
      <w:r w:rsidRPr="00414261">
        <w:rPr>
          <w:spacing w:val="-4"/>
        </w:rPr>
        <w:t>е</w:t>
      </w:r>
      <w:r w:rsidRPr="00414261">
        <w:rPr>
          <w:spacing w:val="-4"/>
        </w:rPr>
        <w:lastRenderedPageBreak/>
        <w:t>сто периваскулярные кровоизлияния в строме органа. Отмечено наличие бл</w:t>
      </w:r>
      <w:r w:rsidRPr="00414261">
        <w:rPr>
          <w:spacing w:val="-4"/>
        </w:rPr>
        <w:t>а</w:t>
      </w:r>
      <w:r w:rsidRPr="00414261">
        <w:rPr>
          <w:spacing w:val="-4"/>
        </w:rPr>
        <w:t>стных форм клеток в осно</w:t>
      </w:r>
      <w:r w:rsidRPr="00414261">
        <w:rPr>
          <w:spacing w:val="-4"/>
        </w:rPr>
        <w:t>в</w:t>
      </w:r>
      <w:r w:rsidRPr="00414261">
        <w:rPr>
          <w:spacing w:val="-4"/>
        </w:rPr>
        <w:t>ном плазмобластов, есть участки отложения жира, как признаки ацидинтальной инволюции. Некоторые тельца Гассаля в с</w:t>
      </w:r>
      <w:r w:rsidRPr="00414261">
        <w:rPr>
          <w:spacing w:val="-4"/>
        </w:rPr>
        <w:t>о</w:t>
      </w:r>
      <w:r w:rsidRPr="00414261">
        <w:rPr>
          <w:spacing w:val="-4"/>
        </w:rPr>
        <w:t>стоянии роговой дистрофии.</w:t>
      </w:r>
      <w:r w:rsidR="00414261" w:rsidRPr="00414261">
        <w:rPr>
          <w:spacing w:val="-4"/>
        </w:rPr>
        <w:t xml:space="preserve"> </w:t>
      </w:r>
      <w:r w:rsidRPr="00414261">
        <w:rPr>
          <w:spacing w:val="-4"/>
        </w:rPr>
        <w:t>В ткани мозга у плода наблюдаются периваск</w:t>
      </w:r>
      <w:r w:rsidRPr="00414261">
        <w:rPr>
          <w:spacing w:val="-4"/>
        </w:rPr>
        <w:t>у</w:t>
      </w:r>
      <w:r w:rsidRPr="00414261">
        <w:rPr>
          <w:spacing w:val="-4"/>
        </w:rPr>
        <w:t>лярный, перицелл</w:t>
      </w:r>
      <w:r w:rsidRPr="00414261">
        <w:rPr>
          <w:spacing w:val="-4"/>
        </w:rPr>
        <w:t>ю</w:t>
      </w:r>
      <w:r w:rsidRPr="00414261">
        <w:rPr>
          <w:spacing w:val="-4"/>
        </w:rPr>
        <w:t>лярный отеки, активизация глии, что может быть связано с интокс</w:t>
      </w:r>
      <w:r w:rsidRPr="00414261">
        <w:rPr>
          <w:spacing w:val="-4"/>
        </w:rPr>
        <w:t>и</w:t>
      </w:r>
      <w:r w:rsidRPr="00414261">
        <w:rPr>
          <w:spacing w:val="-4"/>
        </w:rPr>
        <w:t xml:space="preserve">кацией. </w:t>
      </w:r>
    </w:p>
    <w:p w:rsidR="00F4654E" w:rsidRDefault="00F4654E">
      <w:pPr>
        <w:pStyle w:val="a6"/>
      </w:pPr>
      <w:r>
        <w:t>Подтверждается гипотеза в районах с напряженной экологической с</w:t>
      </w:r>
      <w:r>
        <w:t>и</w:t>
      </w:r>
      <w:r>
        <w:t>туацией о том, что  усиливается хроническое трансплацентарное  повре</w:t>
      </w:r>
      <w:r>
        <w:t>ж</w:t>
      </w:r>
      <w:r>
        <w:t>дающее воздействие тяжелых металлов  на плод в морфофункциональной системе «мать-плацента-плод». Развивается гипоплазия и гипотрофия в у</w:t>
      </w:r>
      <w:r>
        <w:t>т</w:t>
      </w:r>
      <w:r>
        <w:t xml:space="preserve">робном периоде, что проявляется функциональными нарушениями органов пищеварения, выделения, а в последующем - бронхолегочной системы. </w:t>
      </w:r>
    </w:p>
    <w:p w:rsidR="00F4654E" w:rsidRDefault="00F4654E">
      <w:pPr>
        <w:pStyle w:val="a6"/>
      </w:pPr>
      <w:r>
        <w:t>Многие клинико-экспериментальные наблюдения показывают, что поражение какого-либо органа матери ведет к нарушению развития гом</w:t>
      </w:r>
      <w:r>
        <w:t>о</w:t>
      </w:r>
      <w:r>
        <w:t>логичного органа плода. При поражении  таких органов матери, как п</w:t>
      </w:r>
      <w:r>
        <w:t>е</w:t>
      </w:r>
      <w:r>
        <w:t>чень, почка, сердце и легкие, у плода также возникают специфические н</w:t>
      </w:r>
      <w:r>
        <w:t>а</w:t>
      </w:r>
      <w:r>
        <w:t>рушения  функций и структур именно этих органов.</w:t>
      </w:r>
    </w:p>
    <w:p w:rsidR="00F4654E" w:rsidRDefault="00F4654E">
      <w:pPr>
        <w:pStyle w:val="a4"/>
      </w:pPr>
      <w:r>
        <w:t>УДК 636.082+636.2</w:t>
      </w:r>
    </w:p>
    <w:p w:rsidR="00F4654E" w:rsidRDefault="00F4654E">
      <w:pPr>
        <w:pStyle w:val="1"/>
      </w:pPr>
      <w:bookmarkStart w:id="1799" w:name="_Toc10731241"/>
      <w:bookmarkStart w:id="1800" w:name="_Toc10731902"/>
      <w:bookmarkStart w:id="1801" w:name="_Toc10891749"/>
      <w:bookmarkStart w:id="1802" w:name="_Toc10892424"/>
      <w:bookmarkStart w:id="1803" w:name="_Toc11390289"/>
      <w:bookmarkStart w:id="1804" w:name="_Toc11839970"/>
      <w:bookmarkStart w:id="1805" w:name="_Toc11937506"/>
      <w:r>
        <w:t>СТАНОВЛЕНИЕ ГЕНЕРАТИВНОЙ И ГОРМОНАЛЬНОЙ ФУНКЦИИ ГОНАД</w:t>
      </w:r>
      <w:r>
        <w:br/>
        <w:t xml:space="preserve"> У ТЕЛОК</w:t>
      </w:r>
      <w:bookmarkEnd w:id="1799"/>
      <w:bookmarkEnd w:id="1800"/>
      <w:bookmarkEnd w:id="1801"/>
      <w:bookmarkEnd w:id="1802"/>
      <w:bookmarkEnd w:id="1803"/>
      <w:bookmarkEnd w:id="1804"/>
      <w:bookmarkEnd w:id="1805"/>
    </w:p>
    <w:p w:rsidR="00F4654E" w:rsidRDefault="00F4654E">
      <w:pPr>
        <w:pStyle w:val="2"/>
      </w:pPr>
      <w:bookmarkStart w:id="1806" w:name="_Toc10731242"/>
      <w:bookmarkStart w:id="1807" w:name="_Toc10731903"/>
      <w:bookmarkStart w:id="1808" w:name="_Toc10891750"/>
      <w:bookmarkStart w:id="1809" w:name="_Toc10892425"/>
      <w:bookmarkStart w:id="1810" w:name="_Toc11390290"/>
      <w:bookmarkStart w:id="1811" w:name="_Toc11937507"/>
      <w:r>
        <w:t>Еремин С.П.</w:t>
      </w:r>
      <w:bookmarkEnd w:id="1806"/>
      <w:bookmarkEnd w:id="1807"/>
      <w:bookmarkEnd w:id="1808"/>
      <w:bookmarkEnd w:id="1809"/>
      <w:bookmarkEnd w:id="1810"/>
      <w:bookmarkEnd w:id="1811"/>
    </w:p>
    <w:p w:rsidR="00F4654E" w:rsidRDefault="00F4654E">
      <w:pPr>
        <w:pStyle w:val="a5"/>
      </w:pPr>
      <w:r>
        <w:t>НП ООО «Поливет-НН», г. Нижний Новгород</w:t>
      </w:r>
    </w:p>
    <w:p w:rsidR="00F4654E" w:rsidRPr="00414261" w:rsidRDefault="00F4654E">
      <w:pPr>
        <w:pStyle w:val="a6"/>
        <w:rPr>
          <w:spacing w:val="-4"/>
        </w:rPr>
      </w:pPr>
      <w:r w:rsidRPr="00414261">
        <w:rPr>
          <w:spacing w:val="-4"/>
        </w:rPr>
        <w:t>Морфофункциональные изменения в яичниках телок 15 – 18-месячного возраста находились в зависимости от стадий полового цикла. Так, созрев</w:t>
      </w:r>
      <w:r w:rsidRPr="00414261">
        <w:rPr>
          <w:spacing w:val="-4"/>
        </w:rPr>
        <w:t>а</w:t>
      </w:r>
      <w:r w:rsidRPr="00414261">
        <w:rPr>
          <w:spacing w:val="-4"/>
        </w:rPr>
        <w:t>ние среднего размера и крупных третичных фолликулов наблюдали незадо</w:t>
      </w:r>
      <w:r w:rsidRPr="00414261">
        <w:rPr>
          <w:spacing w:val="-4"/>
        </w:rPr>
        <w:t>л</w:t>
      </w:r>
      <w:r w:rsidRPr="00414261">
        <w:rPr>
          <w:spacing w:val="-4"/>
        </w:rPr>
        <w:t>го и в период наступления стадии возбуждения полового цикла. В растущих фолликулах гранулеза сохраняла радиальную дифференцировку, а в созр</w:t>
      </w:r>
      <w:r w:rsidRPr="00414261">
        <w:rPr>
          <w:spacing w:val="-4"/>
        </w:rPr>
        <w:t>е</w:t>
      </w:r>
      <w:r w:rsidRPr="00414261">
        <w:rPr>
          <w:spacing w:val="-4"/>
        </w:rPr>
        <w:t>вающих граафовых пузырьках эпителиальные клетки претерпевали дистр</w:t>
      </w:r>
      <w:r w:rsidRPr="00414261">
        <w:rPr>
          <w:spacing w:val="-4"/>
        </w:rPr>
        <w:t>о</w:t>
      </w:r>
      <w:r w:rsidRPr="00414261">
        <w:rPr>
          <w:spacing w:val="-4"/>
        </w:rPr>
        <w:t>фические изменения. При этом в текальных клетках созревающих фоллик</w:t>
      </w:r>
      <w:r w:rsidRPr="00414261">
        <w:rPr>
          <w:spacing w:val="-4"/>
        </w:rPr>
        <w:t>у</w:t>
      </w:r>
      <w:r w:rsidRPr="00414261">
        <w:rPr>
          <w:spacing w:val="-4"/>
        </w:rPr>
        <w:t>лов активизировалась морфогенная, секреторная и сосудистая реакция, в р</w:t>
      </w:r>
      <w:r w:rsidRPr="00414261">
        <w:rPr>
          <w:spacing w:val="-4"/>
        </w:rPr>
        <w:t>е</w:t>
      </w:r>
      <w:r w:rsidRPr="00414261">
        <w:rPr>
          <w:spacing w:val="-4"/>
        </w:rPr>
        <w:t>зультате чего текальная ткань увеличивалась в объеме.</w:t>
      </w:r>
    </w:p>
    <w:p w:rsidR="00F4654E" w:rsidRDefault="00F4654E">
      <w:pPr>
        <w:pStyle w:val="a6"/>
      </w:pPr>
      <w:r>
        <w:t>С инволюцией желтого тела и созревания фолликулов концентрация эстрадиола-17бета увеличивалась до 83,65 пг/мл, а уровень прогестерона снижался до 0,22 нг/мл. Овуляция фолликулов сопровождалась спадением их степени и образованием гафрирообразных впячиваний за счет пролиф</w:t>
      </w:r>
      <w:r>
        <w:t>е</w:t>
      </w:r>
      <w:r>
        <w:t>рирующих клеток теки. В последующем внутренняя тека дифференцир</w:t>
      </w:r>
      <w:r>
        <w:t>о</w:t>
      </w:r>
      <w:r>
        <w:t>валась в крупные одно-двуядерные лютеиновые клетки, большинство из которых приходили в состояние секреции. Клетки наружной теки дифф</w:t>
      </w:r>
      <w:r>
        <w:t>е</w:t>
      </w:r>
      <w:r>
        <w:t>ренцировались в более мелкие лютеиновые клетки. При этом от ранее х</w:t>
      </w:r>
      <w:r>
        <w:t>о</w:t>
      </w:r>
      <w:r>
        <w:t>рошо выраженных соединительно-тканных включений оставались рад</w:t>
      </w:r>
      <w:r>
        <w:t>и</w:t>
      </w:r>
      <w:r>
        <w:t xml:space="preserve">ально расположенные пучки, представленные эластическими волокнами, </w:t>
      </w:r>
      <w:r>
        <w:lastRenderedPageBreak/>
        <w:t>определяющими дольчатое строение паренхимы желтого тела.</w:t>
      </w:r>
      <w:r w:rsidR="00414261">
        <w:t xml:space="preserve"> </w:t>
      </w:r>
      <w:r>
        <w:t>Формир</w:t>
      </w:r>
      <w:r>
        <w:t>о</w:t>
      </w:r>
      <w:r>
        <w:t>вание желтого тела сопровождалось снижением уровня эс</w:t>
      </w:r>
      <w:r>
        <w:t>т</w:t>
      </w:r>
      <w:r>
        <w:t>радиола-17бета до 7,69 пг/мл и увеличением концентрации прогестерона до 3,24 нг/мл. Однако с формированием желтых тел мелкие и среднего размера фоллик</w:t>
      </w:r>
      <w:r>
        <w:t>у</w:t>
      </w:r>
      <w:r>
        <w:t>лы подвергались облитерационной, а крупные – кисто</w:t>
      </w:r>
      <w:r>
        <w:t>з</w:t>
      </w:r>
      <w:r>
        <w:t>ной атрезии. Начало инволюции желтых тел характеризовалось появлен</w:t>
      </w:r>
      <w:r>
        <w:t>и</w:t>
      </w:r>
      <w:r>
        <w:t>ем в отдельных долях единичных или множественных лютеиновых клеток с частичной или по</w:t>
      </w:r>
      <w:r>
        <w:t>л</w:t>
      </w:r>
      <w:r>
        <w:t>ной оксифилизацией цитоплазмы с изменением ко</w:t>
      </w:r>
      <w:r>
        <w:t>н</w:t>
      </w:r>
      <w:r>
        <w:t>фигурации клеток от овальных в треугольные и плоские. При этом ядра уменьшались в объеме, подвергались пикнозу, а в цитоплазме развивались явления лизиса с фо</w:t>
      </w:r>
      <w:r>
        <w:t>р</w:t>
      </w:r>
      <w:r>
        <w:t>мированием волокнистой структуры на фоне редукции капиллярной си</w:t>
      </w:r>
      <w:r>
        <w:t>с</w:t>
      </w:r>
      <w:r>
        <w:t>темы и облитерации кровеносных сосудов.</w:t>
      </w:r>
    </w:p>
    <w:p w:rsidR="00F4654E" w:rsidRDefault="00F4654E">
      <w:pPr>
        <w:pStyle w:val="a6"/>
      </w:pPr>
      <w:r>
        <w:t>Таким образом, явление овогенеза и формирование примордиальных фолликулов наблюдалось как у плодов (нами ранее было отмечено), так и у телок. Однако, у плодов и телок до 6-ти месячного возраста растущие вторичные и третичные фолликулы не овулировали, а претерпевали обл</w:t>
      </w:r>
      <w:r>
        <w:t>и</w:t>
      </w:r>
      <w:r>
        <w:t>терационную или кистозную атрезию. Начиная с 6-ти месячного возраста, в яичниках отдельных телок фолликулы были способны к овуляции и к формированию желтых  тел.</w:t>
      </w:r>
      <w:r w:rsidR="00414261">
        <w:t xml:space="preserve"> </w:t>
      </w:r>
      <w:r>
        <w:t>Полное становление генеративной и горм</w:t>
      </w:r>
      <w:r>
        <w:t>о</w:t>
      </w:r>
      <w:r>
        <w:t>нальной функции яичников наблюдалось к 12-ти месячному возрасту, к</w:t>
      </w:r>
      <w:r>
        <w:t>о</w:t>
      </w:r>
      <w:r>
        <w:t>гда в яичниках формировались крупные фолликулы и желтые тела, обе</w:t>
      </w:r>
      <w:r>
        <w:t>с</w:t>
      </w:r>
      <w:r>
        <w:t>печивающий высокий горм</w:t>
      </w:r>
      <w:r>
        <w:t>о</w:t>
      </w:r>
      <w:r>
        <w:t>нальный фон в организме, необходимый для проявления феноменов возбуждения полового цикла и подготовки пол</w:t>
      </w:r>
      <w:r>
        <w:t>о</w:t>
      </w:r>
      <w:r>
        <w:t>вых органов к оплодотворению, нидации зиготы и сохранению беременн</w:t>
      </w:r>
      <w:r>
        <w:t>о</w:t>
      </w:r>
      <w:r>
        <w:t>сти.</w:t>
      </w:r>
      <w:r w:rsidR="00414261">
        <w:t xml:space="preserve"> </w:t>
      </w:r>
      <w:r>
        <w:t>Установлено, что формирование примордиальных, рост вторичных и третичных фолликулов были связаны с проявлением трофической и пл</w:t>
      </w:r>
      <w:r>
        <w:t>а</w:t>
      </w:r>
      <w:r>
        <w:t>стической функций мезенхимных элементов коркового вещества яичников, которые, дифференцируясь в эпиталеальные и текальные клетки, обесп</w:t>
      </w:r>
      <w:r>
        <w:t>е</w:t>
      </w:r>
      <w:r>
        <w:t>чивали завершение овогенеза и созревание яйцеклеток, а также рост и ов</w:t>
      </w:r>
      <w:r>
        <w:t>у</w:t>
      </w:r>
      <w:r>
        <w:t>ляцию фолликулов. У телок как атретические, так и желтые тела формир</w:t>
      </w:r>
      <w:r>
        <w:t>о</w:t>
      </w:r>
      <w:r>
        <w:t>вались из пролиферирующих клеток внутренней теки, гранулеза при этом подвергалась редукции.</w:t>
      </w:r>
    </w:p>
    <w:p w:rsidR="00F4654E" w:rsidRDefault="00F4654E">
      <w:pPr>
        <w:pStyle w:val="a4"/>
      </w:pPr>
      <w:r>
        <w:t>УДК 636.22/28.084.4</w:t>
      </w:r>
    </w:p>
    <w:p w:rsidR="00F4654E" w:rsidRDefault="00F4654E">
      <w:pPr>
        <w:pStyle w:val="1"/>
      </w:pPr>
      <w:bookmarkStart w:id="1812" w:name="_Toc10731243"/>
      <w:bookmarkStart w:id="1813" w:name="_Toc10731904"/>
      <w:bookmarkStart w:id="1814" w:name="_Toc10891751"/>
      <w:bookmarkStart w:id="1815" w:name="_Toc10892426"/>
      <w:bookmarkStart w:id="1816" w:name="_Toc11390291"/>
      <w:bookmarkStart w:id="1817" w:name="_Toc11839972"/>
      <w:bookmarkStart w:id="1818" w:name="_Toc11937508"/>
      <w:r>
        <w:t>ПОСТНАТАЛЬНОЕ РАЗВИТИЕ СТРУКТУРНОЙ ОРГАНИЗАЦИИ ЯИЧНИКОВ У ТЕЛОК</w:t>
      </w:r>
      <w:bookmarkEnd w:id="1812"/>
      <w:bookmarkEnd w:id="1813"/>
      <w:bookmarkEnd w:id="1814"/>
      <w:bookmarkEnd w:id="1815"/>
      <w:bookmarkEnd w:id="1816"/>
      <w:bookmarkEnd w:id="1817"/>
      <w:bookmarkEnd w:id="1818"/>
    </w:p>
    <w:p w:rsidR="00F4654E" w:rsidRDefault="00F4654E">
      <w:pPr>
        <w:pStyle w:val="2"/>
      </w:pPr>
      <w:bookmarkStart w:id="1819" w:name="_Toc10731244"/>
      <w:bookmarkStart w:id="1820" w:name="_Toc10731905"/>
      <w:bookmarkStart w:id="1821" w:name="_Toc10891752"/>
      <w:bookmarkStart w:id="1822" w:name="_Toc10892427"/>
      <w:bookmarkStart w:id="1823" w:name="_Toc11390292"/>
      <w:bookmarkStart w:id="1824" w:name="_Toc11937509"/>
      <w:r>
        <w:t>Еремин С.П.</w:t>
      </w:r>
      <w:bookmarkEnd w:id="1819"/>
      <w:bookmarkEnd w:id="1820"/>
      <w:bookmarkEnd w:id="1821"/>
      <w:bookmarkEnd w:id="1822"/>
      <w:bookmarkEnd w:id="1823"/>
      <w:bookmarkEnd w:id="1824"/>
    </w:p>
    <w:p w:rsidR="00F4654E" w:rsidRDefault="00F4654E">
      <w:pPr>
        <w:pStyle w:val="a5"/>
      </w:pPr>
      <w:r>
        <w:t>НП ООО «Поливет-НН», г. Нижний Новгород</w:t>
      </w:r>
    </w:p>
    <w:p w:rsidR="00F4654E" w:rsidRDefault="00F4654E">
      <w:pPr>
        <w:pStyle w:val="a6"/>
      </w:pPr>
      <w:r>
        <w:t>У телок 3-месячного возраста гаметогенная функция зачаткового эп</w:t>
      </w:r>
      <w:r>
        <w:t>и</w:t>
      </w:r>
      <w:r>
        <w:t>телия проявлялась в виде увеличения в 4,8 раза (7,6</w:t>
      </w:r>
      <w:r>
        <w:rPr>
          <w:u w:val="single"/>
        </w:rPr>
        <w:t></w:t>
      </w:r>
      <w:r>
        <w:t xml:space="preserve">0,99) в сравнении с 9-ти месячными плодами. Одновременно отмечалось формирование и рост вторичных и третичных фолликулов, с последующей их, преимущественно </w:t>
      </w:r>
      <w:r>
        <w:lastRenderedPageBreak/>
        <w:t>облитерационной атрезией. Наряду с формированием и развитием примо</w:t>
      </w:r>
      <w:r>
        <w:t>р</w:t>
      </w:r>
      <w:r>
        <w:t>диальных фолликулов часть из них подвергалась дистрофии и редукции. В последующем такие дистрофически измененные примордиальные фолл</w:t>
      </w:r>
      <w:r>
        <w:t>и</w:t>
      </w:r>
      <w:r>
        <w:t>кулы замещались окружающей интерстициальной тканью коркового вещ</w:t>
      </w:r>
      <w:r>
        <w:t>е</w:t>
      </w:r>
      <w:r>
        <w:t>ства яичника. Одновременно отмечалось формирование и рост вторичных и третичных фолликулов. Переход примордиальных фолликулов во вт</w:t>
      </w:r>
      <w:r>
        <w:t>о</w:t>
      </w:r>
      <w:r>
        <w:t>ричные был связан с пролиферацией окружающего плодовую клетку эп</w:t>
      </w:r>
      <w:r>
        <w:t>и</w:t>
      </w:r>
      <w:r>
        <w:t>телия, который из плоского переходил в кубическую или овальную форму и из однослойного приобретал многослойную структуру, дифференцир</w:t>
      </w:r>
      <w:r>
        <w:t>у</w:t>
      </w:r>
      <w:r>
        <w:t>ясь как вокруг половой клетки, образуя лучистый венец, так и вокруг сте</w:t>
      </w:r>
      <w:r>
        <w:t>н</w:t>
      </w:r>
      <w:r>
        <w:t>ки фолликула, формируя базальную мембрану.</w:t>
      </w:r>
      <w:r w:rsidR="00414261">
        <w:t xml:space="preserve"> </w:t>
      </w:r>
      <w:r>
        <w:t>С формированием базал</w:t>
      </w:r>
      <w:r>
        <w:t>ь</w:t>
      </w:r>
      <w:r>
        <w:t>ной мембраны вокруг вторичных фолликулов дифференцировалась окр</w:t>
      </w:r>
      <w:r>
        <w:t>у</w:t>
      </w:r>
      <w:r>
        <w:t>жающая интерстициальная ткань, пролиф</w:t>
      </w:r>
      <w:r>
        <w:t>е</w:t>
      </w:r>
      <w:r>
        <w:t>рация и васкуляризация которой приводили к формированию внутренней теки фолликулов. При этом фо</w:t>
      </w:r>
      <w:r>
        <w:t>л</w:t>
      </w:r>
      <w:r>
        <w:t>ликулы из вторичных переходили в третичные. Это сопровождалось ус</w:t>
      </w:r>
      <w:r>
        <w:t>и</w:t>
      </w:r>
      <w:r>
        <w:t>лением пролиферативных и секреторных процессов в гранулезе, накопл</w:t>
      </w:r>
      <w:r>
        <w:t>е</w:t>
      </w:r>
      <w:r>
        <w:t>нием фолликулярной жидкости и формир</w:t>
      </w:r>
      <w:r>
        <w:t>о</w:t>
      </w:r>
      <w:r>
        <w:t>ванием яйценосного бугорка.  Растущие третичные фолликулы, которых на срезе определялось от 5 до 12, не достигали созревания, а подвергались преимущественно облитер</w:t>
      </w:r>
      <w:r>
        <w:t>а</w:t>
      </w:r>
      <w:r>
        <w:t>ционной атрезии путем пролиферации текальной ткани, гранулеза подве</w:t>
      </w:r>
      <w:r>
        <w:t>р</w:t>
      </w:r>
      <w:r>
        <w:t>галась дистрофии и лизису.</w:t>
      </w:r>
    </w:p>
    <w:p w:rsidR="00F4654E" w:rsidRDefault="00F4654E">
      <w:pPr>
        <w:pStyle w:val="a6"/>
      </w:pPr>
      <w:r>
        <w:t>У телок 6-и месячного возраста процесс гаметогенеза из зачаткового эпителия с формированием примордиальных, вторичных и третичных фолликулов продолжался. Количество примордиальных фолликулов в сравнении с телками 3-х месячного возраста уменьшалось в два раза, а тр</w:t>
      </w:r>
      <w:r>
        <w:t>е</w:t>
      </w:r>
      <w:r>
        <w:t>тичные фолликулы достигали более крупных размеров, (8-12 мм в диаме</w:t>
      </w:r>
      <w:r>
        <w:t>т</w:t>
      </w:r>
      <w:r>
        <w:t>ре). Растущие третичные фолликулы находились на различных стадиях а</w:t>
      </w:r>
      <w:r>
        <w:t>т</w:t>
      </w:r>
      <w:r>
        <w:t>резии. При этом в одних фолликулах, преимущественно в более крупных, клетки внутренней теки приобретали вытянутую форму, в которых цит</w:t>
      </w:r>
      <w:r>
        <w:t>о</w:t>
      </w:r>
      <w:r>
        <w:t>плазма лизировалась, а ткань приобретала волокнистую структуру. В др</w:t>
      </w:r>
      <w:r>
        <w:t>у</w:t>
      </w:r>
      <w:r>
        <w:t>гих более мелких фолликулах текальная ткань приходила в состояние г</w:t>
      </w:r>
      <w:r>
        <w:t>и</w:t>
      </w:r>
      <w:r>
        <w:t>перплазии и гипертрофии, образуя мощный пролиферирующий гафрир</w:t>
      </w:r>
      <w:r>
        <w:t>о</w:t>
      </w:r>
      <w:r>
        <w:t>образный пласт, заполняющий полость фолликула.</w:t>
      </w:r>
      <w:r w:rsidR="00414261">
        <w:t xml:space="preserve"> </w:t>
      </w:r>
      <w:r>
        <w:t>Характерным отличием яичников животных 6-и месячного возраста от трех месячных телок явл</w:t>
      </w:r>
      <w:r>
        <w:t>я</w:t>
      </w:r>
      <w:r>
        <w:t>лось дифференциация ткани коркового вещества яичника на интерстиц</w:t>
      </w:r>
      <w:r>
        <w:t>и</w:t>
      </w:r>
      <w:r>
        <w:t>альные и фиброзные клетки, а также формирования в третичных фоллик</w:t>
      </w:r>
      <w:r>
        <w:t>у</w:t>
      </w:r>
      <w:r>
        <w:t>лах внутренней, хорошо васкуляризированной и пролиферативно активной и наружной, фиброзноизмененной теки. Во внутренней теке крупных фо</w:t>
      </w:r>
      <w:r>
        <w:t>л</w:t>
      </w:r>
      <w:r>
        <w:t>ликулов появлялись тека-лютеиновые клетки с овальными ядрами и хор</w:t>
      </w:r>
      <w:r>
        <w:t>о</w:t>
      </w:r>
      <w:r>
        <w:t>шо дифференцированной вакуолизированной цитоплазмой.</w:t>
      </w:r>
    </w:p>
    <w:p w:rsidR="00F4654E" w:rsidRDefault="00F4654E">
      <w:pPr>
        <w:pStyle w:val="a6"/>
      </w:pPr>
      <w:r>
        <w:t>В яичниках 9-ти месячных телок морфофункциональные изменения определялись исходным состоянием половой функции. Из трех взятых под наблюдение телок, у двух были установлены проявления феноменов во</w:t>
      </w:r>
      <w:r>
        <w:t>з</w:t>
      </w:r>
      <w:r>
        <w:lastRenderedPageBreak/>
        <w:t>буждения полового цикла. В яичниках этих животных определялись ме</w:t>
      </w:r>
      <w:r>
        <w:t>л</w:t>
      </w:r>
      <w:r>
        <w:t>кие желтые тела и лютеинизированные фолликулы. Малый размер желтых тел и слабая морфогенная и секреторная реакция лютеиновых клеток св</w:t>
      </w:r>
      <w:r>
        <w:t>и</w:t>
      </w:r>
      <w:r>
        <w:t>детельствует о недостаточной стабильности генеративной функции яичн</w:t>
      </w:r>
      <w:r>
        <w:t>и</w:t>
      </w:r>
      <w:r>
        <w:t>ков у телок этого возраста. Вместе с тем, в яичниках у телки не прояви</w:t>
      </w:r>
      <w:r>
        <w:t>в</w:t>
      </w:r>
      <w:r>
        <w:t>шей феномена стадии возбуждения полового цикла, кроме продолжающ</w:t>
      </w:r>
      <w:r>
        <w:t>е</w:t>
      </w:r>
      <w:r>
        <w:t>гося гаметогенеза, формирования примордиальных, роста вторичных и с</w:t>
      </w:r>
      <w:r>
        <w:t>о</w:t>
      </w:r>
      <w:r>
        <w:t>зревания третичных фолликулов просматривались по 1-2 предовуляторных граафовых пузырька, размер которых достигал 10-14 мм в диаметре.</w:t>
      </w:r>
    </w:p>
    <w:p w:rsidR="00F4654E" w:rsidRDefault="00F4654E">
      <w:pPr>
        <w:pStyle w:val="a6"/>
      </w:pPr>
      <w:r>
        <w:t>В яичниках 12-и месячных телок гаметогенез, формирование и рост примордиальных, вторичных и третичных фолликулов продолжался. У двух телок из трех было установлено по одному функционирующему же</w:t>
      </w:r>
      <w:r>
        <w:t>л</w:t>
      </w:r>
      <w:r>
        <w:t>тому телу и у одной – в состоянии инволюции. У этой телки паренхима желтого тела была представлена полигональными лютеиновыми клетками с вакуолизированной цитоплазмой и пиктонически измененными ядрами. Крупные третичные фолликулы были представлены многослойной рад</w:t>
      </w:r>
      <w:r>
        <w:t>и</w:t>
      </w:r>
      <w:r>
        <w:t>ально дифференцированной гранулезой в состоянии гиперсекреции и мощной пролиферативно активной внутренней текой, в которой дифф</w:t>
      </w:r>
      <w:r>
        <w:t>е</w:t>
      </w:r>
      <w:r>
        <w:t>ренцировались отдельные тека-лютеиновые клетки.</w:t>
      </w:r>
      <w:r w:rsidR="00414261">
        <w:t xml:space="preserve"> </w:t>
      </w:r>
      <w:r>
        <w:t>Функционирующие желтые тела имели размеры до 15 мм в диаметре. Паренхима желтых тел характеризовалась наличием крупных одно- и двухядерных лютеиновых клеток с овальными ядрами и хорошо дифф</w:t>
      </w:r>
      <w:r>
        <w:t>е</w:t>
      </w:r>
      <w:r>
        <w:t>ренцированной цитоплазмой, что свидетельствует о высоком функци</w:t>
      </w:r>
      <w:r>
        <w:t>о</w:t>
      </w:r>
      <w:r>
        <w:t>нальном состоянии желтых тел. Наряду с функционирующими желтыми телами, в яичниках просматрив</w:t>
      </w:r>
      <w:r>
        <w:t>а</w:t>
      </w:r>
      <w:r>
        <w:t>лись неовулировавшие фолликулы в состоянии облитерационной или ки</w:t>
      </w:r>
      <w:r>
        <w:t>с</w:t>
      </w:r>
      <w:r>
        <w:t>тозной атрезии. Наблюдаемое созрев</w:t>
      </w:r>
      <w:r>
        <w:t>а</w:t>
      </w:r>
      <w:r>
        <w:t>ние 2-3-х фолликулов при овуляции одного из них следует увязать с необходимостью создания должного эс</w:t>
      </w:r>
      <w:r>
        <w:t>т</w:t>
      </w:r>
      <w:r>
        <w:t>рогенного фона в организме, обеспечивающего соответствующую пер</w:t>
      </w:r>
      <w:r>
        <w:t>е</w:t>
      </w:r>
      <w:r>
        <w:t>стройку в половых органах проявление течки и общей реакции организма.</w:t>
      </w:r>
    </w:p>
    <w:p w:rsidR="00F4654E" w:rsidRDefault="00F4654E">
      <w:pPr>
        <w:pStyle w:val="a6"/>
      </w:pPr>
      <w:r>
        <w:t>Учитывая, что у телок 12-ти месячного возраста в яичниках формир</w:t>
      </w:r>
      <w:r>
        <w:t>о</w:t>
      </w:r>
      <w:r>
        <w:t xml:space="preserve">вались крупные фолликулы и желтые тела, то этот возраст телок следует считать как завершающий становление генеративной и гормональной функции гонад. </w:t>
      </w:r>
    </w:p>
    <w:p w:rsidR="00F4654E" w:rsidRDefault="00F4654E">
      <w:pPr>
        <w:pStyle w:val="a4"/>
      </w:pPr>
      <w:r>
        <w:t>УДК 611.651:636.22/28.082.451</w:t>
      </w:r>
    </w:p>
    <w:p w:rsidR="00F4654E" w:rsidRDefault="00F4654E">
      <w:pPr>
        <w:pStyle w:val="1"/>
      </w:pPr>
      <w:bookmarkStart w:id="1825" w:name="_Toc10731245"/>
      <w:bookmarkStart w:id="1826" w:name="_Toc10731906"/>
      <w:bookmarkStart w:id="1827" w:name="_Toc10891753"/>
      <w:bookmarkStart w:id="1828" w:name="_Toc10892428"/>
      <w:bookmarkStart w:id="1829" w:name="_Toc11390293"/>
      <w:bookmarkStart w:id="1830" w:name="_Toc11839974"/>
      <w:bookmarkStart w:id="1831" w:name="_Toc11937510"/>
      <w:r>
        <w:t>ФОРМИРОВАНИЕ СТРУКТУРНОЙ ОРГАНИЗАЦИИ ЯИЧНИКОВ У ПЛОДОВ КРУПНОГО РОГАТОГО СКОТА</w:t>
      </w:r>
      <w:bookmarkEnd w:id="1825"/>
      <w:bookmarkEnd w:id="1826"/>
      <w:bookmarkEnd w:id="1827"/>
      <w:bookmarkEnd w:id="1828"/>
      <w:bookmarkEnd w:id="1829"/>
      <w:bookmarkEnd w:id="1830"/>
      <w:bookmarkEnd w:id="1831"/>
    </w:p>
    <w:p w:rsidR="00F4654E" w:rsidRDefault="00F4654E">
      <w:pPr>
        <w:pStyle w:val="2"/>
      </w:pPr>
      <w:bookmarkStart w:id="1832" w:name="_Toc10731246"/>
      <w:bookmarkStart w:id="1833" w:name="_Toc10731907"/>
      <w:bookmarkStart w:id="1834" w:name="_Toc10891754"/>
      <w:bookmarkStart w:id="1835" w:name="_Toc10892429"/>
      <w:bookmarkStart w:id="1836" w:name="_Toc11390294"/>
      <w:bookmarkStart w:id="1837" w:name="_Toc11937511"/>
      <w:r>
        <w:t>Еремин С.П.</w:t>
      </w:r>
      <w:bookmarkEnd w:id="1832"/>
      <w:bookmarkEnd w:id="1833"/>
      <w:bookmarkEnd w:id="1834"/>
      <w:bookmarkEnd w:id="1835"/>
      <w:bookmarkEnd w:id="1836"/>
      <w:bookmarkEnd w:id="1837"/>
    </w:p>
    <w:p w:rsidR="00F4654E" w:rsidRDefault="00F4654E">
      <w:pPr>
        <w:pStyle w:val="a5"/>
      </w:pPr>
      <w:r>
        <w:t>НП ООО «Поливет-НН», г. Нижний Новгород</w:t>
      </w:r>
    </w:p>
    <w:p w:rsidR="00F4654E" w:rsidRDefault="00F4654E">
      <w:pPr>
        <w:pStyle w:val="a6"/>
      </w:pPr>
      <w:r>
        <w:t>Архитектоника структурной организации яичников у плодов крупного рогатого скота была сформирована уже в трех месячном возрасте.</w:t>
      </w:r>
    </w:p>
    <w:p w:rsidR="00F4654E" w:rsidRDefault="00F4654E">
      <w:pPr>
        <w:pStyle w:val="a6"/>
      </w:pPr>
      <w:r>
        <w:lastRenderedPageBreak/>
        <w:t>Яичники трех месячных плодов были покрыты однослойным эпител</w:t>
      </w:r>
      <w:r>
        <w:t>и</w:t>
      </w:r>
      <w:r>
        <w:t>ем с крупными овальными ядрами. В поверхностном слое коркового вещ</w:t>
      </w:r>
      <w:r>
        <w:t>е</w:t>
      </w:r>
      <w:r>
        <w:t>ства яичника располагались яйценосные шары, окруженные однослойным эпителием. Пролиферация в яйценосные шары мезенхимных элементов приводила к их дифференциации на доли с образованием единичных (4,47</w:t>
      </w:r>
      <w:r>
        <w:sym w:font="Symbol" w:char="F0B1"/>
      </w:r>
      <w:r>
        <w:t>0,77) примордиальных фолликулов.</w:t>
      </w:r>
    </w:p>
    <w:p w:rsidR="00F4654E" w:rsidRDefault="00F4654E">
      <w:pPr>
        <w:pStyle w:val="a6"/>
      </w:pPr>
      <w:r>
        <w:t>В яичниках 4 – 4,5-месячных плодов ово-фолликулогенная функция усиливалась. Яйценосные шары преобразовались в большое количество примордиальных фолликулов (28,89</w:t>
      </w:r>
      <w:r>
        <w:sym w:font="Symbol" w:char="F0B1"/>
      </w:r>
      <w:r>
        <w:t>1,98) и единичные вторичные фолл</w:t>
      </w:r>
      <w:r>
        <w:t>и</w:t>
      </w:r>
      <w:r>
        <w:t>кулы. Встречались яйценосные шары, в которых половые клетки подве</w:t>
      </w:r>
      <w:r>
        <w:t>р</w:t>
      </w:r>
      <w:r>
        <w:t>гались дистрофии путем лизиса цитоплазмы и пикноза ядер. Этот процесс особенно был выражен у основания зачаткового эпителия и в поверхнос</w:t>
      </w:r>
      <w:r>
        <w:t>т</w:t>
      </w:r>
      <w:r>
        <w:t>ных участках коркового вещества гонад.</w:t>
      </w:r>
    </w:p>
    <w:p w:rsidR="00F4654E" w:rsidRDefault="00F4654E">
      <w:pPr>
        <w:pStyle w:val="a6"/>
      </w:pPr>
      <w:r>
        <w:t>У 5 – 6-месячных плодов зачатковый эпителий яичников был дифф</w:t>
      </w:r>
      <w:r>
        <w:t>е</w:t>
      </w:r>
      <w:r>
        <w:t>ренцирован и представлен кубическими клетками. Среди них встречалось множество более крупных клеток с овальными ядрами и светлой цит</w:t>
      </w:r>
      <w:r>
        <w:t>о</w:t>
      </w:r>
      <w:r>
        <w:t>плазмой, которые вычленялись из зачаткового эпителия и мигрировали из его основания в поверхностный слой коркового вещества яичника. В пр</w:t>
      </w:r>
      <w:r>
        <w:t>о</w:t>
      </w:r>
      <w:r>
        <w:t>цессе миграции одни из этих клеток подвергались дистрофии, а другие, в результате дифференциации вокруг них окружающих мезенхимных кл</w:t>
      </w:r>
      <w:r>
        <w:t>е</w:t>
      </w:r>
      <w:r>
        <w:t>ток, превращались в примордиальные фолликулы, количество которых увеличивалось на 11,6% относительно 4-4,5 месячных плодов (32,67</w:t>
      </w:r>
      <w:r>
        <w:sym w:font="Symbol" w:char="F0B1"/>
      </w:r>
      <w:r>
        <w:t>2,39). В более глубоких слоях коркового вещества яичника появлялись едини</w:t>
      </w:r>
      <w:r>
        <w:t>ч</w:t>
      </w:r>
      <w:r>
        <w:t>ные и третичные фолликулы.</w:t>
      </w:r>
    </w:p>
    <w:p w:rsidR="00F4654E" w:rsidRDefault="00F4654E">
      <w:pPr>
        <w:pStyle w:val="a6"/>
      </w:pPr>
      <w:r>
        <w:t>В яичниках плодов 7 – 8-месячного возраста у основания зачаткового эпителия формировалась ретикулярная ткань, которая радиальными тяж</w:t>
      </w:r>
      <w:r>
        <w:t>а</w:t>
      </w:r>
      <w:r>
        <w:t>ми распространялась в паренхиму коркового вещества, дифференцируясь вокруг фолликулов и в процессе гиперплазии и гипертрофии формировала текальную ткань фолликулов и интерстициальные клетки. При этом отм</w:t>
      </w:r>
      <w:r>
        <w:t>е</w:t>
      </w:r>
      <w:r>
        <w:t>чалось множественное формирование вторичных и третичных фолликулов. Одновременно с пролиферирующей мезенхимной тканью наблюдалось массовое перемещение и дистрофия примордиальных фолликулов, в связи с этим количество последних в поверхностном слое коркового вещества яичника уменьшалось в 2,4 раза (до 13,43</w:t>
      </w:r>
      <w:r>
        <w:sym w:font="Symbol" w:char="F0B1"/>
      </w:r>
      <w:r>
        <w:t>1,43).</w:t>
      </w:r>
    </w:p>
    <w:p w:rsidR="00F4654E" w:rsidRDefault="00F4654E">
      <w:pPr>
        <w:pStyle w:val="a6"/>
      </w:pPr>
      <w:r>
        <w:t>В яичниках 9-месячных плодов, несмотря на продолжающийся гам</w:t>
      </w:r>
      <w:r>
        <w:t>е</w:t>
      </w:r>
      <w:r>
        <w:t>тогенез из зачаткового эпителия, количество примордиальных фолликулов продолжало сокращаться (1,57</w:t>
      </w:r>
      <w:r>
        <w:sym w:font="Symbol" w:char="F0B1"/>
      </w:r>
      <w:r>
        <w:t>0,27).</w:t>
      </w:r>
    </w:p>
    <w:p w:rsidR="00F4654E" w:rsidRDefault="00F4654E">
      <w:pPr>
        <w:pStyle w:val="a6"/>
      </w:pPr>
      <w:r>
        <w:t>Начавшиеся пролиферативные процессы в текальной ткани крупных третичных фолликулов завершались ее лизисом и формированием фибро</w:t>
      </w:r>
      <w:r>
        <w:t>з</w:t>
      </w:r>
      <w:r>
        <w:t>ной структуры. Гранулеза во всех случаях подвергалась десквамации и р</w:t>
      </w:r>
      <w:r>
        <w:t>е</w:t>
      </w:r>
      <w:r>
        <w:t>дукции. В связи с этим, паренхима коркового вещества гонад оказывалась лишенной растущих и созревающих фолликулов.</w:t>
      </w:r>
    </w:p>
    <w:p w:rsidR="00F4654E" w:rsidRDefault="00F4654E">
      <w:pPr>
        <w:pStyle w:val="a4"/>
      </w:pPr>
      <w:r>
        <w:lastRenderedPageBreak/>
        <w:t>УДК 619:619.98:578.822.2:615.371</w:t>
      </w:r>
    </w:p>
    <w:p w:rsidR="00F4654E" w:rsidRDefault="00F4654E">
      <w:pPr>
        <w:pStyle w:val="1"/>
      </w:pPr>
      <w:bookmarkStart w:id="1838" w:name="_Toc10731247"/>
      <w:bookmarkStart w:id="1839" w:name="_Toc10731908"/>
      <w:bookmarkStart w:id="1840" w:name="_Toc10891755"/>
      <w:bookmarkStart w:id="1841" w:name="_Toc10892430"/>
      <w:bookmarkStart w:id="1842" w:name="_Toc11390295"/>
      <w:bookmarkStart w:id="1843" w:name="_Toc11839976"/>
      <w:bookmarkStart w:id="1844" w:name="_Toc11937512"/>
      <w:r>
        <w:t>Определение гемагглютинирующей активности парвовирусного антигена в эмульсионной вакцине</w:t>
      </w:r>
      <w:bookmarkEnd w:id="1838"/>
      <w:bookmarkEnd w:id="1839"/>
      <w:bookmarkEnd w:id="1840"/>
      <w:bookmarkEnd w:id="1841"/>
      <w:bookmarkEnd w:id="1842"/>
      <w:bookmarkEnd w:id="1843"/>
      <w:bookmarkEnd w:id="1844"/>
    </w:p>
    <w:p w:rsidR="00F4654E" w:rsidRDefault="00F4654E">
      <w:pPr>
        <w:pStyle w:val="2"/>
      </w:pPr>
      <w:bookmarkStart w:id="1845" w:name="_Toc10731248"/>
      <w:bookmarkStart w:id="1846" w:name="_Toc10731909"/>
      <w:bookmarkStart w:id="1847" w:name="_Toc10891756"/>
      <w:bookmarkStart w:id="1848" w:name="_Toc10892431"/>
      <w:bookmarkStart w:id="1849" w:name="_Toc11390296"/>
      <w:bookmarkStart w:id="1850" w:name="_Toc11937513"/>
      <w:r>
        <w:t>Ерофеев С. Г., Байбиков Т. З., Долганова Е. К.</w:t>
      </w:r>
      <w:bookmarkEnd w:id="1845"/>
      <w:bookmarkEnd w:id="1846"/>
      <w:bookmarkEnd w:id="1847"/>
      <w:bookmarkEnd w:id="1848"/>
      <w:bookmarkEnd w:id="1849"/>
      <w:bookmarkEnd w:id="1850"/>
    </w:p>
    <w:p w:rsidR="00F4654E" w:rsidRDefault="00F4654E">
      <w:pPr>
        <w:pStyle w:val="a5"/>
      </w:pPr>
      <w:r>
        <w:t>Всероссийский научно-исследовательский институт защиты животных</w:t>
      </w:r>
    </w:p>
    <w:p w:rsidR="00F4654E" w:rsidRDefault="00F4654E">
      <w:pPr>
        <w:pStyle w:val="a6"/>
      </w:pPr>
      <w:r>
        <w:t>Одним из основных критериев оценки вакцин против ПВИС является их антигенная активность, которая характеризуется количеством парвов</w:t>
      </w:r>
      <w:r>
        <w:t>и</w:t>
      </w:r>
      <w:r>
        <w:t xml:space="preserve">русного антигена в препарате. Содержание парвовирусного антигена в вакцине определяется его гемагглютинирующей активностью. </w:t>
      </w:r>
    </w:p>
    <w:p w:rsidR="00F4654E" w:rsidRDefault="00F4654E">
      <w:pPr>
        <w:pStyle w:val="a6"/>
      </w:pPr>
      <w:r>
        <w:t>Результаты проведённых нами и другими исследователями (Ерофеев С. Г. и др., 2000; Драбек и др.,1988; Joo H. S. et al., 1984) опытов на крол</w:t>
      </w:r>
      <w:r>
        <w:t>и</w:t>
      </w:r>
      <w:r>
        <w:t>ках, морских свинках и подсвинках показали, что антигенная активность вакцины зависит от активности парвовирусного антигена в вакцине, то есть с увеличением гемагглютинирующей возрастает антигенная акти</w:t>
      </w:r>
      <w:r>
        <w:t>в</w:t>
      </w:r>
      <w:r>
        <w:t>ность вакцинного препарата. Имеются данные о том, что при наличии в сыворотке крови свиноматок антител в разведении 1:128 - 1:256 (в РТГА), они будут надёжно защищены от инфицирования при экспериментальном заражении патогенным штаммом И-82 (Орлянкин Б. Г. и др., 1988).</w:t>
      </w:r>
    </w:p>
    <w:p w:rsidR="00F4654E" w:rsidRDefault="00F4654E">
      <w:pPr>
        <w:pStyle w:val="a6"/>
      </w:pPr>
      <w:r>
        <w:t>Во Всероссийском научно-исследовательском институте защиты ж</w:t>
      </w:r>
      <w:r>
        <w:t>и</w:t>
      </w:r>
      <w:r>
        <w:t>вотных (ВНИИЗЖ) была разработана “Методика определения гемагглют</w:t>
      </w:r>
      <w:r>
        <w:t>и</w:t>
      </w:r>
      <w:r>
        <w:t>нирующей активности парвовирусного антигена в эмульсионной вакцине”.</w:t>
      </w:r>
    </w:p>
    <w:p w:rsidR="00F4654E" w:rsidRDefault="00F4654E">
      <w:pPr>
        <w:pStyle w:val="a6"/>
      </w:pPr>
      <w:r>
        <w:t>Метод определения гемагглютинирующей активности парвовирусн</w:t>
      </w:r>
      <w:r>
        <w:t>о</w:t>
      </w:r>
      <w:r>
        <w:t>го антигена в эмульсионной вакцине проводится путём деэмульгирования вакцины с последующим исследованием пробы в реакции гемагглютин</w:t>
      </w:r>
      <w:r>
        <w:t>а</w:t>
      </w:r>
      <w:r>
        <w:t>ции (РГА). В основе метода лежит феномен агглютинации эритроцитов морской свинки в присутствии парвовирусного антигена. Метод использ</w:t>
      </w:r>
      <w:r>
        <w:t>у</w:t>
      </w:r>
      <w:r>
        <w:t>ется для количественной оценки гемагглютинирующей активности как м</w:t>
      </w:r>
      <w:r>
        <w:t>о</w:t>
      </w:r>
      <w:r>
        <w:t>но-, так и ассоциированных  эмульсионных вакцин, содержащих парвов</w:t>
      </w:r>
      <w:r>
        <w:t>и</w:t>
      </w:r>
      <w:r>
        <w:t>русный антиген. Реакция несложна в исполнении и экономична, так как РГА ставится на микропанелях. Учёт реакции проводится визуально.</w:t>
      </w:r>
    </w:p>
    <w:p w:rsidR="00F4654E" w:rsidRDefault="00F4654E">
      <w:pPr>
        <w:pStyle w:val="a6"/>
      </w:pPr>
      <w:r>
        <w:t>Методика состоит из двух этапов: подготовительного и основного.</w:t>
      </w:r>
    </w:p>
    <w:p w:rsidR="00F4654E" w:rsidRDefault="00F4654E">
      <w:pPr>
        <w:pStyle w:val="a6"/>
      </w:pPr>
      <w:r>
        <w:t>Подготовительный этап включает деэмульгирование вакцины с хл</w:t>
      </w:r>
      <w:r>
        <w:t>о</w:t>
      </w:r>
      <w:r>
        <w:t>роформом. При этом происходит разрушение эмульсии на две фракции: водную и масляную. Для дальнейшего исследования используют водную фракцию, в которой находится парвовирусный антиген.</w:t>
      </w:r>
    </w:p>
    <w:p w:rsidR="00F4654E" w:rsidRDefault="00F4654E">
      <w:pPr>
        <w:pStyle w:val="a6"/>
        <w:rPr>
          <w:b/>
        </w:rPr>
      </w:pPr>
      <w:r>
        <w:t>Основной этап - постановка реакции гемагглютинации (РГА) с водной фракцией. При наличии парвовирусного антигена происходит агглютин</w:t>
      </w:r>
      <w:r>
        <w:t>а</w:t>
      </w:r>
      <w:r>
        <w:t>ция эритроцитов морской свинки.</w:t>
      </w:r>
    </w:p>
    <w:p w:rsidR="00F4654E" w:rsidRDefault="00F4654E">
      <w:pPr>
        <w:pStyle w:val="a6"/>
      </w:pPr>
      <w:r>
        <w:t>Окончательный учёт результатов РГА проводят через 2 часа. Опред</w:t>
      </w:r>
      <w:r>
        <w:t>е</w:t>
      </w:r>
      <w:r>
        <w:t>ление гемагглютинирующей активности парвовирусного антигена считают достоверным, если контроль на спонтанную агглютинацию эритроцитов морской свинки показал отсутствие таковой, то есть скопление эритроц</w:t>
      </w:r>
      <w:r>
        <w:t>и</w:t>
      </w:r>
      <w:r>
        <w:lastRenderedPageBreak/>
        <w:t>тов на дне лунки имеет вид маленького диска (“пуговки”), а в положител</w:t>
      </w:r>
      <w:r>
        <w:t>ь</w:t>
      </w:r>
      <w:r>
        <w:t>ном контроле произошла их агглютинация</w:t>
      </w:r>
    </w:p>
    <w:p w:rsidR="00F4654E" w:rsidRDefault="00F4654E">
      <w:pPr>
        <w:pStyle w:val="a6"/>
      </w:pPr>
      <w:r>
        <w:t>С помощью данной методики было исследовано 15 серий вакцины эмульсионной инактивированной против парвовирусной инфекции свиней и 30 серий вакцины эмульсионной инактивированной против репроду</w:t>
      </w:r>
      <w:r>
        <w:t>к</w:t>
      </w:r>
      <w:r>
        <w:t>тивно-респираторного синдрома свиней (РРСС) и парвовирусной инфе</w:t>
      </w:r>
      <w:r>
        <w:t>к</w:t>
      </w:r>
      <w:r>
        <w:t>ции свиней (производство ВНИИЗЖ). При этом гемагглютинирующая а</w:t>
      </w:r>
      <w:r>
        <w:t>к</w:t>
      </w:r>
      <w:r>
        <w:t>тивность ва</w:t>
      </w:r>
      <w:r>
        <w:t>к</w:t>
      </w:r>
      <w:r>
        <w:t>цины против ПВИС составляла не менее 256 ГАЕ (в среднем 1:549), а вакцины против РРСС и ПВИС не менее 64 ГАЕ (в среднем 1:208).</w:t>
      </w:r>
    </w:p>
    <w:p w:rsidR="00F4654E" w:rsidRDefault="00F4654E">
      <w:pPr>
        <w:pStyle w:val="a6"/>
      </w:pPr>
      <w:r>
        <w:t>По данным Joo H. S. et al., оптимальным протективным действием о</w:t>
      </w:r>
      <w:r>
        <w:t>б</w:t>
      </w:r>
      <w:r>
        <w:t>ладает вакцина, содержащая парвовирусный антиген с гемагглютиниру</w:t>
      </w:r>
      <w:r>
        <w:t>ю</w:t>
      </w:r>
      <w:r>
        <w:t>щей активностью до инактивации 256 ГАЕ. Однако практика показывает, что при инактивации и изготовлении вакцины активность антигена сниж</w:t>
      </w:r>
      <w:r>
        <w:t>а</w:t>
      </w:r>
      <w:r>
        <w:t>ется в 2 - 4 раза по сравнению с исходной, что соответствует вакцине с г</w:t>
      </w:r>
      <w:r>
        <w:t>е</w:t>
      </w:r>
      <w:r>
        <w:t>магглютинирующей активностью 64 - 128 ГАЕ. То есть вакцины, произв</w:t>
      </w:r>
      <w:r>
        <w:t>о</w:t>
      </w:r>
      <w:r>
        <w:t>димые во ВНИИЗЖ, отвечают таким требованиям.</w:t>
      </w:r>
    </w:p>
    <w:p w:rsidR="00F4654E" w:rsidRDefault="00F4654E">
      <w:pPr>
        <w:pStyle w:val="a6"/>
      </w:pPr>
      <w:r>
        <w:t>Разработанная реакция достоверна и специфична. Она позволяет о</w:t>
      </w:r>
      <w:r>
        <w:t>д</w:t>
      </w:r>
      <w:r>
        <w:t>ному исследователю в течение рабочего дня определить активность 60 и более проб эмульсионных вакцин, содержащих парвовирусный антиген.</w:t>
      </w:r>
    </w:p>
    <w:p w:rsidR="00F4654E" w:rsidRDefault="00F4654E">
      <w:pPr>
        <w:pStyle w:val="a4"/>
      </w:pPr>
      <w:r>
        <w:t>УДК 619:616.9-097:616.36:636.934.2</w:t>
      </w:r>
    </w:p>
    <w:p w:rsidR="00F4654E" w:rsidRDefault="00F4654E">
      <w:pPr>
        <w:pStyle w:val="1"/>
      </w:pPr>
      <w:bookmarkStart w:id="1851" w:name="_Toc10731249"/>
      <w:bookmarkStart w:id="1852" w:name="_Toc10731910"/>
      <w:bookmarkStart w:id="1853" w:name="_Toc10891757"/>
      <w:bookmarkStart w:id="1854" w:name="_Toc10892432"/>
      <w:bookmarkStart w:id="1855" w:name="_Toc11390297"/>
      <w:bookmarkStart w:id="1856" w:name="_Toc11839978"/>
      <w:bookmarkStart w:id="1857" w:name="_Toc11937514"/>
      <w:r>
        <w:t>ИММУНОЛОГИЧЕСКАЯ РЕАКТИВНОСТЬ ОРГАНИЗМА СЕРЕБРИСТО-ЧЕРНЫХ ЛИСИЦ ОАО «СОМОВСКОЕ» ПРИ ИНФИЛЬТРАТИВНОМ ОЖИРЕНИИ ПЕЧЕНИ</w:t>
      </w:r>
      <w:bookmarkEnd w:id="1851"/>
      <w:bookmarkEnd w:id="1852"/>
      <w:bookmarkEnd w:id="1853"/>
      <w:bookmarkEnd w:id="1854"/>
      <w:bookmarkEnd w:id="1855"/>
      <w:bookmarkEnd w:id="1856"/>
      <w:bookmarkEnd w:id="1857"/>
    </w:p>
    <w:p w:rsidR="00F4654E" w:rsidRDefault="00F4654E">
      <w:pPr>
        <w:pStyle w:val="2"/>
      </w:pPr>
      <w:bookmarkStart w:id="1858" w:name="_Toc10731250"/>
      <w:bookmarkStart w:id="1859" w:name="_Toc10731911"/>
      <w:bookmarkStart w:id="1860" w:name="_Toc10891758"/>
      <w:bookmarkStart w:id="1861" w:name="_Toc10892433"/>
      <w:bookmarkStart w:id="1862" w:name="_Toc11390298"/>
      <w:bookmarkStart w:id="1863" w:name="_Toc11937515"/>
      <w:r>
        <w:t>Ефанова Л.И., Зернов К.О.</w:t>
      </w:r>
      <w:bookmarkEnd w:id="1858"/>
      <w:bookmarkEnd w:id="1859"/>
      <w:bookmarkEnd w:id="1860"/>
      <w:bookmarkEnd w:id="1861"/>
      <w:bookmarkEnd w:id="1862"/>
      <w:bookmarkEnd w:id="1863"/>
    </w:p>
    <w:p w:rsidR="00F4654E" w:rsidRDefault="00F4654E">
      <w:pPr>
        <w:pStyle w:val="a5"/>
      </w:pPr>
      <w:r>
        <w:t>Воронежский государственный аграрный университет им. К.Д. Глинки</w:t>
      </w:r>
    </w:p>
    <w:p w:rsidR="00F4654E" w:rsidRDefault="00F4654E">
      <w:pPr>
        <w:pStyle w:val="a6"/>
      </w:pPr>
      <w:r>
        <w:t>Печень принимает участие в достаточно широком спектре жизнеде</w:t>
      </w:r>
      <w:r>
        <w:t>я</w:t>
      </w:r>
      <w:r>
        <w:t>тельности организма. Поэтому при нарушении ее нормальной работы н</w:t>
      </w:r>
      <w:r>
        <w:t>а</w:t>
      </w:r>
      <w:r>
        <w:t>блюдается развитие различных патологических состояний, в том числе и изменение активности иммунной системы организма.</w:t>
      </w:r>
    </w:p>
    <w:p w:rsidR="00F4654E" w:rsidRDefault="00F4654E">
      <w:pPr>
        <w:pStyle w:val="a6"/>
      </w:pPr>
      <w:r>
        <w:t>Гепатоз (токсическая или жировая дистрофия печени), особенно в п</w:t>
      </w:r>
      <w:r>
        <w:t>о</w:t>
      </w:r>
      <w:r>
        <w:t>следнее время, получил широкое распространение среди различных видов сельскохозяйственных животных и пушных зверей.</w:t>
      </w:r>
    </w:p>
    <w:p w:rsidR="00F4654E" w:rsidRDefault="00F4654E">
      <w:pPr>
        <w:pStyle w:val="a6"/>
      </w:pPr>
      <w:r>
        <w:t>При патологоанатомическом исследовании 260 серебристо-черных лисиц ОАО «Сомовское» нами были диагностированы различные степени развития инфильтративного ожирения печени у 67% обследованных ж</w:t>
      </w:r>
      <w:r>
        <w:t>и</w:t>
      </w:r>
      <w:r>
        <w:t>вотных, не имеющих клинического проявления заболевания.</w:t>
      </w:r>
    </w:p>
    <w:p w:rsidR="00F4654E" w:rsidRDefault="00F4654E">
      <w:pPr>
        <w:pStyle w:val="a6"/>
      </w:pPr>
      <w:r>
        <w:t>При анализе рациона, состоящего из субпродуктов (говяжьи, свиные и куриные), рыбы, отрубей, муки из зерносмесей (70,4% всей калорийности) животного жира и витаминных добавок, установлено, что он не сбаланс</w:t>
      </w:r>
      <w:r>
        <w:t>и</w:t>
      </w:r>
      <w:r>
        <w:t>рован по основным питательным веществам.</w:t>
      </w:r>
    </w:p>
    <w:p w:rsidR="00F4654E" w:rsidRDefault="00F4654E">
      <w:pPr>
        <w:pStyle w:val="a6"/>
      </w:pPr>
      <w:r>
        <w:lastRenderedPageBreak/>
        <w:t>В корм зверям использовали мясные продукты, бедные мышечной тканью, содержащие много костей, хрящей (головы, ноги, трахеи) и т.д. Эти отходы, несмотря на высокое содержание белка, бедны незаменим</w:t>
      </w:r>
      <w:r>
        <w:t>ы</w:t>
      </w:r>
      <w:r>
        <w:t>ми, в частности серосодержащими аминокислотами. В связи с плохим ф</w:t>
      </w:r>
      <w:r>
        <w:t>и</w:t>
      </w:r>
      <w:r>
        <w:t>нансовым положением в хозяйство часто поступал животный жир с выс</w:t>
      </w:r>
      <w:r>
        <w:t>о</w:t>
      </w:r>
      <w:r>
        <w:t>ким перекисным числом, что отрицательно сказывается на состоянии ж</w:t>
      </w:r>
      <w:r>
        <w:t>и</w:t>
      </w:r>
      <w:r>
        <w:t>вотных. Такое положение с кормлением животных наблюдается в течение ряда последних лет, на что указывают и М.В. Воронова, Т.Н. Ракова (1997), А.В. Бабанин (2000).</w:t>
      </w:r>
    </w:p>
    <w:p w:rsidR="00F4654E" w:rsidRDefault="00F4654E">
      <w:pPr>
        <w:pStyle w:val="a6"/>
      </w:pPr>
      <w:r>
        <w:t>Материалы и методы. У 15 серебристо-черных лисиц в возрасте 1 года изучены следующие показатели: содержание лейкоцитов (пробирочным методом), лимфоцитов (абсолютное и относительное количество), ФАЛ, ФЧ и ФИ (по Гостеву В.С.), количество ЦИК (методом с применением ПЭГ), активность ферментов АсАТ и АлАТ (методом Райтмана-Френкеля), а также коэффициент Де-Ритиса (отношение фермента АсАТ к АлАТ).</w:t>
      </w:r>
    </w:p>
    <w:p w:rsidR="00F4654E" w:rsidRDefault="00F4654E">
      <w:pPr>
        <w:pStyle w:val="a6"/>
      </w:pPr>
      <w:r>
        <w:t>Результаты исследования. Из 15 исследованных серебристо-черных лисиц лишь у 5 изученные показатели приближались к физиологическим и были определены нами как «норма для хозяйства». У этих лисиц (n=5) среднее содержание лейкоцитов в крови составило 5,6</w:t>
      </w:r>
      <w:r>
        <w:sym w:font="Symbol" w:char="F0B1"/>
      </w:r>
      <w:r>
        <w:t>0,15</w:t>
      </w:r>
      <w:r>
        <w:sym w:font="Symbol" w:char="F0B4"/>
      </w:r>
      <w:r>
        <w:t>10</w:t>
      </w:r>
      <w:r>
        <w:rPr>
          <w:vertAlign w:val="superscript"/>
        </w:rPr>
        <w:t>9</w:t>
      </w:r>
      <w:r>
        <w:t>/л, процент лимфоцитов – 42,0</w:t>
      </w:r>
      <w:r>
        <w:sym w:font="Symbol" w:char="F0B1"/>
      </w:r>
      <w:r>
        <w:t>2,3 %, количество лимфоцитов – 2,3</w:t>
      </w:r>
      <w:r>
        <w:sym w:font="Symbol" w:char="F0B1"/>
      </w:r>
      <w:r>
        <w:t>0,17</w:t>
      </w:r>
      <w:r>
        <w:sym w:font="Symbol" w:char="F0B4"/>
      </w:r>
      <w:r>
        <w:t>10</w:t>
      </w:r>
      <w:r>
        <w:rPr>
          <w:vertAlign w:val="superscript"/>
        </w:rPr>
        <w:t>9</w:t>
      </w:r>
      <w:r>
        <w:t>/л, ФАЛ – 65,6</w:t>
      </w:r>
      <w:r>
        <w:sym w:font="Symbol" w:char="F0B1"/>
      </w:r>
      <w:r>
        <w:t>4,02 %, ФЧ – 6,6</w:t>
      </w:r>
      <w:r>
        <w:sym w:font="Symbol" w:char="F0B1"/>
      </w:r>
      <w:r>
        <w:t>0,48, ФИ – 4,34</w:t>
      </w:r>
      <w:r>
        <w:sym w:font="Symbol" w:char="F0B1"/>
      </w:r>
      <w:r>
        <w:t>0,46. При исследовании сыворо</w:t>
      </w:r>
      <w:r>
        <w:t>т</w:t>
      </w:r>
      <w:r>
        <w:t>ки крови активность АсАТ составила 96,8</w:t>
      </w:r>
      <w:r>
        <w:sym w:font="Symbol" w:char="F0B1"/>
      </w:r>
      <w:r>
        <w:t>0,15 нМ/(с</w:t>
      </w:r>
      <w:r>
        <w:sym w:font="Symbol" w:char="F0D7"/>
      </w:r>
      <w:r>
        <w:t>л), а АлАТ – 192,4</w:t>
      </w:r>
      <w:r>
        <w:sym w:font="Symbol" w:char="F0B1"/>
      </w:r>
      <w:r>
        <w:t>17,43 нМ/(с</w:t>
      </w:r>
      <w:r>
        <w:sym w:font="Symbol" w:char="F0D7"/>
      </w:r>
      <w:r>
        <w:t>л), коэффициент Де-Ритиса – 0,51</w:t>
      </w:r>
      <w:r>
        <w:sym w:font="Symbol" w:char="F0B1"/>
      </w:r>
      <w:r>
        <w:t>0,04, уровень ЦИК – 17,2</w:t>
      </w:r>
      <w:r>
        <w:sym w:font="Symbol" w:char="F0B1"/>
      </w:r>
      <w:r>
        <w:t>4,6.</w:t>
      </w:r>
    </w:p>
    <w:p w:rsidR="00F4654E" w:rsidRDefault="00F4654E">
      <w:pPr>
        <w:pStyle w:val="a6"/>
      </w:pPr>
      <w:r>
        <w:t>Средние показатели у животных по хозяйству (n=15) составили: кол</w:t>
      </w:r>
      <w:r>
        <w:t>и</w:t>
      </w:r>
      <w:r>
        <w:t>чество лейкоцитов – 4,96</w:t>
      </w:r>
      <w:r>
        <w:sym w:font="Symbol" w:char="F0B1"/>
      </w:r>
      <w:r>
        <w:t>0,16</w:t>
      </w:r>
      <w:r>
        <w:sym w:font="Symbol" w:char="F0B4"/>
      </w:r>
      <w:r>
        <w:t>10</w:t>
      </w:r>
      <w:r>
        <w:rPr>
          <w:vertAlign w:val="superscript"/>
        </w:rPr>
        <w:t>9</w:t>
      </w:r>
      <w:r>
        <w:t>/л, процент лимфоцитов – 29,87</w:t>
      </w:r>
      <w:r>
        <w:sym w:font="Symbol" w:char="F0B1"/>
      </w:r>
      <w:r>
        <w:t>2,46%, количество лимфоцитов – 1,5</w:t>
      </w:r>
      <w:r>
        <w:sym w:font="Symbol" w:char="F0B1"/>
      </w:r>
      <w:r>
        <w:t>0,16</w:t>
      </w:r>
      <w:r>
        <w:sym w:font="Symbol" w:char="F0B4"/>
      </w:r>
      <w:r>
        <w:t>10</w:t>
      </w:r>
      <w:r>
        <w:rPr>
          <w:vertAlign w:val="superscript"/>
        </w:rPr>
        <w:t>9</w:t>
      </w:r>
      <w:r>
        <w:t>/л, ФАЛ – 58,2</w:t>
      </w:r>
      <w:r>
        <w:sym w:font="Symbol" w:char="F0B1"/>
      </w:r>
      <w:r>
        <w:t>1,94 %, ФЧ – 6,1</w:t>
      </w:r>
      <w:r>
        <w:sym w:font="Symbol" w:char="F0B1"/>
      </w:r>
      <w:r>
        <w:t>0,22, ФИ – 3,59</w:t>
      </w:r>
      <w:r>
        <w:sym w:font="Symbol" w:char="F0B1"/>
      </w:r>
      <w:r>
        <w:t>0,27, в сыворотке активность АсАТ – 105,7</w:t>
      </w:r>
      <w:r>
        <w:sym w:font="Symbol" w:char="F0B1"/>
      </w:r>
      <w:r>
        <w:t>5,78 нМ/(с</w:t>
      </w:r>
      <w:r>
        <w:sym w:font="Symbol" w:char="F0D7"/>
      </w:r>
      <w:r>
        <w:t>л),, АлАТ – 319,6</w:t>
      </w:r>
      <w:r>
        <w:sym w:font="Symbol" w:char="F0B1"/>
      </w:r>
      <w:r>
        <w:t>1,95 нМ/(с</w:t>
      </w:r>
      <w:r>
        <w:sym w:font="Symbol" w:char="F0D7"/>
      </w:r>
      <w:r>
        <w:t>л),, коэффициент Де-Ритиса – 0,33</w:t>
      </w:r>
      <w:r>
        <w:sym w:font="Symbol" w:char="F0B1"/>
      </w:r>
      <w:r>
        <w:t>0,03, а уровень ЦИК – 22,6</w:t>
      </w:r>
      <w:r>
        <w:sym w:font="Symbol" w:char="F0B1"/>
      </w:r>
      <w:r>
        <w:t>2,46. При анализе полученных данных нами установлено, что в крови этих животных достоверно снижены как а</w:t>
      </w:r>
      <w:r>
        <w:t>б</w:t>
      </w:r>
      <w:r>
        <w:t>солютные – на 0,8</w:t>
      </w:r>
      <w:r>
        <w:sym w:font="Symbol" w:char="F0B4"/>
      </w:r>
      <w:r>
        <w:t>10</w:t>
      </w:r>
      <w:r>
        <w:rPr>
          <w:vertAlign w:val="superscript"/>
        </w:rPr>
        <w:t>9</w:t>
      </w:r>
      <w:r>
        <w:t>/л (Р&lt;0,01), так и относительные на 12,1% (Р&lt;0,001) значения содержания количества лимфоцитов, ФАЛ на 11,3 % (Р&lt;0,05), ФЧ – 7,6 % и ФИ на 17,3 % (Р&lt;0,05). Уровень ЦИК, наоборот оказался выше на 31,4% (Р&lt;0,05). Активность ферментов АсАТ у животных была выше на 8,4% (Р&lt;0,05), а активность же АлАТ была достоверно выше на 39,8 % (Р&lt;0,001). В связи с чем коэффициент Де-Ритиса снизился на 35,3 % (Р&lt;0,001).</w:t>
      </w:r>
    </w:p>
    <w:p w:rsidR="00F4654E" w:rsidRDefault="00F4654E">
      <w:pPr>
        <w:pStyle w:val="a6"/>
      </w:pPr>
      <w:r>
        <w:t>При обследовании серебристо-черных лисиц ОАО «Сомовское» нами установлено широкое распространение инфильтративного ожирения пече-ни. Основными причинами массового развития заболевания можно считать несбалансированность рациона и низкое качество кормов, которые не вс</w:t>
      </w:r>
      <w:r>
        <w:t>е</w:t>
      </w:r>
      <w:r>
        <w:lastRenderedPageBreak/>
        <w:t>гда отвечают ветеринарно-санитарным нормам. Основными диагности-ческими показателями развития заболевания при жизни можно считать достоверное увеличение активности ферментов АсАТ и АлАТ, а также достоверное уменьшение коэффициента Де-Ритиса.</w:t>
      </w:r>
    </w:p>
    <w:p w:rsidR="00F4654E" w:rsidRDefault="00F4654E">
      <w:pPr>
        <w:pStyle w:val="a6"/>
      </w:pPr>
      <w:r>
        <w:t>В тесной связи с заболеванием у животных развивается иммунодеф</w:t>
      </w:r>
      <w:r>
        <w:t>и</w:t>
      </w:r>
      <w:r>
        <w:t>цитное состояние. Одними из показателей, указывающих на это, является достоверное снижение как количественного (на 0,8</w:t>
      </w:r>
      <w:r>
        <w:sym w:font="Symbol" w:char="F0B4"/>
      </w:r>
      <w:r>
        <w:t>10</w:t>
      </w:r>
      <w:r>
        <w:rPr>
          <w:vertAlign w:val="superscript"/>
        </w:rPr>
        <w:t>9</w:t>
      </w:r>
      <w:r>
        <w:t>/л), так и относ</w:t>
      </w:r>
      <w:r>
        <w:t>и</w:t>
      </w:r>
      <w:r>
        <w:t>тельного (на 12,1%) содержания лимфоцитов.</w:t>
      </w:r>
    </w:p>
    <w:p w:rsidR="00F4654E" w:rsidRDefault="00F4654E">
      <w:pPr>
        <w:pStyle w:val="a6"/>
      </w:pPr>
      <w:r>
        <w:t>Инфильтративное ожирение печени сопровождается также и сниж</w:t>
      </w:r>
      <w:r>
        <w:t>е</w:t>
      </w:r>
      <w:r>
        <w:t>нием фагоцитарной активности лейкоцитов периферической крови, фаг</w:t>
      </w:r>
      <w:r>
        <w:t>о</w:t>
      </w:r>
      <w:r>
        <w:t>цитарного числа и фагоцитарного индекса. Угнетение фагоцитарной а</w:t>
      </w:r>
      <w:r>
        <w:t>к</w:t>
      </w:r>
      <w:r>
        <w:t>тивности лейкоцитов способствует длительному персистированию  ант</w:t>
      </w:r>
      <w:r>
        <w:t>и</w:t>
      </w:r>
      <w:r>
        <w:t>генов и достоверному увеличению количества циркулирующих иммунных комплексов.</w:t>
      </w:r>
    </w:p>
    <w:p w:rsidR="00F4654E" w:rsidRDefault="00F4654E">
      <w:pPr>
        <w:pStyle w:val="a6"/>
      </w:pPr>
      <w:r>
        <w:t>Все выше перечисленное может способствовать распространению в хозяйстве различных заболеваний связанных с иммунодефицитными с</w:t>
      </w:r>
      <w:r>
        <w:t>о</w:t>
      </w:r>
      <w:r>
        <w:t>стояниями, таких как сальмонеллез, колибактериоз и других.</w:t>
      </w:r>
    </w:p>
    <w:p w:rsidR="00F4654E" w:rsidRDefault="00F4654E">
      <w:pPr>
        <w:pStyle w:val="a4"/>
      </w:pPr>
      <w:r>
        <w:t>УДК 619:579.843.94:576.809.7</w:t>
      </w:r>
    </w:p>
    <w:p w:rsidR="00F4654E" w:rsidRDefault="00F4654E">
      <w:pPr>
        <w:pStyle w:val="1"/>
      </w:pPr>
      <w:bookmarkStart w:id="1864" w:name="_Toc10731251"/>
      <w:bookmarkStart w:id="1865" w:name="_Toc10731912"/>
      <w:bookmarkStart w:id="1866" w:name="_Toc10891759"/>
      <w:bookmarkStart w:id="1867" w:name="_Toc10892434"/>
      <w:bookmarkStart w:id="1868" w:name="_Toc11390299"/>
      <w:bookmarkStart w:id="1869" w:name="_Toc11839980"/>
      <w:bookmarkStart w:id="1870" w:name="_Toc11937516"/>
      <w:r>
        <w:t>Получение и оценка специфической активности антигенов гемофилеза для ИФА</w:t>
      </w:r>
      <w:bookmarkEnd w:id="1864"/>
      <w:bookmarkEnd w:id="1865"/>
      <w:bookmarkEnd w:id="1866"/>
      <w:bookmarkEnd w:id="1867"/>
      <w:bookmarkEnd w:id="1868"/>
      <w:bookmarkEnd w:id="1869"/>
      <w:bookmarkEnd w:id="1870"/>
    </w:p>
    <w:p w:rsidR="00F4654E" w:rsidRDefault="00F4654E">
      <w:pPr>
        <w:pStyle w:val="2"/>
      </w:pPr>
      <w:bookmarkStart w:id="1871" w:name="_Toc10731252"/>
      <w:bookmarkStart w:id="1872" w:name="_Toc10731913"/>
      <w:bookmarkStart w:id="1873" w:name="_Toc10891760"/>
      <w:bookmarkStart w:id="1874" w:name="_Toc10892435"/>
      <w:bookmarkStart w:id="1875" w:name="_Toc11390300"/>
      <w:bookmarkStart w:id="1876" w:name="_Toc11937517"/>
      <w:r>
        <w:t xml:space="preserve">Ефимова М.А., Спиридонов Г.Н., Гаффаров Х.З., </w:t>
      </w:r>
      <w:r>
        <w:br/>
        <w:t>Фокин А.А., Сидорова Н.В.</w:t>
      </w:r>
      <w:bookmarkEnd w:id="1871"/>
      <w:bookmarkEnd w:id="1872"/>
      <w:bookmarkEnd w:id="1873"/>
      <w:bookmarkEnd w:id="1874"/>
      <w:bookmarkEnd w:id="1875"/>
      <w:bookmarkEnd w:id="1876"/>
    </w:p>
    <w:p w:rsidR="00F4654E" w:rsidRDefault="00F4654E">
      <w:pPr>
        <w:pStyle w:val="a5"/>
      </w:pPr>
      <w:r>
        <w:t xml:space="preserve">Всероссийский научно-исследовательский ветеринарный институт </w:t>
      </w:r>
    </w:p>
    <w:p w:rsidR="00F4654E" w:rsidRDefault="00F4654E">
      <w:pPr>
        <w:pStyle w:val="a6"/>
      </w:pPr>
      <w:r>
        <w:t>Среди болезней, вызываемых микроорганизмами рода Haemophilus, значительный экономический ущерб животноводству наносят гемофиле</w:t>
      </w:r>
      <w:r>
        <w:t>з</w:t>
      </w:r>
      <w:r>
        <w:t>ный полисерозит поросят, возбудителем которого является H. parasuis и гемофилезная плевропневмония – возбудитель H. pleuropneumoniae. Гем</w:t>
      </w:r>
      <w:r>
        <w:t>о</w:t>
      </w:r>
      <w:r>
        <w:t>филезный полисерозит (болезнь Глессера) обуславливает у поросят мени</w:t>
      </w:r>
      <w:r>
        <w:t>н</w:t>
      </w:r>
      <w:r>
        <w:t>гит, воспаление серозных оболочек, артриты. Гемофилезная плевропне</w:t>
      </w:r>
      <w:r>
        <w:t>в</w:t>
      </w:r>
      <w:r>
        <w:t>мония остро протекающее заболевание, характеризующееся фибринозно-некротическим воспалением плевры и легких.</w:t>
      </w:r>
    </w:p>
    <w:p w:rsidR="00F4654E" w:rsidRDefault="00F4654E">
      <w:pPr>
        <w:pStyle w:val="a6"/>
      </w:pPr>
      <w:r>
        <w:t>Лабораторные методы индикации и идентификации гемофилезных бактерий трудоемки, длительны и недостаточно чувствительны. Кроме т</w:t>
      </w:r>
      <w:r>
        <w:t>о</w:t>
      </w:r>
      <w:r>
        <w:t>го, возбудителей рода Haemophilus не всегда удается выделить от переб</w:t>
      </w:r>
      <w:r>
        <w:t>о</w:t>
      </w:r>
      <w:r>
        <w:t>левших поросят, которые не редко служат переносчиками инфекции.</w:t>
      </w:r>
    </w:p>
    <w:p w:rsidR="00F4654E" w:rsidRDefault="00F4654E">
      <w:pPr>
        <w:pStyle w:val="a6"/>
      </w:pPr>
      <w:r>
        <w:t>Для решения этих проблем, целью наших исследований являлось п</w:t>
      </w:r>
      <w:r>
        <w:t>о</w:t>
      </w:r>
      <w:r>
        <w:t>лучение антигенов гемофилезных бактерий, которые можно было бы и</w:t>
      </w:r>
      <w:r>
        <w:t>с</w:t>
      </w:r>
      <w:r>
        <w:t>пользовать для диагностики инфицированных стад и выявления свиней-носителей субклинической инфекции.</w:t>
      </w:r>
    </w:p>
    <w:p w:rsidR="00F4654E" w:rsidRDefault="00F4654E">
      <w:pPr>
        <w:pStyle w:val="a6"/>
      </w:pPr>
      <w:r>
        <w:t>В настоящем сообщении проведены результаты сравнительной оце</w:t>
      </w:r>
      <w:r>
        <w:t>н</w:t>
      </w:r>
      <w:r>
        <w:t>ки активности антигенов гемофилезов; с использованием метода иммун</w:t>
      </w:r>
      <w:r>
        <w:t>о</w:t>
      </w:r>
      <w:r>
        <w:lastRenderedPageBreak/>
        <w:t>ферментного анализ. Антигены получали методами фенол-водной эк</w:t>
      </w:r>
      <w:r>
        <w:t>с</w:t>
      </w:r>
      <w:r>
        <w:t>тракции при 65°С и экстрагирования ультразвуком. В опытах были и</w:t>
      </w:r>
      <w:r>
        <w:t>с</w:t>
      </w:r>
      <w:r>
        <w:t>пользованы по два штамма H.pleuropneumoniae и H.parasuis, относящихся к серотипам А и Д. Полученные антигены стандартизировали по содерж</w:t>
      </w:r>
      <w:r>
        <w:t>а</w:t>
      </w:r>
      <w:r>
        <w:t>нию белка. Моноспецифические сыворотки к указанным антигенам пол</w:t>
      </w:r>
      <w:r>
        <w:t>у</w:t>
      </w:r>
      <w:r>
        <w:t>чали путем гипериммунизации кроликов.</w:t>
      </w:r>
    </w:p>
    <w:p w:rsidR="00F4654E" w:rsidRDefault="00F4654E">
      <w:pPr>
        <w:pStyle w:val="a6"/>
      </w:pPr>
      <w:r>
        <w:t>Антигены H.parasuis и H.pleuropneumoniae, полученные обоими мет</w:t>
      </w:r>
      <w:r>
        <w:t>о</w:t>
      </w:r>
      <w:r>
        <w:t>дами, с соответствующими антисыворотками в ИФА проявляли высокую чувствительность. Титр антигенов H. pleuropneumoniae  составил 1:1600-1:6400, титр антигенов H. parasuis – 1:3200-1:6400. Наиболее высокий к</w:t>
      </w:r>
      <w:r>
        <w:t>о</w:t>
      </w:r>
      <w:r>
        <w:t>эффициент специфичности (4.2) при минимальном разведении сывороток  (1:50) регистрировали с антигенами, полученными методом фенол-водной экстракции.</w:t>
      </w:r>
    </w:p>
    <w:p w:rsidR="00F4654E" w:rsidRDefault="00F4654E">
      <w:pPr>
        <w:pStyle w:val="a6"/>
      </w:pPr>
      <w:r>
        <w:t xml:space="preserve">Таким образом, при сравнительной оценке методов, установлено, что более высокой специфичностью обладают антигены, полученные методом фенол-водной экстракции. </w:t>
      </w:r>
    </w:p>
    <w:p w:rsidR="00F4654E" w:rsidRDefault="00F4654E">
      <w:pPr>
        <w:pStyle w:val="a4"/>
      </w:pPr>
      <w:r>
        <w:t>УДК 636.4:612.18.11/12:619:616.98:578.833.31</w:t>
      </w:r>
    </w:p>
    <w:p w:rsidR="00F4654E" w:rsidRDefault="00F4654E">
      <w:pPr>
        <w:pStyle w:val="1"/>
      </w:pPr>
      <w:bookmarkStart w:id="1877" w:name="_Toc10731253"/>
      <w:bookmarkStart w:id="1878" w:name="_Toc10731914"/>
      <w:bookmarkStart w:id="1879" w:name="_Toc10891761"/>
      <w:bookmarkStart w:id="1880" w:name="_Toc10892436"/>
      <w:bookmarkStart w:id="1881" w:name="_Toc11390301"/>
      <w:bookmarkStart w:id="1882" w:name="_Toc11839982"/>
      <w:bookmarkStart w:id="1883" w:name="_Toc11937518"/>
      <w:r>
        <w:t>ПОКАЗАТЕЛИ НЕСПЕЦИФИЧЕСКОГО ИММУНИТЕТА У СВИНЕЙ, ВАКЦИНИРОВАННЫХ ПРОТИВ КЛАССИЧЕСКОЙ ЧУМЫ В УСЛОВИЯХ ПРИМЕНЕНИЯ ИММУНОСТИМУЛЯТОРА</w:t>
      </w:r>
      <w:bookmarkEnd w:id="1877"/>
      <w:bookmarkEnd w:id="1878"/>
      <w:bookmarkEnd w:id="1879"/>
      <w:bookmarkEnd w:id="1880"/>
      <w:bookmarkEnd w:id="1881"/>
      <w:bookmarkEnd w:id="1882"/>
      <w:bookmarkEnd w:id="1883"/>
    </w:p>
    <w:p w:rsidR="00F4654E" w:rsidRDefault="00F4654E">
      <w:pPr>
        <w:pStyle w:val="2"/>
      </w:pPr>
      <w:bookmarkStart w:id="1884" w:name="_Toc10731254"/>
      <w:bookmarkStart w:id="1885" w:name="_Toc10731915"/>
      <w:bookmarkStart w:id="1886" w:name="_Toc10891762"/>
      <w:bookmarkStart w:id="1887" w:name="_Toc10892437"/>
      <w:bookmarkStart w:id="1888" w:name="_Toc11390302"/>
      <w:bookmarkStart w:id="1889" w:name="_Toc11937519"/>
      <w:r>
        <w:t>Жалдыбин В.В., Прудников В.С.</w:t>
      </w:r>
      <w:bookmarkEnd w:id="1884"/>
      <w:bookmarkEnd w:id="1885"/>
      <w:bookmarkEnd w:id="1886"/>
      <w:bookmarkEnd w:id="1887"/>
      <w:bookmarkEnd w:id="1888"/>
      <w:bookmarkEnd w:id="1889"/>
    </w:p>
    <w:p w:rsidR="00F4654E" w:rsidRDefault="00F4654E">
      <w:pPr>
        <w:pStyle w:val="a5"/>
      </w:pPr>
      <w:r>
        <w:t>Витебская государственная академия ветеринарной медицины</w:t>
      </w:r>
    </w:p>
    <w:p w:rsidR="00414261" w:rsidRDefault="00F4654E">
      <w:pPr>
        <w:pStyle w:val="a6"/>
      </w:pPr>
      <w:r>
        <w:t>В настоящее время учеными многих стран мира проведена большая работа по конструированию иммуномодуляторов, применяющихся для а</w:t>
      </w:r>
      <w:r>
        <w:t>к</w:t>
      </w:r>
      <w:r>
        <w:t>тивизации поствакцинального иммунитета и с целью лечения и профила</w:t>
      </w:r>
      <w:r>
        <w:t>к</w:t>
      </w:r>
      <w:r>
        <w:t>тики болезней человека и животных. С этой целью постоянно разрабат</w:t>
      </w:r>
      <w:r>
        <w:t>ы</w:t>
      </w:r>
      <w:r>
        <w:t>ваются новые, более эффективные биологические, химические и физич</w:t>
      </w:r>
      <w:r>
        <w:t>е</w:t>
      </w:r>
      <w:r>
        <w:t>ские имм</w:t>
      </w:r>
      <w:r>
        <w:t>у</w:t>
      </w:r>
      <w:r>
        <w:t>ностимуляторы. Установлено, что многие иммуномодуляторы (иммуностимуляторы) оказывают на иммунную систему организма живо</w:t>
      </w:r>
      <w:r>
        <w:t>т</w:t>
      </w:r>
      <w:r>
        <w:t xml:space="preserve">ных значительное влияние, повышая активность иммунокомпетентных клеток, создавая устойчивость организма к воздействию инфекционных агентов: вирусов, бактерий, паразитов и др. </w:t>
      </w:r>
    </w:p>
    <w:p w:rsidR="00F4654E" w:rsidRDefault="00F4654E">
      <w:pPr>
        <w:pStyle w:val="a6"/>
      </w:pPr>
      <w:r>
        <w:t>Большое значение в формировании иммунитета в настоящее время отводится гуморальным факторам неспецифической иммунологической защиты (лизоцимная и бактерицидная активность, фаг</w:t>
      </w:r>
      <w:r>
        <w:t>о</w:t>
      </w:r>
      <w:r>
        <w:t>цитоз, комплемент и др.). Эти субстанции являются филогенетическими предшественниками антител и постоянно присутствуют в плазме или сыв</w:t>
      </w:r>
      <w:r>
        <w:t>о</w:t>
      </w:r>
      <w:r>
        <w:t>ротке крови.</w:t>
      </w:r>
    </w:p>
    <w:p w:rsidR="00F4654E" w:rsidRDefault="00F4654E">
      <w:pPr>
        <w:pStyle w:val="a6"/>
      </w:pPr>
      <w:r>
        <w:t>Целью нашей работы явилось изучение влияния иммуностимулятора натрия тиосульфата на показатели неспецифического иммунитета у св</w:t>
      </w:r>
      <w:r>
        <w:t>и</w:t>
      </w:r>
      <w:r>
        <w:t>ней, вакцинированных против классической чумы.</w:t>
      </w:r>
    </w:p>
    <w:p w:rsidR="00F4654E" w:rsidRDefault="00F4654E">
      <w:pPr>
        <w:pStyle w:val="a6"/>
      </w:pPr>
      <w:r>
        <w:lastRenderedPageBreak/>
        <w:t>Опыты проводились на 60 поросятах 5-месячного возраста, подобра</w:t>
      </w:r>
      <w:r>
        <w:t>н</w:t>
      </w:r>
      <w:r>
        <w:t>ных по принципу аналогов и разделенных на 3 группы по 20 голов в ка</w:t>
      </w:r>
      <w:r>
        <w:t>ж</w:t>
      </w:r>
      <w:r>
        <w:t>дой. Животных 1-ой группы иммунизировали сухой живой вирусвакциной из штамма «ЛК ВНИИЭВ и М» согласно Наставления. Вакцинацию пор</w:t>
      </w:r>
      <w:r>
        <w:t>о</w:t>
      </w:r>
      <w:r>
        <w:t>сят 2-ой группы проводили этой же вакциной, но в качестве разбавителя использовали 30%-ный стерильный раствор натрия тиосульфата. Интак</w:t>
      </w:r>
      <w:r>
        <w:t>т</w:t>
      </w:r>
      <w:r>
        <w:t>ные свиньи 3-ей группы служили контролем, им вводили парентерально изот</w:t>
      </w:r>
      <w:r>
        <w:t>о</w:t>
      </w:r>
      <w:r>
        <w:t>нический раствор натрия хлорида. Кормление животных проводили спецкомбикормом. До вакцинации, а так же на 5-й, 14-й дни и через 3 м</w:t>
      </w:r>
      <w:r>
        <w:t>е</w:t>
      </w:r>
      <w:r>
        <w:t>сяца после иммунизации в периферической крови определяли фагоцита</w:t>
      </w:r>
      <w:r>
        <w:t>р</w:t>
      </w:r>
      <w:r>
        <w:t>ную активность лейкоцитов, а в сыворотке изучали содержание общего белка, ба</w:t>
      </w:r>
      <w:r>
        <w:t>к</w:t>
      </w:r>
      <w:r>
        <w:t xml:space="preserve">терицидную и лизоцимную активность. </w:t>
      </w:r>
    </w:p>
    <w:p w:rsidR="00414261" w:rsidRDefault="00F4654E">
      <w:pPr>
        <w:pStyle w:val="a6"/>
      </w:pPr>
      <w:r>
        <w:t>Проведенные нами исследования показали, что под действием натрия тиосульфата у вакцинированных животных обеих групп во все сроки и</w:t>
      </w:r>
      <w:r>
        <w:t>с</w:t>
      </w:r>
      <w:r>
        <w:t>следований, статистически достоверно возрастала бактерицидная акти</w:t>
      </w:r>
      <w:r>
        <w:t>в</w:t>
      </w:r>
      <w:r>
        <w:t>ность сыворотки крови и фагоцитарная активность лейкоцитов. Однако, наиболее выраженными эти показатели были у поросят, иммунизирова</w:t>
      </w:r>
      <w:r>
        <w:t>н</w:t>
      </w:r>
      <w:r>
        <w:t xml:space="preserve">ных совместно с натрия тиосульфатом. </w:t>
      </w:r>
    </w:p>
    <w:p w:rsidR="00414261" w:rsidRDefault="00F4654E">
      <w:pPr>
        <w:pStyle w:val="a6"/>
      </w:pPr>
      <w:r>
        <w:t>Так, уже на 5-й день после вакцинации лизоцимная активность сыв</w:t>
      </w:r>
      <w:r>
        <w:t>о</w:t>
      </w:r>
      <w:r>
        <w:t>ротки крови у них возрастала, по сра</w:t>
      </w:r>
      <w:r>
        <w:t>в</w:t>
      </w:r>
      <w:r>
        <w:t>нению с контролем, в 1,5 раза, а по сравнению с животными, иммунизир</w:t>
      </w:r>
      <w:r>
        <w:t>о</w:t>
      </w:r>
      <w:r>
        <w:t xml:space="preserve">ванными без иммуностимулятора – на 1,9%. </w:t>
      </w:r>
    </w:p>
    <w:p w:rsidR="00414261" w:rsidRDefault="00F4654E">
      <w:pPr>
        <w:pStyle w:val="a6"/>
      </w:pPr>
      <w:r>
        <w:t>На 14-й день после вакцинации под действием иммуностимулятора лизоцимная активность сыворотки крови еще более возросла и составила 15,53±0,44%, против 12,33±0,08 у животных, вакцинированных без имм</w:t>
      </w:r>
      <w:r>
        <w:t>у</w:t>
      </w:r>
      <w:r>
        <w:t>ностимулятора (Р&lt;0,02). У интактных поросят лизоцимная активность с</w:t>
      </w:r>
      <w:r>
        <w:t>ы</w:t>
      </w:r>
      <w:r>
        <w:t>воротки крови составила 8,38±0,12  (Р&lt;0,01). Бактерицидная активность сыворотки крови к этому сроку исследования у животных, вакцинирова</w:t>
      </w:r>
      <w:r>
        <w:t>н</w:t>
      </w:r>
      <w:r>
        <w:t>ных с натрия тиосульфатом, так же достигала максимальной величины и составляла 42,84 ±3,04, что превыш</w:t>
      </w:r>
      <w:r>
        <w:t>а</w:t>
      </w:r>
      <w:r>
        <w:t>ло этот показатель на 9,15% (Р&lt;0,01) по сравнению с поросятами, вакцинированными без имм</w:t>
      </w:r>
      <w:r>
        <w:t>у</w:t>
      </w:r>
      <w:r>
        <w:t>ностимулятора, и на 7,7% (Р&lt;0,02) по сравнению с контролем. При исследовании содерж</w:t>
      </w:r>
      <w:r>
        <w:t>а</w:t>
      </w:r>
      <w:r>
        <w:t>ния общего белка в сыворотке крови животных, наибольшее его увелич</w:t>
      </w:r>
      <w:r>
        <w:t>е</w:t>
      </w:r>
      <w:r>
        <w:t>ние отмечалось у поросят, иммунизированных с натрия тиосульфатом (64,04 ±0,97, г/л). Под действием иммуностимулятора этот показатель во</w:t>
      </w:r>
      <w:r>
        <w:t>з</w:t>
      </w:r>
      <w:r>
        <w:t>растал, по сравнению с животными, иммунизированными одной вакциной и интактными поросятами, соотве</w:t>
      </w:r>
      <w:r>
        <w:t>т</w:t>
      </w:r>
      <w:r>
        <w:t xml:space="preserve">ственно на 6,38 и 7,66 г/л (Р&lt;0,01). </w:t>
      </w:r>
    </w:p>
    <w:p w:rsidR="00F4654E" w:rsidRDefault="00F4654E">
      <w:pPr>
        <w:pStyle w:val="a6"/>
      </w:pPr>
      <w:r>
        <w:t>Что касается фагоцитарной активности нейтрофилов, то достоверных различий по этому показателю у вакцинированных поросят без- и с имм</w:t>
      </w:r>
      <w:r>
        <w:t>у</w:t>
      </w:r>
      <w:r>
        <w:t>ностимулятором мы не наблюдали. Вместе с тем фагоцитарная акти</w:t>
      </w:r>
      <w:r>
        <w:t>в</w:t>
      </w:r>
      <w:r>
        <w:t>ность нейтрофилов у вакцинированных животных обеих групп на 14-ый день п</w:t>
      </w:r>
      <w:r>
        <w:t>о</w:t>
      </w:r>
      <w:r>
        <w:t>сле иммунизации превышала этот показатель у неиммунных поросят в среднем на 8,4% (Р&lt;0,01).</w:t>
      </w:r>
    </w:p>
    <w:p w:rsidR="00F4654E" w:rsidRDefault="00F4654E">
      <w:pPr>
        <w:pStyle w:val="a6"/>
      </w:pPr>
      <w:r>
        <w:lastRenderedPageBreak/>
        <w:t>Таким образом, применение 30%-ного раствора натрия тиосульфата в качестве разбавителя сухой живой вакцины из штамма «ЛК ВНИИЭВ и М» при иммунизации свиней против классической чумы способствует зн</w:t>
      </w:r>
      <w:r>
        <w:t>а</w:t>
      </w:r>
      <w:r>
        <w:t>чительной активизации факторов неспецифического иммунитета. Наиб</w:t>
      </w:r>
      <w:r>
        <w:t>о</w:t>
      </w:r>
      <w:r>
        <w:t>лее выраженными эти показатели были на 14-ый день после иммунизации ж</w:t>
      </w:r>
      <w:r>
        <w:t>и</w:t>
      </w:r>
      <w:r>
        <w:t>вотных.</w:t>
      </w:r>
    </w:p>
    <w:p w:rsidR="00F4654E" w:rsidRDefault="00F4654E">
      <w:pPr>
        <w:pStyle w:val="a4"/>
      </w:pPr>
      <w:r>
        <w:t>УДК 619.616.578.834.1.98</w:t>
      </w:r>
    </w:p>
    <w:p w:rsidR="00F4654E" w:rsidRDefault="00F4654E">
      <w:pPr>
        <w:pStyle w:val="1"/>
      </w:pPr>
      <w:bookmarkStart w:id="1890" w:name="_Toc10731257"/>
      <w:bookmarkStart w:id="1891" w:name="_Toc10731918"/>
      <w:bookmarkStart w:id="1892" w:name="_Toc10891765"/>
      <w:bookmarkStart w:id="1893" w:name="_Toc10892440"/>
      <w:bookmarkStart w:id="1894" w:name="_Toc11390303"/>
      <w:bookmarkStart w:id="1895" w:name="_Toc11839984"/>
      <w:bookmarkStart w:id="1896" w:name="_Toc11937520"/>
      <w:r>
        <w:t>РОЛЬ БИОСТИМУЛЯТОРА ПРИ ФОРМИРОВАНИИ ИММУНИТЕТА У ПОРОСЯТ, ВАКЦИНИРОВАННЫХ ПРОТИВ ИНФЕКЦИОННОЙ ЭНТЕРОТОКСЕМИИ</w:t>
      </w:r>
      <w:bookmarkEnd w:id="1890"/>
      <w:bookmarkEnd w:id="1891"/>
      <w:bookmarkEnd w:id="1892"/>
      <w:bookmarkEnd w:id="1893"/>
      <w:bookmarkEnd w:id="1894"/>
      <w:bookmarkEnd w:id="1895"/>
      <w:bookmarkEnd w:id="1896"/>
    </w:p>
    <w:p w:rsidR="00F4654E" w:rsidRDefault="00F4654E">
      <w:pPr>
        <w:pStyle w:val="2"/>
      </w:pPr>
      <w:bookmarkStart w:id="1897" w:name="_Toc10731258"/>
      <w:bookmarkStart w:id="1898" w:name="_Toc10731919"/>
      <w:bookmarkStart w:id="1899" w:name="_Toc10891766"/>
      <w:bookmarkStart w:id="1900" w:name="_Toc10892441"/>
      <w:bookmarkStart w:id="1901" w:name="_Toc11390304"/>
      <w:bookmarkStart w:id="1902" w:name="_Toc11937521"/>
      <w:r>
        <w:t>Жвания М.Ш.</w:t>
      </w:r>
      <w:bookmarkEnd w:id="1897"/>
      <w:bookmarkEnd w:id="1898"/>
      <w:bookmarkEnd w:id="1899"/>
      <w:bookmarkEnd w:id="1900"/>
      <w:bookmarkEnd w:id="1901"/>
      <w:bookmarkEnd w:id="1902"/>
    </w:p>
    <w:p w:rsidR="00F4654E" w:rsidRDefault="00F4654E">
      <w:pPr>
        <w:pStyle w:val="a5"/>
      </w:pPr>
      <w:r>
        <w:t>Грузинская зоотехническо-ветеринарная академия</w:t>
      </w:r>
    </w:p>
    <w:p w:rsidR="00F4654E" w:rsidRDefault="00F4654E">
      <w:pPr>
        <w:pStyle w:val="a6"/>
      </w:pPr>
      <w:r>
        <w:t>В настоящее время в медицинской и ветеринарной бактерио</w:t>
      </w:r>
      <w:r>
        <w:softHyphen/>
        <w:t>ло</w:t>
      </w:r>
      <w:r>
        <w:softHyphen/>
        <w:t>ги</w:t>
      </w:r>
      <w:r>
        <w:softHyphen/>
        <w:t>ческой практике широко применяются продукты животного происхожд</w:t>
      </w:r>
      <w:r>
        <w:t>е</w:t>
      </w:r>
      <w:r>
        <w:t>ния - мясо, печень и др. Ряд авторов указывают на преимущество раст</w:t>
      </w:r>
      <w:r>
        <w:t>и</w:t>
      </w:r>
      <w:r>
        <w:t>тельных бактериологических сред.</w:t>
      </w:r>
    </w:p>
    <w:p w:rsidR="00F4654E" w:rsidRDefault="00F4654E">
      <w:pPr>
        <w:pStyle w:val="a6"/>
      </w:pPr>
      <w:r>
        <w:t>Целью нашей работы является изыскание эффективной и дешевой бактериальной питательной среды для приготовления вакцин против и</w:t>
      </w:r>
      <w:r>
        <w:t>н</w:t>
      </w:r>
      <w:r>
        <w:t>фекционной энтероксемии свиней.</w:t>
      </w:r>
    </w:p>
    <w:p w:rsidR="00414261" w:rsidRDefault="00F4654E">
      <w:pPr>
        <w:pStyle w:val="a6"/>
      </w:pPr>
      <w:r>
        <w:t>Были испытаны по оригинальной методике два вида жмыхов плодов тунга: китайский (Aleurites Fordii) и японский (Aleurites Cordata), которые содержат большое количество белков (40-50%) и ряд других стимулиру</w:t>
      </w:r>
      <w:r>
        <w:t>ю</w:t>
      </w:r>
      <w:r>
        <w:t>щих веществ для развития микробов. При приготовлении формолвакцины использовались активнорастущие высокотоксигенные местные эпизоот</w:t>
      </w:r>
      <w:r>
        <w:t>и</w:t>
      </w:r>
      <w:r>
        <w:t>ческие штаммы Cl. perferingens типов С и А.  Cl. perferingens тип С в о</w:t>
      </w:r>
      <w:r>
        <w:t>с</w:t>
      </w:r>
      <w:r>
        <w:t>новном вызывает у новорожденных поросят энтероксемию, а Cl. perferin-gens тип А выделяется преимущественно у отъемышей. В качестве пит</w:t>
      </w:r>
      <w:r>
        <w:t>а</w:t>
      </w:r>
      <w:r>
        <w:t>тельной среды для изготовления формолвакцины применялся бульон из гидролизата жмыхов плодов тунга.</w:t>
      </w:r>
    </w:p>
    <w:p w:rsidR="00414261" w:rsidRDefault="00F4654E">
      <w:pPr>
        <w:pStyle w:val="a6"/>
      </w:pPr>
      <w:r>
        <w:t>Вакцину готовили по общепринятой методике. Для приготовления вакцины применялись высокотоксигенные и вирулентные штаммы, от к</w:t>
      </w:r>
      <w:r>
        <w:t>о</w:t>
      </w:r>
      <w:r>
        <w:t>торых зависела высокая иммуногенность вакцины. При приготовлении биопрепарата включались те штаммы Cl. perferingens типов А и С, токсины которых убивали белых мышей в дозе 0,0001-0,001 мл за 16-20 часов при подкожной инъекции и за 3-5 минут при внутривенном введении, соотве</w:t>
      </w:r>
      <w:r>
        <w:t>т</w:t>
      </w:r>
      <w:r>
        <w:t>ственно; кроликов - дозой 0,01 мл через 20-24 часа и за 2-3 минуты; мо</w:t>
      </w:r>
      <w:r>
        <w:t>р</w:t>
      </w:r>
      <w:r>
        <w:t xml:space="preserve">ские свинки - дозой 0,01 мл через 18-20 часов и 5-6 минут. </w:t>
      </w:r>
    </w:p>
    <w:p w:rsidR="00F4654E" w:rsidRDefault="00F4654E">
      <w:pPr>
        <w:pStyle w:val="a6"/>
      </w:pPr>
      <w:r>
        <w:t>Все рабочие штаммы, применявшиеся для приготовления формолва</w:t>
      </w:r>
      <w:r>
        <w:t>к</w:t>
      </w:r>
      <w:r>
        <w:t>цины, полностью отвечали морфолого-культуральным, биохимическим, вирулентным и токсигенным свойствам Cl. perferingens типов А и С. После установления стерильности, безвредности и иммун</w:t>
      </w:r>
      <w:r>
        <w:t>о</w:t>
      </w:r>
      <w:r>
        <w:t xml:space="preserve">генности вакцины на </w:t>
      </w:r>
      <w:r>
        <w:lastRenderedPageBreak/>
        <w:t>лабораторных животных мы провели вакцинацию супоросных свиноматок, неблагополучных по инфекционной энтеротоксемии, в Душетском и Мцхетском свиноводческих хозяйствах. Прививки свиней были проведены двукратно: за 20 дней (первая прививка) и за 10 дней (вторая прививка) до опороса. Вакцина оказалась весьма эффективной. Сыворотка крови одн</w:t>
      </w:r>
      <w:r>
        <w:t>о</w:t>
      </w:r>
      <w:r>
        <w:t>кратно вакцинированных супоросных свиней нейтрализует 3 DLM культ</w:t>
      </w:r>
      <w:r>
        <w:t>у</w:t>
      </w:r>
      <w:r>
        <w:t xml:space="preserve">ры в течение 10 дней. </w:t>
      </w:r>
    </w:p>
    <w:p w:rsidR="00F4654E" w:rsidRDefault="00F4654E">
      <w:pPr>
        <w:pStyle w:val="a6"/>
      </w:pPr>
      <w:r>
        <w:t>При анализе результатов вакцинации видно, что гибель от энтеро</w:t>
      </w:r>
      <w:r w:rsidR="00414261">
        <w:t>-</w:t>
      </w:r>
      <w:r>
        <w:t>токсемии рожденных от вакцинированных свиней не превышает 0,05%, а ср</w:t>
      </w:r>
      <w:r>
        <w:t>е</w:t>
      </w:r>
      <w:r>
        <w:t>ди поросят от невакцинированных свиней составляет 18%. Через две недели были вакцинированы поросята двукратно изготовленной нами ва</w:t>
      </w:r>
      <w:r>
        <w:t>к</w:t>
      </w:r>
      <w:r>
        <w:t>циной.</w:t>
      </w:r>
    </w:p>
    <w:p w:rsidR="00414261" w:rsidRDefault="00F4654E">
      <w:pPr>
        <w:pStyle w:val="a6"/>
        <w:rPr>
          <w:spacing w:val="-2"/>
        </w:rPr>
      </w:pPr>
      <w:r w:rsidRPr="00414261">
        <w:rPr>
          <w:spacing w:val="-2"/>
        </w:rPr>
        <w:t>Было изучено влияние иммуностимулятора (тиосульфата натрия) в процессе формирования искусственного иммунитета против инфекцио</w:t>
      </w:r>
      <w:r w:rsidRPr="00414261">
        <w:rPr>
          <w:spacing w:val="-2"/>
        </w:rPr>
        <w:t>н</w:t>
      </w:r>
      <w:r w:rsidRPr="00414261">
        <w:rPr>
          <w:spacing w:val="-2"/>
        </w:rPr>
        <w:t>ной энтеротоксемии свиней. С этой целью нами были отобраны 60 голов пор</w:t>
      </w:r>
      <w:r w:rsidRPr="00414261">
        <w:rPr>
          <w:spacing w:val="-2"/>
        </w:rPr>
        <w:t>о</w:t>
      </w:r>
      <w:r w:rsidRPr="00414261">
        <w:rPr>
          <w:spacing w:val="-2"/>
        </w:rPr>
        <w:t>сят 14-ти дневного возраста, которых разделили по принципу анал</w:t>
      </w:r>
      <w:r w:rsidRPr="00414261">
        <w:rPr>
          <w:spacing w:val="-2"/>
        </w:rPr>
        <w:t>о</w:t>
      </w:r>
      <w:r w:rsidRPr="00414261">
        <w:rPr>
          <w:spacing w:val="-2"/>
        </w:rPr>
        <w:t>гов на 3 группы (по 20 голов в каждой). Поросят 1-ой группы иммунизировали дв</w:t>
      </w:r>
      <w:r w:rsidRPr="00414261">
        <w:rPr>
          <w:spacing w:val="-2"/>
        </w:rPr>
        <w:t>у</w:t>
      </w:r>
      <w:r w:rsidRPr="00414261">
        <w:rPr>
          <w:spacing w:val="-2"/>
        </w:rPr>
        <w:t>кратно. Первая вакцинация - внутри</w:t>
      </w:r>
      <w:r w:rsidRPr="00414261">
        <w:rPr>
          <w:spacing w:val="-2"/>
        </w:rPr>
        <w:softHyphen/>
        <w:t>мышечно в дозе 2 мл, вакцину вводили совместно с  иммуностимулятором (0,5%). Вторая вакцинация - через 14 дней в дозе 1,5 мл, вакцину вводили совместно с иммуностимулятором (0,5%). Поросятам 2-ой группы до начала активной иммунизации было вв</w:t>
      </w:r>
      <w:r w:rsidRPr="00414261">
        <w:rPr>
          <w:spacing w:val="-2"/>
        </w:rPr>
        <w:t>е</w:t>
      </w:r>
      <w:r w:rsidRPr="00414261">
        <w:rPr>
          <w:spacing w:val="-2"/>
        </w:rPr>
        <w:t>дено по 1 мл иммуностимулятора. Поросята 3-ей группы служили контр</w:t>
      </w:r>
      <w:r w:rsidRPr="00414261">
        <w:rPr>
          <w:spacing w:val="-2"/>
        </w:rPr>
        <w:t>о</w:t>
      </w:r>
      <w:r w:rsidRPr="00414261">
        <w:rPr>
          <w:spacing w:val="-2"/>
        </w:rPr>
        <w:t>лем. Напряженность иммунитета против инфекционной энтеротоксемии о</w:t>
      </w:r>
      <w:r w:rsidRPr="00414261">
        <w:rPr>
          <w:spacing w:val="-2"/>
        </w:rPr>
        <w:t>п</w:t>
      </w:r>
      <w:r w:rsidRPr="00414261">
        <w:rPr>
          <w:spacing w:val="-2"/>
        </w:rPr>
        <w:t>ределяли на 21-й и 90-й день после иммунизации путем исследования сыв</w:t>
      </w:r>
      <w:r w:rsidRPr="00414261">
        <w:rPr>
          <w:spacing w:val="-2"/>
        </w:rPr>
        <w:t>о</w:t>
      </w:r>
      <w:r w:rsidRPr="00414261">
        <w:rPr>
          <w:spacing w:val="-2"/>
        </w:rPr>
        <w:t>ротки крови по реакции нейтрализации токсина на белых м</w:t>
      </w:r>
      <w:r w:rsidRPr="00414261">
        <w:rPr>
          <w:spacing w:val="-2"/>
        </w:rPr>
        <w:t>ы</w:t>
      </w:r>
      <w:r w:rsidRPr="00414261">
        <w:rPr>
          <w:spacing w:val="-2"/>
        </w:rPr>
        <w:t xml:space="preserve">шах. </w:t>
      </w:r>
    </w:p>
    <w:p w:rsidR="00F4654E" w:rsidRPr="00414261" w:rsidRDefault="00F4654E">
      <w:pPr>
        <w:pStyle w:val="a6"/>
        <w:rPr>
          <w:spacing w:val="-2"/>
        </w:rPr>
      </w:pPr>
      <w:r w:rsidRPr="00414261">
        <w:rPr>
          <w:spacing w:val="-2"/>
        </w:rPr>
        <w:t>В сыворотке крови дв</w:t>
      </w:r>
      <w:r w:rsidRPr="00414261">
        <w:rPr>
          <w:spacing w:val="-2"/>
        </w:rPr>
        <w:t>у</w:t>
      </w:r>
      <w:r w:rsidRPr="00414261">
        <w:rPr>
          <w:spacing w:val="-2"/>
        </w:rPr>
        <w:t>кратно вакцинированных поросят с иммуно</w:t>
      </w:r>
      <w:r w:rsidRPr="00414261">
        <w:rPr>
          <w:spacing w:val="-2"/>
        </w:rPr>
        <w:softHyphen/>
        <w:t>стимулятором полная нейтрализация токсина наблюдалась до 125 дней. И</w:t>
      </w:r>
      <w:r w:rsidRPr="00414261">
        <w:rPr>
          <w:spacing w:val="-2"/>
        </w:rPr>
        <w:t>н</w:t>
      </w:r>
      <w:r w:rsidRPr="00414261">
        <w:rPr>
          <w:spacing w:val="-2"/>
        </w:rPr>
        <w:t>декс иммун</w:t>
      </w:r>
      <w:r w:rsidRPr="00414261">
        <w:rPr>
          <w:spacing w:val="-2"/>
        </w:rPr>
        <w:t>о</w:t>
      </w:r>
      <w:r w:rsidRPr="00414261">
        <w:rPr>
          <w:spacing w:val="-2"/>
        </w:rPr>
        <w:t xml:space="preserve">генности вычислялся на белых мышах по методу Рида и Менча. </w:t>
      </w:r>
    </w:p>
    <w:p w:rsidR="00F4654E" w:rsidRDefault="00F4654E">
      <w:pPr>
        <w:pStyle w:val="a6"/>
      </w:pPr>
      <w:r>
        <w:t>Полученные результаты после вакцинации показали, что иммуниз</w:t>
      </w:r>
      <w:r>
        <w:t>а</w:t>
      </w:r>
      <w:r>
        <w:t>ция поросят при применении натрия тиосульфита способствует повыш</w:t>
      </w:r>
      <w:r>
        <w:t>е</w:t>
      </w:r>
      <w:r>
        <w:t>нию в сыворотке крови титров антител на 25% по сравнению с поросятами, привитой без иммуностимулятора.</w:t>
      </w:r>
    </w:p>
    <w:p w:rsidR="00F4654E" w:rsidRDefault="00F4654E">
      <w:pPr>
        <w:pStyle w:val="a6"/>
      </w:pPr>
      <w:r>
        <w:t>Таким образом, проведенные нами производственно-эксперимен</w:t>
      </w:r>
      <w:r>
        <w:softHyphen/>
        <w:t>таль</w:t>
      </w:r>
      <w:r>
        <w:softHyphen/>
        <w:t>ные исследования показали, что для приготовления вакцины бульон из гидролизата жмыхов плодов тунга является эффективной, безвредной и дешевой средой. Иммуностимулятор повышает иммунобиологическую р</w:t>
      </w:r>
      <w:r>
        <w:t>е</w:t>
      </w:r>
      <w:r>
        <w:t>зистентность организма, вследствие чего после проведения вакцинации формир</w:t>
      </w:r>
      <w:r>
        <w:t>у</w:t>
      </w:r>
      <w:r>
        <w:t xml:space="preserve">ется иммунитет высокой напряженности и длительности.  </w:t>
      </w:r>
    </w:p>
    <w:p w:rsidR="00414261" w:rsidRDefault="00414261">
      <w:pPr>
        <w:pStyle w:val="a4"/>
      </w:pPr>
    </w:p>
    <w:p w:rsidR="00414261" w:rsidRDefault="00414261">
      <w:pPr>
        <w:pStyle w:val="a4"/>
      </w:pPr>
    </w:p>
    <w:p w:rsidR="00F4654E" w:rsidRDefault="00F4654E">
      <w:pPr>
        <w:pStyle w:val="a4"/>
      </w:pPr>
      <w:r>
        <w:lastRenderedPageBreak/>
        <w:t>УДК 619:615:547.39.44.9.284.21</w:t>
      </w:r>
    </w:p>
    <w:p w:rsidR="00F4654E" w:rsidRDefault="00F4654E">
      <w:pPr>
        <w:pStyle w:val="1"/>
      </w:pPr>
      <w:bookmarkStart w:id="1903" w:name="_Toc10731259"/>
      <w:bookmarkStart w:id="1904" w:name="_Toc10731920"/>
      <w:bookmarkStart w:id="1905" w:name="_Toc10891767"/>
      <w:bookmarkStart w:id="1906" w:name="_Toc10892442"/>
      <w:bookmarkStart w:id="1907" w:name="_Toc11390305"/>
      <w:bookmarkStart w:id="1908" w:name="_Toc11839986"/>
      <w:bookmarkStart w:id="1909" w:name="_Toc11937522"/>
      <w:r>
        <w:t>Синтез и биологическая активность производных гуминовых кислот</w:t>
      </w:r>
      <w:bookmarkEnd w:id="1903"/>
      <w:bookmarkEnd w:id="1904"/>
      <w:bookmarkEnd w:id="1905"/>
      <w:bookmarkEnd w:id="1906"/>
      <w:bookmarkEnd w:id="1907"/>
      <w:bookmarkEnd w:id="1908"/>
      <w:bookmarkEnd w:id="1909"/>
    </w:p>
    <w:p w:rsidR="00F4654E" w:rsidRDefault="00F4654E">
      <w:pPr>
        <w:pStyle w:val="2"/>
      </w:pPr>
      <w:bookmarkStart w:id="1910" w:name="_Toc10731260"/>
      <w:bookmarkStart w:id="1911" w:name="_Toc10731921"/>
      <w:bookmarkStart w:id="1912" w:name="_Toc10891768"/>
      <w:bookmarkStart w:id="1913" w:name="_Toc10892443"/>
      <w:bookmarkStart w:id="1914" w:name="_Toc11390306"/>
      <w:bookmarkStart w:id="1915" w:name="_Toc11937523"/>
      <w:r>
        <w:t>Жоробекова Ш.Ж., Королева Р.П., Алыбакова Н.К.,</w:t>
      </w:r>
      <w:r>
        <w:br/>
        <w:t xml:space="preserve"> Арзыбаев М.А.*, Салбаева А.Б.*</w:t>
      </w:r>
      <w:bookmarkEnd w:id="1910"/>
      <w:bookmarkEnd w:id="1911"/>
      <w:bookmarkEnd w:id="1912"/>
      <w:bookmarkEnd w:id="1913"/>
      <w:bookmarkEnd w:id="1914"/>
      <w:bookmarkEnd w:id="1915"/>
    </w:p>
    <w:p w:rsidR="00F4654E" w:rsidRDefault="00F4654E">
      <w:pPr>
        <w:pStyle w:val="a5"/>
      </w:pPr>
      <w:r>
        <w:t>Институт химии и химических технологий НАН Кыргызской республики,*Кыргызский государственный научно-исследовательский контрольный институт ветеринарии</w:t>
      </w:r>
    </w:p>
    <w:p w:rsidR="00F4654E" w:rsidRDefault="00F4654E">
      <w:pPr>
        <w:pStyle w:val="a6"/>
      </w:pPr>
      <w:r>
        <w:t>Развитие исследований в области синтеза биологически актив</w:t>
      </w:r>
      <w:r>
        <w:softHyphen/>
        <w:t>ных с</w:t>
      </w:r>
      <w:r>
        <w:t>о</w:t>
      </w:r>
      <w:r>
        <w:t>единений предопределяет поиск природного сырья с полезными свойств</w:t>
      </w:r>
      <w:r>
        <w:t>а</w:t>
      </w:r>
      <w:r>
        <w:t>ми для организма, без отрицательных эффектов.</w:t>
      </w:r>
    </w:p>
    <w:p w:rsidR="00F4654E" w:rsidRDefault="00F4654E">
      <w:pPr>
        <w:pStyle w:val="a6"/>
      </w:pPr>
      <w:r>
        <w:t>Перспективны в этом отношении природные гуминовые кислоты, представляющие собой высокомолекулярные многофункциональные с</w:t>
      </w:r>
      <w:r>
        <w:t>о</w:t>
      </w:r>
      <w:r>
        <w:t>единения нерегулярного строения, содержащиеся в почвах, пелоидах, то</w:t>
      </w:r>
      <w:r>
        <w:t>р</w:t>
      </w:r>
      <w:r>
        <w:t>фах, окисленных бурых и каменных углях.</w:t>
      </w:r>
    </w:p>
    <w:p w:rsidR="00F4654E" w:rsidRDefault="00F4654E">
      <w:pPr>
        <w:pStyle w:val="a6"/>
      </w:pPr>
      <w:r>
        <w:t>Доказано (Христева Л.А.,1957, 1962, 1968; Горовая А.И.,1955), что гуминовые кислоты обладают высокой биологической активностью и во</w:t>
      </w:r>
      <w:r>
        <w:t>з</w:t>
      </w:r>
      <w:r>
        <w:t>действуют на основные звенья обмена веществ, увеличивая эффективность основного питания, повышают сопротивляемость организмов к неблаг</w:t>
      </w:r>
      <w:r>
        <w:t>о</w:t>
      </w:r>
      <w:r>
        <w:t>приятным условиям среды. Они повышают привесы животных и птицы, способствуя отложению белка в теле растущих животных, благотворно влияют на репродуктивную функцию животных.</w:t>
      </w:r>
    </w:p>
    <w:p w:rsidR="00F4654E" w:rsidRDefault="00F4654E">
      <w:pPr>
        <w:pStyle w:val="a6"/>
      </w:pPr>
      <w:r>
        <w:t>Выявлена практическая безвредность гуминовых кислот и их водо-растворимых солей (гуматов) при воздействии на кровь, сердечно сосуд</w:t>
      </w:r>
      <w:r>
        <w:t>и</w:t>
      </w:r>
      <w:r>
        <w:t>стую и эндокринную системы, жизненно важные органы, на уров</w:t>
      </w:r>
      <w:r>
        <w:softHyphen/>
        <w:t>не пат</w:t>
      </w:r>
      <w:r>
        <w:t>о</w:t>
      </w:r>
      <w:r>
        <w:t>логических и гистохимических исследований. Они не вызыва</w:t>
      </w:r>
      <w:r>
        <w:softHyphen/>
        <w:t>ют явлений аллергии и анафилаксии, не обладают тератогенным, эмбриотоксичным и канцерогенным свойствами, не апирогенны и мало токсичны (ЛД</w:t>
      </w:r>
      <w:r>
        <w:rPr>
          <w:vertAlign w:val="subscript"/>
        </w:rPr>
        <w:t>50</w:t>
      </w:r>
      <w:r>
        <w:t xml:space="preserve"> около 530мг/кг), (Сотникова Е.П.,1969).</w:t>
      </w:r>
    </w:p>
    <w:p w:rsidR="00F4654E" w:rsidRDefault="00F4654E">
      <w:pPr>
        <w:pStyle w:val="a6"/>
      </w:pPr>
      <w:r>
        <w:t>Проверка гумата натрия на таких моделях болезней как токси</w:t>
      </w:r>
      <w:r>
        <w:softHyphen/>
        <w:t>ческая анемия (введение фенилгидразина), токсический гепатит (введение чет</w:t>
      </w:r>
      <w:r>
        <w:t>ы</w:t>
      </w:r>
      <w:r>
        <w:t>реххлористого углерода), язва желудка (введение серотонина), угнетение тормозных процессов в центральной нервной системе (введение стрихн</w:t>
      </w:r>
      <w:r>
        <w:t>и</w:t>
      </w:r>
      <w:r>
        <w:t>на) характеризуют его как препарат, вызывающий состояние не специф</w:t>
      </w:r>
      <w:r>
        <w:t>и</w:t>
      </w:r>
      <w:r>
        <w:t>чески повышенной сопротивляемости организма, обладающий широким спектром биологической активности, при введении веществ в отравля</w:t>
      </w:r>
      <w:r>
        <w:t>ю</w:t>
      </w:r>
      <w:r>
        <w:t>щих дозах (Лотош Л.Д.,1989). Однако, профилактический и лечебный п</w:t>
      </w:r>
      <w:r>
        <w:t>о</w:t>
      </w:r>
      <w:r>
        <w:t>тенциал гуминовых кис</w:t>
      </w:r>
      <w:r>
        <w:softHyphen/>
        <w:t>лот далеко не исчерпан и имеются большие пе</w:t>
      </w:r>
      <w:r>
        <w:t>р</w:t>
      </w:r>
      <w:r>
        <w:t>спективы дальнейшего их применения.</w:t>
      </w:r>
    </w:p>
    <w:p w:rsidR="00F4654E" w:rsidRDefault="00F4654E">
      <w:pPr>
        <w:pStyle w:val="a6"/>
      </w:pPr>
      <w:r>
        <w:t>Исходя из этого, на основании гуминовых кислот, нами были разраб</w:t>
      </w:r>
      <w:r>
        <w:t>о</w:t>
      </w:r>
      <w:r>
        <w:t>таны условия синтеза антигельминтных препаратов. В качест</w:t>
      </w:r>
      <w:r>
        <w:softHyphen/>
        <w:t>ве реактантов использованы бензимидозол и сульфат меди, так как в ветеринарной пра</w:t>
      </w:r>
      <w:r>
        <w:t>к</w:t>
      </w:r>
      <w:r>
        <w:t>тике многие производные бензимидазола зарекомендовали себя как эффе</w:t>
      </w:r>
      <w:r>
        <w:t>к</w:t>
      </w:r>
      <w:r>
        <w:lastRenderedPageBreak/>
        <w:t>тивные антигельминтики (альбендозол, курантил, фенбендозол, вермитан и др.). Но их применение ограничивается из-за эмбриотоксичных и терат</w:t>
      </w:r>
      <w:r>
        <w:t>о</w:t>
      </w:r>
      <w:r>
        <w:t>генных свойств (Кротов А,И. 1973); Алдашев А.А. 1983).</w:t>
      </w:r>
    </w:p>
    <w:p w:rsidR="00F4654E" w:rsidRDefault="00F4654E">
      <w:pPr>
        <w:pStyle w:val="a6"/>
      </w:pPr>
      <w:r>
        <w:t>Синтезированные нами производные содержат в своем составе от 69,7 до 80,9% гуминовых кислот, от 18,8 до 24,2% бензимидазола и до 6,6% м</w:t>
      </w:r>
      <w:r>
        <w:t>е</w:t>
      </w:r>
      <w:r>
        <w:t>ди. ИК – спектры и элюционная диаграмма молекулярно – массового ра</w:t>
      </w:r>
      <w:r>
        <w:t>с</w:t>
      </w:r>
      <w:r>
        <w:t>пределения гуминовых кислот и производных подтвер</w:t>
      </w:r>
      <w:r>
        <w:softHyphen/>
        <w:t>ждают синтез новых препаратов и являются доказательством взаимо</w:t>
      </w:r>
      <w:r>
        <w:softHyphen/>
        <w:t>действия между исходными продуктами реакции.</w:t>
      </w:r>
    </w:p>
    <w:p w:rsidR="00F4654E" w:rsidRDefault="00F4654E">
      <w:pPr>
        <w:pStyle w:val="a6"/>
      </w:pPr>
      <w:r>
        <w:t>Одно из таких соединений – гумат бензимидозола и меди (губемедол), был испытан на острую токсичность и антигельминтную активность пр</w:t>
      </w:r>
      <w:r>
        <w:t>о</w:t>
      </w:r>
      <w:r>
        <w:t>тив гименолепидоза белых мышей.</w:t>
      </w:r>
    </w:p>
    <w:p w:rsidR="00F4654E" w:rsidRDefault="00F4654E">
      <w:pPr>
        <w:pStyle w:val="a6"/>
      </w:pPr>
      <w:r>
        <w:t>Определение острой токсичности проводили на 42 клинически здор</w:t>
      </w:r>
      <w:r>
        <w:t>о</w:t>
      </w:r>
      <w:r>
        <w:t>вых беспородных белых мышах с живой массой 20-24г. Препарат вводили им перорально в виде 5%-ного водного раствора в различ</w:t>
      </w:r>
      <w:r>
        <w:softHyphen/>
        <w:t>ных дозах с п</w:t>
      </w:r>
      <w:r>
        <w:t>о</w:t>
      </w:r>
      <w:r>
        <w:t>мощью шприца, снабженного специальным металличес</w:t>
      </w:r>
      <w:r>
        <w:softHyphen/>
        <w:t>ким зондом. Дейс</w:t>
      </w:r>
      <w:r>
        <w:t>т</w:t>
      </w:r>
      <w:r>
        <w:t>вие каждой дозы проверяли на группе мышей из 6 голов и одна группа из 6 голов была контрольной, получала фи</w:t>
      </w:r>
      <w:r>
        <w:softHyphen/>
        <w:t>зиологический раствор. Наблюдение за животными вели в течение 9 суток, учитывали общее состояние, хара</w:t>
      </w:r>
      <w:r>
        <w:t>к</w:t>
      </w:r>
      <w:r>
        <w:t>тер и степень препаративного токсикоза, время их гибели. Трупы живо</w:t>
      </w:r>
      <w:r>
        <w:t>т</w:t>
      </w:r>
      <w:r>
        <w:t>ных подвергали патологоанатомическому вскрытию для установления причины гибели.</w:t>
      </w:r>
    </w:p>
    <w:p w:rsidR="00F4654E" w:rsidRDefault="00F4654E">
      <w:pPr>
        <w:pStyle w:val="a6"/>
      </w:pPr>
      <w:r>
        <w:t>Полученные цифровые  данные опыта статистически обработали м</w:t>
      </w:r>
      <w:r>
        <w:t>е</w:t>
      </w:r>
      <w:r>
        <w:t>тодом пробит – анализа (Шульц Р.С.,1933) в модификации Кудрина А.Н., Пономаревой Г.Т. (1967).</w:t>
      </w:r>
    </w:p>
    <w:p w:rsidR="00F4654E" w:rsidRDefault="00F4654E">
      <w:pPr>
        <w:pStyle w:val="a6"/>
      </w:pPr>
      <w:r>
        <w:t>Результаты опытов показали, что признаки токсикоза у мышей по в</w:t>
      </w:r>
      <w:r>
        <w:t>ы</w:t>
      </w:r>
      <w:r>
        <w:t>раженности и степени тяжести были разными в зависимости от получе</w:t>
      </w:r>
      <w:r>
        <w:t>н</w:t>
      </w:r>
      <w:r>
        <w:t>ных доз. В основном они выражались в появлении возбужденно</w:t>
      </w:r>
      <w:r>
        <w:softHyphen/>
        <w:t>го состо</w:t>
      </w:r>
      <w:r>
        <w:t>я</w:t>
      </w:r>
      <w:r>
        <w:t>ния (беспокойство, повышенная реакция на внешние разд</w:t>
      </w:r>
      <w:r>
        <w:softHyphen/>
        <w:t>ражители), кот</w:t>
      </w:r>
      <w:r>
        <w:t>о</w:t>
      </w:r>
      <w:r>
        <w:t>рое быстро сменялось прогрессирующим угнетением, переходящим в по</w:t>
      </w:r>
      <w:r>
        <w:t>л</w:t>
      </w:r>
      <w:r>
        <w:t>ную прострацию. При этом отмечено отсутствие аппетита, безразличие к тактильным раздражителям. Смерть живот</w:t>
      </w:r>
      <w:r>
        <w:softHyphen/>
        <w:t>ных от токсикоза наступала на 2-3 сутки после дачи препарата в больших дозах (600-700мг/кг).</w:t>
      </w:r>
    </w:p>
    <w:p w:rsidR="00F4654E" w:rsidRDefault="00F4654E">
      <w:pPr>
        <w:pStyle w:val="a6"/>
      </w:pPr>
      <w:r>
        <w:t>При патологоанатомическом вскрытии павших животных обнаруж</w:t>
      </w:r>
      <w:r>
        <w:t>и</w:t>
      </w:r>
      <w:r>
        <w:t>ли: головной мозг кровонаполнен, под твердой оболочкой точечные кр</w:t>
      </w:r>
      <w:r>
        <w:t>о</w:t>
      </w:r>
      <w:r>
        <w:t>воизлияния; слизистая оболочка желудка и тонкого отдела кишеч</w:t>
      </w:r>
      <w:r>
        <w:softHyphen/>
        <w:t>ника сильно гиперемированы, местами имеются участки обширных кровои</w:t>
      </w:r>
      <w:r>
        <w:t>з</w:t>
      </w:r>
      <w:r>
        <w:t>лияний; печень темно-красного цвета, увеличена в объеме, ее паренхима размягчена; почки обычных размеров, под их оболочкой множественные точечные кровоизлияния; миокард сердца мягкой консистенции, полость желудочков наполнена сгустками крови темно – коричневого цвета.</w:t>
      </w:r>
    </w:p>
    <w:p w:rsidR="00F4654E" w:rsidRDefault="00F4654E">
      <w:pPr>
        <w:pStyle w:val="a6"/>
      </w:pPr>
      <w:r>
        <w:t>Статистическая обработка данных опыта показала, что максима</w:t>
      </w:r>
      <w:r>
        <w:softHyphen/>
        <w:t>льно переносимая доза губемедола для белых мышей при пероральном введ</w:t>
      </w:r>
      <w:r>
        <w:t>е</w:t>
      </w:r>
      <w:r>
        <w:lastRenderedPageBreak/>
        <w:t>нии, составляет 200 мг/кг, средне смертельная – 469 (586,2</w:t>
      </w:r>
      <w:r>
        <w:sym w:font="Symbol" w:char="F0B8"/>
      </w:r>
      <w:r>
        <w:t>375), а абс</w:t>
      </w:r>
      <w:r>
        <w:t>о</w:t>
      </w:r>
      <w:r>
        <w:t>лютно летальная доза равна 700 мг/кг живой массы животных.</w:t>
      </w:r>
    </w:p>
    <w:p w:rsidR="00F4654E" w:rsidRDefault="00F4654E">
      <w:pPr>
        <w:pStyle w:val="a6"/>
      </w:pPr>
      <w:r>
        <w:t>Опыты по испытанию антигельминтной активности губемедола пр</w:t>
      </w:r>
      <w:r>
        <w:t>о</w:t>
      </w:r>
      <w:r>
        <w:t>водили методом in vivo с использованием экспериментальной моде</w:t>
      </w:r>
      <w:r>
        <w:softHyphen/>
        <w:t>ли це</w:t>
      </w:r>
      <w:r>
        <w:t>с</w:t>
      </w:r>
      <w:r>
        <w:t>тодоэов – гименолепидоз белых мышей, возбудителем которого является карликовый цепень (Hymenolepis nana), В отличие от других цестод он развивается без промежуточного хозяина, что да</w:t>
      </w:r>
      <w:r>
        <w:softHyphen/>
        <w:t>ет возможность легко во</w:t>
      </w:r>
      <w:r>
        <w:t>с</w:t>
      </w:r>
      <w:r>
        <w:t>произвести гельминтоз в условиях лабора</w:t>
      </w:r>
      <w:r>
        <w:softHyphen/>
        <w:t>тории. Препарат сравнения – сульфат меди.</w:t>
      </w:r>
    </w:p>
    <w:p w:rsidR="00F4654E" w:rsidRDefault="00F4654E">
      <w:pPr>
        <w:pStyle w:val="a6"/>
      </w:pPr>
      <w:r>
        <w:t>В опытах использовали 18 голов гименолепидозных мышей, кото</w:t>
      </w:r>
      <w:r>
        <w:softHyphen/>
        <w:t>рых разделили на 3 группы по 6 голов в каждой, по принципу анало</w:t>
      </w:r>
      <w:r>
        <w:softHyphen/>
        <w:t>гов. Первой группе мышей губемедол вводили перорально в виде 1% водной суспензии с крахмалом в дозе 200мг/кг живой массы, т.е. ниже порога его токсичн</w:t>
      </w:r>
      <w:r>
        <w:t>о</w:t>
      </w:r>
      <w:r>
        <w:t>сти. Второй группе аналогично вводили водный раствор сульфата меди в дозе 100мг/кг. Третья группа де</w:t>
      </w:r>
      <w:r>
        <w:softHyphen/>
        <w:t>гельминтизации не подвергалась и служила контролем.</w:t>
      </w:r>
    </w:p>
    <w:p w:rsidR="00F4654E" w:rsidRDefault="00F4654E">
      <w:pPr>
        <w:pStyle w:val="a6"/>
      </w:pPr>
      <w:r>
        <w:t>По окончании эксперимента мышей подопытных и контрольной групп забивали, подсчитывали число гельминтов в каждой группе и выводили показатели экстенсэффективности (ЭЭ) и интенсэффективности (ИЭ).</w:t>
      </w:r>
    </w:p>
    <w:p w:rsidR="00F4654E" w:rsidRDefault="00F4654E">
      <w:pPr>
        <w:pStyle w:val="a6"/>
      </w:pPr>
      <w:r>
        <w:t>Результаты опытов показали, что все контрольные мыши оказа</w:t>
      </w:r>
      <w:r>
        <w:softHyphen/>
        <w:t>лись инвазированными Н.nаnа, их суммарное количество составило 32 экзем</w:t>
      </w:r>
      <w:r>
        <w:t>п</w:t>
      </w:r>
      <w:r>
        <w:t>ляра. Губемедол вызывает умеренное беспокойство живот</w:t>
      </w:r>
      <w:r>
        <w:softHyphen/>
        <w:t>ных, которое проходит на следующий день, но отмечается частая дефекация с выдел</w:t>
      </w:r>
      <w:r>
        <w:t>е</w:t>
      </w:r>
      <w:r>
        <w:t>нием полужидкой каловой массы. При гельминто</w:t>
      </w:r>
      <w:r>
        <w:softHyphen/>
        <w:t>логическом вскрытии кишечника гименолепиды не обнаружены, что подтверждает 100%-ную эффективность губемедола.</w:t>
      </w:r>
    </w:p>
    <w:p w:rsidR="00F4654E" w:rsidRDefault="00F4654E">
      <w:pPr>
        <w:pStyle w:val="a6"/>
      </w:pPr>
      <w:r>
        <w:t>Сульфат меди в дозе 100мг/кг вызвал резкое угнетение общего с</w:t>
      </w:r>
      <w:r>
        <w:t>о</w:t>
      </w:r>
      <w:r>
        <w:t>стояния животных, отсутствие аппетита, снижение двигательной активн</w:t>
      </w:r>
      <w:r>
        <w:t>о</w:t>
      </w:r>
      <w:r>
        <w:t>сти и гибель двух мышей из шести дегельминтиэированных. ЭЭ сульфата меди равнялось 50%, а ИЭ составила 53,1%.</w:t>
      </w:r>
    </w:p>
    <w:p w:rsidR="00F4654E" w:rsidRPr="00414261" w:rsidRDefault="00F4654E">
      <w:pPr>
        <w:pStyle w:val="a6"/>
        <w:rPr>
          <w:spacing w:val="-2"/>
        </w:rPr>
      </w:pPr>
      <w:r w:rsidRPr="00414261">
        <w:rPr>
          <w:spacing w:val="-2"/>
        </w:rPr>
        <w:t>Таким образом, на основе гуминовых кислот осуществлен синтез н</w:t>
      </w:r>
      <w:r w:rsidRPr="00414261">
        <w:rPr>
          <w:spacing w:val="-2"/>
        </w:rPr>
        <w:t>о</w:t>
      </w:r>
      <w:r w:rsidRPr="00414261">
        <w:rPr>
          <w:spacing w:val="-2"/>
        </w:rPr>
        <w:t>вых препаратов, относящихся к классу среднетоксичных соедине</w:t>
      </w:r>
      <w:r w:rsidRPr="00414261">
        <w:rPr>
          <w:spacing w:val="-2"/>
        </w:rPr>
        <w:softHyphen/>
        <w:t>ний, кот</w:t>
      </w:r>
      <w:r w:rsidRPr="00414261">
        <w:rPr>
          <w:spacing w:val="-2"/>
        </w:rPr>
        <w:t>о</w:t>
      </w:r>
      <w:r w:rsidRPr="00414261">
        <w:rPr>
          <w:spacing w:val="-2"/>
        </w:rPr>
        <w:t>рые проявляют высокую антигельминтную эффективность при гименолеп</w:t>
      </w:r>
      <w:r w:rsidRPr="00414261">
        <w:rPr>
          <w:spacing w:val="-2"/>
        </w:rPr>
        <w:t>и</w:t>
      </w:r>
      <w:r w:rsidRPr="00414261">
        <w:rPr>
          <w:spacing w:val="-2"/>
        </w:rPr>
        <w:t>дозе белых мышей, не оказывая вредного влияния на ор</w:t>
      </w:r>
      <w:r w:rsidRPr="00414261">
        <w:rPr>
          <w:spacing w:val="-2"/>
        </w:rPr>
        <w:softHyphen/>
        <w:t>ганизм живо</w:t>
      </w:r>
      <w:r w:rsidRPr="00414261">
        <w:rPr>
          <w:spacing w:val="-2"/>
        </w:rPr>
        <w:t>т</w:t>
      </w:r>
      <w:r w:rsidRPr="00414261">
        <w:rPr>
          <w:spacing w:val="-2"/>
        </w:rPr>
        <w:t>ных.</w:t>
      </w:r>
    </w:p>
    <w:p w:rsidR="00F4654E" w:rsidRDefault="00F4654E">
      <w:pPr>
        <w:pStyle w:val="a4"/>
      </w:pPr>
      <w:r>
        <w:t>УДК 619:614.48:616.98:579.8</w:t>
      </w:r>
    </w:p>
    <w:p w:rsidR="00F4654E" w:rsidRDefault="00F4654E">
      <w:pPr>
        <w:pStyle w:val="1"/>
      </w:pPr>
      <w:bookmarkStart w:id="1916" w:name="_Toc10731261"/>
      <w:bookmarkStart w:id="1917" w:name="_Toc10731922"/>
      <w:bookmarkStart w:id="1918" w:name="_Toc10891769"/>
      <w:bookmarkStart w:id="1919" w:name="_Toc10892444"/>
      <w:bookmarkStart w:id="1920" w:name="_Toc11390307"/>
      <w:bookmarkStart w:id="1921" w:name="_Toc11839988"/>
      <w:bookmarkStart w:id="1922" w:name="_Toc11937524"/>
      <w:r>
        <w:t xml:space="preserve">Пенообразующее дезинфицирующее средство </w:t>
      </w:r>
      <w:r>
        <w:br/>
        <w:t>для птицеводства</w:t>
      </w:r>
      <w:bookmarkEnd w:id="1916"/>
      <w:bookmarkEnd w:id="1917"/>
      <w:bookmarkEnd w:id="1918"/>
      <w:bookmarkEnd w:id="1919"/>
      <w:bookmarkEnd w:id="1920"/>
      <w:bookmarkEnd w:id="1921"/>
      <w:bookmarkEnd w:id="1922"/>
    </w:p>
    <w:p w:rsidR="00F4654E" w:rsidRDefault="00F4654E">
      <w:pPr>
        <w:pStyle w:val="2"/>
      </w:pPr>
      <w:bookmarkStart w:id="1923" w:name="_Toc10731262"/>
      <w:bookmarkStart w:id="1924" w:name="_Toc10731923"/>
      <w:bookmarkStart w:id="1925" w:name="_Toc10891770"/>
      <w:bookmarkStart w:id="1926" w:name="_Toc10892445"/>
      <w:bookmarkStart w:id="1927" w:name="_Toc11390308"/>
      <w:bookmarkStart w:id="1928" w:name="_Toc11937525"/>
      <w:r>
        <w:t>Зарипов  М.Р.</w:t>
      </w:r>
      <w:bookmarkEnd w:id="1923"/>
      <w:bookmarkEnd w:id="1924"/>
      <w:bookmarkEnd w:id="1925"/>
      <w:bookmarkEnd w:id="1926"/>
      <w:bookmarkEnd w:id="1927"/>
      <w:bookmarkEnd w:id="1928"/>
    </w:p>
    <w:p w:rsidR="00F4654E" w:rsidRDefault="00F4654E">
      <w:pPr>
        <w:pStyle w:val="a5"/>
      </w:pPr>
      <w:r>
        <w:t>Всероссийский научно-исследовательский ветеринарный институт</w:t>
      </w:r>
    </w:p>
    <w:p w:rsidR="00F4654E" w:rsidRDefault="00F4654E">
      <w:pPr>
        <w:pStyle w:val="a6"/>
      </w:pPr>
      <w:r>
        <w:t>Широкое распространение в последние десятилетия инфекционных заболеваний, имеющих смешанный (бактериально-вирусные, бактериал</w:t>
      </w:r>
      <w:r>
        <w:t>ь</w:t>
      </w:r>
      <w:r>
        <w:lastRenderedPageBreak/>
        <w:t>но-грибковые и т.п.) этиологический характер, требует поиска и разрабо</w:t>
      </w:r>
      <w:r>
        <w:t>т</w:t>
      </w:r>
      <w:r>
        <w:t>ки дезинфектантов на основе высоко эффективных компонентов из ра</w:t>
      </w:r>
      <w:r>
        <w:t>з</w:t>
      </w:r>
      <w:r>
        <w:t>личных классов соединений, обладающих широким спектром бактерици</w:t>
      </w:r>
      <w:r>
        <w:t>д</w:t>
      </w:r>
      <w:r>
        <w:t>ного, вирулицидного и фунгицидного действий.</w:t>
      </w:r>
    </w:p>
    <w:p w:rsidR="00F4654E" w:rsidRDefault="00F4654E">
      <w:pPr>
        <w:pStyle w:val="a6"/>
      </w:pPr>
      <w:r>
        <w:t>Интенсивный поиск таких дезинфектантов ведется среди соединений класса поверхностно-активных веществ в сочетании с общеизвестными средствами, применяемыми для дезинфекции. Предпосылками для разр</w:t>
      </w:r>
      <w:r>
        <w:t>а</w:t>
      </w:r>
      <w:r>
        <w:t>ботки таких комбинаций послужило обнаружение у поверхностно-активных соединений качеств, характерных для биоцидов.</w:t>
      </w:r>
    </w:p>
    <w:p w:rsidR="00F4654E" w:rsidRDefault="00F4654E">
      <w:pPr>
        <w:pStyle w:val="a6"/>
      </w:pPr>
      <w:r>
        <w:t>Исходя из этого, нами разработан препарат "Глуфар", представля</w:t>
      </w:r>
      <w:r>
        <w:t>ю</w:t>
      </w:r>
      <w:r>
        <w:t>щий собой композицию водного раствора глутарового альдегида и четве</w:t>
      </w:r>
      <w:r>
        <w:t>р</w:t>
      </w:r>
      <w:r>
        <w:t>тичного аммониевого соединения – N</w:t>
      </w:r>
      <w:r>
        <w:rPr>
          <w:vertAlign w:val="subscript"/>
        </w:rPr>
        <w:t>1</w:t>
      </w:r>
      <w:r>
        <w:t>N-диметил-N-алкил-N-(изононил-феноксиполи (этиленокси)карбонилметил)аммоний хлорид, являющегося поверхностно-активным веществом.</w:t>
      </w:r>
    </w:p>
    <w:p w:rsidR="00F4654E" w:rsidRDefault="00F4654E">
      <w:pPr>
        <w:pStyle w:val="a6"/>
      </w:pPr>
      <w:r>
        <w:t>Лабораторными испытаниями установлена высокая биологическая а</w:t>
      </w:r>
      <w:r>
        <w:t>к</w:t>
      </w:r>
      <w:r>
        <w:t>тивность препарата в отношении бактерий, вирусов, хламидий и грибов. Препарат обладает пенообразующими свойствами и низкой коррозийной активностью.</w:t>
      </w:r>
    </w:p>
    <w:p w:rsidR="00F4654E" w:rsidRDefault="00F4654E">
      <w:pPr>
        <w:pStyle w:val="a6"/>
      </w:pPr>
      <w:r>
        <w:t>Цель данной работы – оценка эффективности влажной дезинфекции птичников в производственных условиях.</w:t>
      </w:r>
    </w:p>
    <w:p w:rsidR="00F4654E" w:rsidRDefault="00F4654E">
      <w:pPr>
        <w:pStyle w:val="a6"/>
      </w:pPr>
      <w:r>
        <w:t>Исследования проводились согласно "Методики проведения прои</w:t>
      </w:r>
      <w:r>
        <w:t>з</w:t>
      </w:r>
      <w:r>
        <w:t>водственных испытаний по оценке влажной дезинфекции птичников пен</w:t>
      </w:r>
      <w:r>
        <w:t>о</w:t>
      </w:r>
      <w:r>
        <w:t>образующими препаратами "Натамин", "Глуфар" при содержании мато</w:t>
      </w:r>
      <w:r>
        <w:t>ч</w:t>
      </w:r>
      <w:r>
        <w:t>ного поголовья кур бройлерного и яичного направления".</w:t>
      </w:r>
    </w:p>
    <w:p w:rsidR="00F4654E" w:rsidRDefault="00F4654E">
      <w:pPr>
        <w:pStyle w:val="a6"/>
      </w:pPr>
      <w:r>
        <w:t>Препарат применяли в концентрации 3% при экспозиции 2 и 24 часа. При применении препарата учитывали технологический цикл проведения ветеринарно-санитарных мероприятий, принятых на птицефабрике. При проведении влажной дезинфекции препаратом "Глуфар" наряду с контр</w:t>
      </w:r>
      <w:r>
        <w:t>о</w:t>
      </w:r>
      <w:r>
        <w:t>лем влажной дезинфекции проведена оценка санации воздушной среды птичников при влажной дезинфекции методом седиментации; при этом учитывали общую бактериальную и грибковую обсемененность.</w:t>
      </w:r>
    </w:p>
    <w:p w:rsidR="00F4654E" w:rsidRDefault="00F4654E">
      <w:pPr>
        <w:pStyle w:val="a6"/>
      </w:pPr>
      <w:r>
        <w:t>На основании исследований проб, взятых после проведения дези</w:t>
      </w:r>
      <w:r>
        <w:t>н</w:t>
      </w:r>
      <w:r>
        <w:t xml:space="preserve">фекции препаратом "Глуфар", следует констатировать, что дезинфекция проведена качественно. В пробах, взятых после проведения дезинфекции, ни в одном случае не выявлено роста E.coli, Staphilococcus aureus, бактерий типа Bacilus и также грибов. </w:t>
      </w:r>
    </w:p>
    <w:p w:rsidR="00F4654E" w:rsidRDefault="00F4654E">
      <w:pPr>
        <w:pStyle w:val="a6"/>
      </w:pPr>
      <w:r>
        <w:t>Результаты проведенных исследований свидетельствуют о том, что препарат "Глуфар" при проведении влажной дезинфекции санирует во</w:t>
      </w:r>
      <w:r>
        <w:t>з</w:t>
      </w:r>
      <w:r>
        <w:t>душную среду птичников; при этом процент снижения общей бактериал</w:t>
      </w:r>
      <w:r>
        <w:t>ь</w:t>
      </w:r>
      <w:r>
        <w:t>ной обсемененности при выращивании маточного поголовья кур яичного направления составляет 92,6%, грибковой – 90,8%; при выращивании м</w:t>
      </w:r>
      <w:r>
        <w:t>а</w:t>
      </w:r>
      <w:r>
        <w:t>точного поголовья кур бройлерного направления – на 90,4 и 87,9% соо</w:t>
      </w:r>
      <w:r>
        <w:t>т</w:t>
      </w:r>
      <w:r>
        <w:t>ветственно. Экспозиция 2 часа. При взятии проб воздуха через 24 часа н</w:t>
      </w:r>
      <w:r>
        <w:t>а</w:t>
      </w:r>
      <w:r>
        <w:lastRenderedPageBreak/>
        <w:t>блюдается дальнейшее снижение обсемененности воздушной среды – на 93,2; 91,1; 91,3 и 89,1% соответственно.</w:t>
      </w:r>
    </w:p>
    <w:p w:rsidR="00F4654E" w:rsidRDefault="00F4654E">
      <w:pPr>
        <w:pStyle w:val="a6"/>
      </w:pPr>
      <w:r>
        <w:t>Таким образом, на основании проведенных исследований установл</w:t>
      </w:r>
      <w:r>
        <w:t>е</w:t>
      </w:r>
      <w:r>
        <w:t>но, что применение препарата "Глуфар" в качестве дезинфицирующего средства обеспечивает качественную дезинфекцию цехов при выращив</w:t>
      </w:r>
      <w:r>
        <w:t>а</w:t>
      </w:r>
      <w:r>
        <w:t>нии маточн</w:t>
      </w:r>
      <w:r>
        <w:t>о</w:t>
      </w:r>
      <w:r>
        <w:t>го поголовья кур яичного и бройлерного направления. Кроме того, при этом происходит эффективная санация воздушной среды пти</w:t>
      </w:r>
      <w:r>
        <w:t>ч</w:t>
      </w:r>
      <w:r>
        <w:t xml:space="preserve">ников. </w:t>
      </w:r>
    </w:p>
    <w:p w:rsidR="00F4654E" w:rsidRDefault="00F4654E">
      <w:pPr>
        <w:pStyle w:val="a4"/>
      </w:pPr>
      <w:r>
        <w:t>УДК 619:616.981.49]:636.934.2.053</w:t>
      </w:r>
    </w:p>
    <w:p w:rsidR="00F4654E" w:rsidRDefault="00F4654E">
      <w:pPr>
        <w:pStyle w:val="1"/>
      </w:pPr>
      <w:bookmarkStart w:id="1929" w:name="_Toc10731263"/>
      <w:bookmarkStart w:id="1930" w:name="_Toc10731924"/>
      <w:bookmarkStart w:id="1931" w:name="_Toc10891771"/>
      <w:bookmarkStart w:id="1932" w:name="_Toc10892446"/>
      <w:bookmarkStart w:id="1933" w:name="_Toc11390309"/>
      <w:bookmarkStart w:id="1934" w:name="_Toc11839990"/>
      <w:bookmarkStart w:id="1935" w:name="_Toc11937526"/>
      <w:r>
        <w:t>ВСПЫШКА САЛЬМОНЕЛЛЕЗА СРЕДИ ЩЕНКОВ СЕРЕБРИСТО-ЧЕРНЫХ ЛИСИЦ</w:t>
      </w:r>
      <w:bookmarkEnd w:id="1929"/>
      <w:bookmarkEnd w:id="1930"/>
      <w:bookmarkEnd w:id="1931"/>
      <w:bookmarkEnd w:id="1932"/>
      <w:bookmarkEnd w:id="1933"/>
      <w:bookmarkEnd w:id="1934"/>
      <w:bookmarkEnd w:id="1935"/>
    </w:p>
    <w:p w:rsidR="00F4654E" w:rsidRDefault="00F4654E">
      <w:pPr>
        <w:pStyle w:val="2"/>
      </w:pPr>
      <w:bookmarkStart w:id="1936" w:name="_Toc10731264"/>
      <w:bookmarkStart w:id="1937" w:name="_Toc10731925"/>
      <w:bookmarkStart w:id="1938" w:name="_Toc10891772"/>
      <w:bookmarkStart w:id="1939" w:name="_Toc10892447"/>
      <w:bookmarkStart w:id="1940" w:name="_Toc11390310"/>
      <w:bookmarkStart w:id="1941" w:name="_Toc11937527"/>
      <w:r>
        <w:t>Зернов К.О.</w:t>
      </w:r>
      <w:bookmarkEnd w:id="1936"/>
      <w:bookmarkEnd w:id="1937"/>
      <w:bookmarkEnd w:id="1938"/>
      <w:bookmarkEnd w:id="1939"/>
      <w:bookmarkEnd w:id="1940"/>
      <w:bookmarkEnd w:id="1941"/>
    </w:p>
    <w:p w:rsidR="00F4654E" w:rsidRDefault="00F4654E">
      <w:pPr>
        <w:pStyle w:val="a5"/>
      </w:pPr>
      <w:r>
        <w:t>Воронежский государственный аграрный университет им. К.Д. Глинки</w:t>
      </w:r>
    </w:p>
    <w:p w:rsidR="00F4654E" w:rsidRDefault="00F4654E">
      <w:pPr>
        <w:pStyle w:val="a6"/>
      </w:pPr>
      <w:r>
        <w:t>Пушное клеточное звероводство является одной из важнейших отра</w:t>
      </w:r>
      <w:r>
        <w:t>с</w:t>
      </w:r>
      <w:r>
        <w:t>лей животноводства. Однако на сегодняшний день промышленное звер</w:t>
      </w:r>
      <w:r>
        <w:t>о</w:t>
      </w:r>
      <w:r>
        <w:t>водство, как и другие отрасли народного хозяйства, пребывает в упадке. В связи с нехваткой средств финансирования не проводятся все профилакт</w:t>
      </w:r>
      <w:r>
        <w:t>и</w:t>
      </w:r>
      <w:r>
        <w:t>ческие мероприятия, а также рацион кормления не только не сбалансир</w:t>
      </w:r>
      <w:r>
        <w:t>о</w:t>
      </w:r>
      <w:r>
        <w:t>ван практически по всем питательным веществам, но и часто применяются корма, не удовлетворяющие ветеринарно-санитарным требованиям. Все эти отрицательные стороны нынешнего положения звероводства приводят к тому, что в последние годы приобретают все большее значение такие б</w:t>
      </w:r>
      <w:r>
        <w:t>о</w:t>
      </w:r>
      <w:r>
        <w:t>лезни как сальмонеллез и колибактериоз.</w:t>
      </w:r>
    </w:p>
    <w:p w:rsidR="00F4654E" w:rsidRDefault="00F4654E">
      <w:pPr>
        <w:pStyle w:val="a6"/>
      </w:pPr>
      <w:r>
        <w:t>Сальмонеллез – инфекционная болезнь многих видов животных, в том числе и пушных зверей, вызываемая сальмонеллами и характеризующаяся лихорадкой, расстройством функций пищеварительного тракта, быстрой потерей массы тела, сопровождающаяся увеличением селезенки и деген</w:t>
      </w:r>
      <w:r>
        <w:t>е</w:t>
      </w:r>
      <w:r>
        <w:t>ративными изменениями печени, почек и других органов. Сальмонеллез серебристо-черных лисиц как самостоятельное заболевание был впервые описан в 1930 году. Сальмонеллы широко распространены в природе, об</w:t>
      </w:r>
      <w:r>
        <w:t>и</w:t>
      </w:r>
      <w:r>
        <w:t>тают в кишечнике здоровых животных и являются условно-патогенными микроорганизмами, способными вызывать болезнь при снижении естес</w:t>
      </w:r>
      <w:r>
        <w:t>т</w:t>
      </w:r>
      <w:r>
        <w:t>венной сопротивляемости организма. Для возбудителя характерна высокая степень изменчивости патогенных, морфологических, культуральных и а</w:t>
      </w:r>
      <w:r>
        <w:t>н</w:t>
      </w:r>
      <w:r>
        <w:t>тигенных свойств. Штаммы сальмонелл, выделенные от пушных зверей, по свойствам не отличаются от выделенных от сельскохозяйственных ж</w:t>
      </w:r>
      <w:r>
        <w:t>и</w:t>
      </w:r>
      <w:r>
        <w:t>вотных. За редким исключением удается получить от пушных зверей ант</w:t>
      </w:r>
      <w:r>
        <w:t>и</w:t>
      </w:r>
      <w:r>
        <w:t>генные культуры, несколько отличающиеся по биохимическим и культ</w:t>
      </w:r>
      <w:r>
        <w:t>у</w:t>
      </w:r>
      <w:r>
        <w:t>ральным свойствам от штаммов, выделенных от других животных. Бакт</w:t>
      </w:r>
      <w:r>
        <w:t>е</w:t>
      </w:r>
      <w:r>
        <w:t>рии культивируются на обычных питательных средах, вырабатывают то</w:t>
      </w:r>
      <w:r>
        <w:t>к</w:t>
      </w:r>
      <w:r>
        <w:t>сины. По данным специалистов ВНИИОЗ при бактериологическом иссл</w:t>
      </w:r>
      <w:r>
        <w:t>е</w:t>
      </w:r>
      <w:r>
        <w:lastRenderedPageBreak/>
        <w:t>довании патматериала от заболевших зверей чаще всего выделяли: S. enteritidis – 60% случаев, S. cholerae suis и S. typhi</w:t>
      </w:r>
      <w:r w:rsidR="007A098E" w:rsidRPr="007A098E">
        <w:t xml:space="preserve"> </w:t>
      </w:r>
      <w:r>
        <w:t>murium – 25-30%.</w:t>
      </w:r>
    </w:p>
    <w:p w:rsidR="00F4654E" w:rsidRDefault="00F4654E">
      <w:pPr>
        <w:pStyle w:val="a6"/>
      </w:pPr>
      <w:r>
        <w:t>В 2000 году мы наблюдали вспышку сальмонеллеза среди щенков с</w:t>
      </w:r>
      <w:r>
        <w:t>е</w:t>
      </w:r>
      <w:r>
        <w:t>ребристо-черных лисиц ОАО «Сомовское», которая сопровождалась заб</w:t>
      </w:r>
      <w:r>
        <w:t>о</w:t>
      </w:r>
      <w:r>
        <w:t>леванием щенков в возрасте от трех до тридцати дней. Из 8412 заболело 3507 щенков, пало 2985. Болезнь сопровождалась угнетением, слабостью, отказом от корма, повышением температуры тела, истощением, диареей, парезом задних конечностей. В помете заболевали более слабые от рожд</w:t>
      </w:r>
      <w:r>
        <w:t>е</w:t>
      </w:r>
      <w:r>
        <w:t>ния щенки. Гибель наступала на 3-4 день от начала болезни. При патолог</w:t>
      </w:r>
      <w:r>
        <w:t>о</w:t>
      </w:r>
      <w:r>
        <w:t>анатомическом исследовании было обнаружено, что трупы щенков ист</w:t>
      </w:r>
      <w:r>
        <w:t>о</w:t>
      </w:r>
      <w:r>
        <w:t>щены, наблюдаются признаки обезвоживания, шерстный покров испачкан каловыми массами, от самих животных неприятный запах. При вскрытии диагностированы катаральный и катарально-геморрагический энтерит, дистрофические изменения печени и почек, увеличение селезенки. Бакт</w:t>
      </w:r>
      <w:r>
        <w:t>е</w:t>
      </w:r>
      <w:r>
        <w:t>риологическими исследованиями патологического материала от 12 павших щенков возбудителя выделить не удалось, так как проводилась интенси</w:t>
      </w:r>
      <w:r>
        <w:t>в</w:t>
      </w:r>
      <w:r>
        <w:t>ная терапия с использованием антитоксической сыворотки против сальм</w:t>
      </w:r>
      <w:r>
        <w:t>о</w:t>
      </w:r>
      <w:r>
        <w:t>неллеза и колибактериоза, а также комплексных антибиотиков широкого спектра: «Левотетрасульфин», «Левоэритроциклин», «Урзофеникол». При исследовании двух щенков, убитых в предагональном состоянии была в</w:t>
      </w:r>
      <w:r>
        <w:t>ы</w:t>
      </w:r>
      <w:r>
        <w:t>делена S. dublin. При этом возбудитель был изолирован из сердца, печени, селезенки, почки, лимфатических узлов и головного мозга. Выделенная культура сальмонелл была чувствительна к полимиксину, гентамицину, левомицитину и не чувствительна к фурацилину, пенициллину, тетраци</w:t>
      </w:r>
      <w:r>
        <w:t>к</w:t>
      </w:r>
      <w:r>
        <w:t>лину и стрептомицину.</w:t>
      </w:r>
    </w:p>
    <w:p w:rsidR="00F4654E" w:rsidRDefault="00F4654E">
      <w:pPr>
        <w:pStyle w:val="a6"/>
      </w:pPr>
      <w:r>
        <w:t>При изучении ветеринарной документации предприятия за предыд</w:t>
      </w:r>
      <w:r>
        <w:t>у</w:t>
      </w:r>
      <w:r>
        <w:t>щие годы нами было установлено, S. dublin ранее выделялась в 1992 году и была чувствительна к левомицетину, тетрациклину и умеренно устойчива к полимиксину.</w:t>
      </w:r>
    </w:p>
    <w:p w:rsidR="00F4654E" w:rsidRDefault="00F4654E">
      <w:pPr>
        <w:pStyle w:val="a6"/>
      </w:pPr>
      <w:r>
        <w:t>Таким образом, сальмонеллез среди щенков серебристо-черных л</w:t>
      </w:r>
      <w:r>
        <w:t>и</w:t>
      </w:r>
      <w:r>
        <w:t>сиц, вызванной S. dublin сопровождается высокой заболеваемостью – 41,69% и летальностью – 85,12%, что указывает на необходимость разр</w:t>
      </w:r>
      <w:r>
        <w:t>а</w:t>
      </w:r>
      <w:r>
        <w:t>ботки более эффективных мер профилактики этого заболевания.</w:t>
      </w:r>
    </w:p>
    <w:p w:rsidR="00F4654E" w:rsidRDefault="00F4654E">
      <w:pPr>
        <w:pStyle w:val="a4"/>
      </w:pPr>
      <w:r>
        <w:t>УДК 619:615.371:244:636.934.2</w:t>
      </w:r>
    </w:p>
    <w:p w:rsidR="00F4654E" w:rsidRDefault="00F4654E">
      <w:pPr>
        <w:pStyle w:val="1"/>
      </w:pPr>
      <w:bookmarkStart w:id="1942" w:name="_Toc10731265"/>
      <w:bookmarkStart w:id="1943" w:name="_Toc10731926"/>
      <w:bookmarkStart w:id="1944" w:name="_Toc10891773"/>
      <w:bookmarkStart w:id="1945" w:name="_Toc10892448"/>
      <w:bookmarkStart w:id="1946" w:name="_Toc11390311"/>
      <w:bookmarkStart w:id="1947" w:name="_Toc11839992"/>
      <w:bookmarkStart w:id="1948" w:name="_Toc11937528"/>
      <w:r>
        <w:t>ВЛИЯНИЕ ВАКЦИНАЦИИ, ИММУНОМОДУЛЯТОРА ТИМОГЕН И ГЕПАТОТРОПНЫХ ПРЕПАРАТОВ (ЭНДОВИТА И ЛИПАМИДА) НА СЕРЕБРИСТО-ЧЕРНЫХ ЛИСИЦ</w:t>
      </w:r>
      <w:bookmarkEnd w:id="1942"/>
      <w:bookmarkEnd w:id="1943"/>
      <w:bookmarkEnd w:id="1944"/>
      <w:bookmarkEnd w:id="1945"/>
      <w:bookmarkEnd w:id="1946"/>
      <w:bookmarkEnd w:id="1947"/>
      <w:bookmarkEnd w:id="1948"/>
    </w:p>
    <w:p w:rsidR="00F4654E" w:rsidRDefault="00F4654E">
      <w:pPr>
        <w:pStyle w:val="2"/>
      </w:pPr>
      <w:bookmarkStart w:id="1949" w:name="_Toc10731266"/>
      <w:bookmarkStart w:id="1950" w:name="_Toc10731927"/>
      <w:bookmarkStart w:id="1951" w:name="_Toc10891774"/>
      <w:bookmarkStart w:id="1952" w:name="_Toc10892449"/>
      <w:bookmarkStart w:id="1953" w:name="_Toc11390312"/>
      <w:bookmarkStart w:id="1954" w:name="_Toc11937529"/>
      <w:r>
        <w:t>Зернов К.О., Ефанова Л.И.</w:t>
      </w:r>
      <w:bookmarkEnd w:id="1949"/>
      <w:bookmarkEnd w:id="1950"/>
      <w:bookmarkEnd w:id="1951"/>
      <w:bookmarkEnd w:id="1952"/>
      <w:bookmarkEnd w:id="1953"/>
      <w:bookmarkEnd w:id="1954"/>
    </w:p>
    <w:p w:rsidR="00F4654E" w:rsidRDefault="00F4654E">
      <w:pPr>
        <w:pStyle w:val="a5"/>
      </w:pPr>
      <w:r>
        <w:t>Воронежский государственный аграрный университет им. К.Д. Глинки</w:t>
      </w:r>
    </w:p>
    <w:p w:rsidR="00F4654E" w:rsidRPr="00414261" w:rsidRDefault="00F4654E">
      <w:pPr>
        <w:pStyle w:val="a6"/>
        <w:rPr>
          <w:spacing w:val="-2"/>
        </w:rPr>
      </w:pPr>
      <w:r w:rsidRPr="00414261">
        <w:rPr>
          <w:spacing w:val="-2"/>
        </w:rPr>
        <w:t>В феврале – мае 2001 году в ОАО «Сомовское» нами было проведено изучение влияния вакцинации с тимогеном и иммунизации на фоне прим</w:t>
      </w:r>
      <w:r w:rsidRPr="00414261">
        <w:rPr>
          <w:spacing w:val="-2"/>
        </w:rPr>
        <w:t>е</w:t>
      </w:r>
      <w:r w:rsidRPr="00414261">
        <w:rPr>
          <w:spacing w:val="-2"/>
        </w:rPr>
        <w:lastRenderedPageBreak/>
        <w:t>нения лисицам гепатотропных препаратов – эндовита и липамида, на мо</w:t>
      </w:r>
      <w:r w:rsidRPr="00414261">
        <w:rPr>
          <w:spacing w:val="-2"/>
        </w:rPr>
        <w:t>р</w:t>
      </w:r>
      <w:r w:rsidRPr="00414261">
        <w:rPr>
          <w:spacing w:val="-2"/>
        </w:rPr>
        <w:t>фологические, иммунологические и биохимические показатели крови. Пр</w:t>
      </w:r>
      <w:r w:rsidRPr="00414261">
        <w:rPr>
          <w:spacing w:val="-2"/>
        </w:rPr>
        <w:t>и</w:t>
      </w:r>
      <w:r w:rsidRPr="00414261">
        <w:rPr>
          <w:spacing w:val="-2"/>
        </w:rPr>
        <w:t>мен</w:t>
      </w:r>
      <w:r w:rsidRPr="00414261">
        <w:rPr>
          <w:spacing w:val="-2"/>
        </w:rPr>
        <w:t>е</w:t>
      </w:r>
      <w:r w:rsidRPr="00414261">
        <w:rPr>
          <w:spacing w:val="-2"/>
        </w:rPr>
        <w:t>ние гепатотропных препаратов было обусловлено тем, что при ранее пров</w:t>
      </w:r>
      <w:r w:rsidRPr="00414261">
        <w:rPr>
          <w:spacing w:val="-2"/>
        </w:rPr>
        <w:t>е</w:t>
      </w:r>
      <w:r w:rsidRPr="00414261">
        <w:rPr>
          <w:spacing w:val="-2"/>
        </w:rPr>
        <w:t>денном патологоанатомическом исследовании 260 серебристо-черных лисиц хозяйства было диагностировано инфильтративное ожир</w:t>
      </w:r>
      <w:r w:rsidRPr="00414261">
        <w:rPr>
          <w:spacing w:val="-2"/>
        </w:rPr>
        <w:t>е</w:t>
      </w:r>
      <w:r w:rsidRPr="00414261">
        <w:rPr>
          <w:spacing w:val="-2"/>
        </w:rPr>
        <w:t>ние печени в различной степени развития у 67,0% обследованных животных, не име</w:t>
      </w:r>
      <w:r w:rsidRPr="00414261">
        <w:rPr>
          <w:spacing w:val="-2"/>
        </w:rPr>
        <w:t>ю</w:t>
      </w:r>
      <w:r w:rsidRPr="00414261">
        <w:rPr>
          <w:spacing w:val="-2"/>
        </w:rPr>
        <w:t>щих клинического проявления заболевания. Используемая вакцина изгото</w:t>
      </w:r>
      <w:r w:rsidRPr="00414261">
        <w:rPr>
          <w:spacing w:val="-2"/>
        </w:rPr>
        <w:t>в</w:t>
      </w:r>
      <w:r w:rsidRPr="00414261">
        <w:rPr>
          <w:spacing w:val="-2"/>
        </w:rPr>
        <w:t>лена ФГУП «Покровский завод биопрепаратов» ООО «А</w:t>
      </w:r>
      <w:r w:rsidRPr="00414261">
        <w:rPr>
          <w:spacing w:val="-2"/>
        </w:rPr>
        <w:t>г</w:t>
      </w:r>
      <w:r w:rsidRPr="00414261">
        <w:rPr>
          <w:spacing w:val="-2"/>
        </w:rPr>
        <w:t>ровет» серия №9 контроль №9, срок годности до мая 2001 года, содержит антигены к возб</w:t>
      </w:r>
      <w:r w:rsidRPr="00414261">
        <w:rPr>
          <w:spacing w:val="-2"/>
        </w:rPr>
        <w:t>у</w:t>
      </w:r>
      <w:r w:rsidRPr="00414261">
        <w:rPr>
          <w:spacing w:val="-2"/>
        </w:rPr>
        <w:t>дителям колибактериоза, сальмонеллеза, клебсиеллеза и протейной инфе</w:t>
      </w:r>
      <w:r w:rsidRPr="00414261">
        <w:rPr>
          <w:spacing w:val="-2"/>
        </w:rPr>
        <w:t>к</w:t>
      </w:r>
      <w:r w:rsidRPr="00414261">
        <w:rPr>
          <w:spacing w:val="-2"/>
        </w:rPr>
        <w:t>ции м</w:t>
      </w:r>
      <w:r w:rsidRPr="00414261">
        <w:rPr>
          <w:spacing w:val="-2"/>
        </w:rPr>
        <w:t>о</w:t>
      </w:r>
      <w:r w:rsidRPr="00414261">
        <w:rPr>
          <w:spacing w:val="-2"/>
        </w:rPr>
        <w:t>лодняка с/х животных и пушных зверей (вакцина ОКЗ). Нами были изучены показатели формирования противосальмоне</w:t>
      </w:r>
      <w:r w:rsidRPr="00414261">
        <w:rPr>
          <w:spacing w:val="-2"/>
        </w:rPr>
        <w:t>л</w:t>
      </w:r>
      <w:r w:rsidRPr="00414261">
        <w:rPr>
          <w:spacing w:val="-2"/>
        </w:rPr>
        <w:t>лезного иммунитета. Особое внимание уделено наблюдению за течением беременности, родов и сохранностью щенков в первые 30 дней после ро</w:t>
      </w:r>
      <w:r w:rsidRPr="00414261">
        <w:rPr>
          <w:spacing w:val="-2"/>
        </w:rPr>
        <w:t>ж</w:t>
      </w:r>
      <w:r w:rsidRPr="00414261">
        <w:rPr>
          <w:spacing w:val="-2"/>
        </w:rPr>
        <w:t>дения.</w:t>
      </w:r>
    </w:p>
    <w:p w:rsidR="00F4654E" w:rsidRDefault="00F4654E">
      <w:pPr>
        <w:pStyle w:val="a6"/>
      </w:pPr>
      <w:r>
        <w:t>Опыт был поставлен на 46 клинически здоровых беременных самках, из которых сформировали 5 групп по принципу аналогов. Лисицы первой группы (n = 10) не вакцинировались и содержались на принятом в хозяйс</w:t>
      </w:r>
      <w:r>
        <w:t>т</w:t>
      </w:r>
      <w:r>
        <w:t>ве рационе. Звери второй группы (n = 10) двукратно иммунизировались на 17 и 27 день беременности; вакцина вводилась подкожно в дозе 1,0 мл. Животным третьей группы (n = 10) одновременно с вакциной внутрим</w:t>
      </w:r>
      <w:r>
        <w:t>ы</w:t>
      </w:r>
      <w:r>
        <w:t>шечно вводили 0,01% раствор тимогена в дозе 0,5 мл. Самок четвертой (n = 8) и пятой (n = 8) групп вакцинировали в те же сроки и дополнительно к принятому в хозяйстве рациону самки четвертой группы получали в теч</w:t>
      </w:r>
      <w:r>
        <w:t>е</w:t>
      </w:r>
      <w:r>
        <w:t>ние 30 дней эндовит в суточной дозе 100 мг на животное, а лисицы пятой – липамид в суточной дозе 15 мг на животное. Взятие проб крови для иссл</w:t>
      </w:r>
      <w:r>
        <w:t>е</w:t>
      </w:r>
      <w:r>
        <w:t>дований проводилось перед вакцинацией и на 14 день после второго вв</w:t>
      </w:r>
      <w:r>
        <w:t>е</w:t>
      </w:r>
      <w:r>
        <w:t>дения, то есть за 11 дней до предполагаемой даты щенения.</w:t>
      </w:r>
    </w:p>
    <w:p w:rsidR="00F4654E" w:rsidRDefault="00F4654E">
      <w:pPr>
        <w:pStyle w:val="a6"/>
      </w:pPr>
      <w:r>
        <w:t>При анализе полученных данных через 14 дней после иммунизации беременных лисиц вакциной ОКЗ в условиях, когда у клинически здор</w:t>
      </w:r>
      <w:r>
        <w:t>о</w:t>
      </w:r>
      <w:r>
        <w:t>вых животных имеет место патология печени, ответная реакция организма характеризовалось усилением ФАЛ на 3,4%, увеличением ФЧ на 19,5% (Р</w:t>
      </w:r>
      <w:r>
        <w:sym w:font="Symbol" w:char="F03C"/>
      </w:r>
      <w:r>
        <w:t>0,05), ФИ на 22,4% (Р</w:t>
      </w:r>
      <w:r>
        <w:sym w:font="Symbol" w:char="F03C"/>
      </w:r>
      <w:r>
        <w:t>0,05), ЦИК на 46,3%, незначительным повыш</w:t>
      </w:r>
      <w:r>
        <w:t>е</w:t>
      </w:r>
      <w:r>
        <w:t>нием уровня специфических сальмонеллезных Н- и О-агглютининов, нек</w:t>
      </w:r>
      <w:r>
        <w:t>о</w:t>
      </w:r>
      <w:r>
        <w:t>торым снижением лизоцимной активности сыворотки крови на 23,0% (Р</w:t>
      </w:r>
      <w:r>
        <w:sym w:font="Symbol" w:char="F03C"/>
      </w:r>
      <w:r>
        <w:t>0,05) и количества лимфоцитов на 4,9%. Те же тенденции в ответной реакции организма сохранялись и при иммунизации лисиц с тимогеном. Однако у животных, привитых с тимогеном, несколько выше содержание лимфоцитов (на 3,2%), ФАЛ (на 6,6%), но ниже уровень ЦИК (на 35,5%).</w:t>
      </w:r>
    </w:p>
    <w:p w:rsidR="00F4654E" w:rsidRDefault="00F4654E">
      <w:pPr>
        <w:pStyle w:val="a6"/>
      </w:pPr>
      <w:r>
        <w:t>Под влиянием эндовита и липамида у вакцинированных лисиц сохр</w:t>
      </w:r>
      <w:r>
        <w:t>а</w:t>
      </w:r>
      <w:r>
        <w:t>нялись те же тенденции в изменении иммунологических показателей, о</w:t>
      </w:r>
      <w:r>
        <w:t>д</w:t>
      </w:r>
      <w:r>
        <w:t>нако они имели более выраженный характер. Так спустя 14 дней после вакцинации лисиц на фоне поступления в их организм эндовита и липам</w:t>
      </w:r>
      <w:r>
        <w:t>и</w:t>
      </w:r>
      <w:r>
        <w:t>да, увеличивалось не только ФАЛ (на 6,1% и 5,1% соответственно), дост</w:t>
      </w:r>
      <w:r>
        <w:t>о</w:t>
      </w:r>
      <w:r>
        <w:lastRenderedPageBreak/>
        <w:t>верно снижался уровень ЦИК в сыворотке крови – на 40,2% (Р</w:t>
      </w:r>
      <w:r>
        <w:sym w:font="Symbol" w:char="F03C"/>
      </w:r>
      <w:r>
        <w:t>0,05) и 43,8% (Р</w:t>
      </w:r>
      <w:r>
        <w:sym w:font="Symbol" w:char="F03C"/>
      </w:r>
      <w:r>
        <w:t xml:space="preserve">0,05), но и достоверно повысилось относительное </w:t>
      </w:r>
      <w:r>
        <w:sym w:font="Symbol" w:char="F05B"/>
      </w:r>
      <w:r>
        <w:t>7,0% (Р</w:t>
      </w:r>
      <w:r>
        <w:sym w:font="Symbol" w:char="F03C"/>
      </w:r>
      <w:r>
        <w:t>0,05) и 10,3% (Р</w:t>
      </w:r>
      <w:r>
        <w:sym w:font="Symbol" w:char="F03C"/>
      </w:r>
      <w:r>
        <w:t>0,02)</w:t>
      </w:r>
      <w:r>
        <w:sym w:font="Symbol" w:char="F05D"/>
      </w:r>
      <w:r>
        <w:t xml:space="preserve"> и абсолютное </w:t>
      </w:r>
      <w:r>
        <w:sym w:font="Symbol" w:char="F05B"/>
      </w:r>
      <w:r>
        <w:t>33,3% и 41,7% (Р</w:t>
      </w:r>
      <w:r>
        <w:sym w:font="Symbol" w:char="F03C"/>
      </w:r>
      <w:r>
        <w:t>0,05)</w:t>
      </w:r>
      <w:r>
        <w:sym w:font="Symbol" w:char="F05D"/>
      </w:r>
      <w:r>
        <w:t xml:space="preserve"> содержание ли</w:t>
      </w:r>
      <w:r>
        <w:t>м</w:t>
      </w:r>
      <w:r>
        <w:t xml:space="preserve">фоцитов, лизоцимная активность сыворотки </w:t>
      </w:r>
      <w:r>
        <w:sym w:font="Symbol" w:char="F05B"/>
      </w:r>
      <w:r>
        <w:t>на 33,4% (Р</w:t>
      </w:r>
      <w:r>
        <w:sym w:font="Symbol" w:char="F03C"/>
      </w:r>
      <w:r>
        <w:t>0,05) и 35,1% (Р</w:t>
      </w:r>
      <w:r>
        <w:sym w:font="Symbol" w:char="F03C"/>
      </w:r>
      <w:r>
        <w:t>0,02)</w:t>
      </w:r>
      <w:r>
        <w:sym w:font="Symbol" w:char="F05D"/>
      </w:r>
      <w:r>
        <w:t>. Уровень сывороточных сальмонеллезных агглютининов при этом не отличался у иммунизированных лисиц с тимогеном, эндовитом, липамидом и просто вакцинированных.</w:t>
      </w:r>
    </w:p>
    <w:p w:rsidR="00F4654E" w:rsidRDefault="00F4654E">
      <w:pPr>
        <w:pStyle w:val="a6"/>
      </w:pPr>
      <w:r>
        <w:t>Следовательно, гепатотропные препараты (эндовит и липамид) при наличии у клинически здоровых серебристо-черных лисиц жировой ди</w:t>
      </w:r>
      <w:r>
        <w:t>с</w:t>
      </w:r>
      <w:r>
        <w:t>трофии печени, оказывают более выраженное иммуномодулирующее де</w:t>
      </w:r>
      <w:r>
        <w:t>й</w:t>
      </w:r>
      <w:r>
        <w:t>ствие, чем двукратное введение с вакциной тимогена.</w:t>
      </w:r>
    </w:p>
    <w:p w:rsidR="00F4654E" w:rsidRDefault="00F4654E">
      <w:pPr>
        <w:pStyle w:val="a6"/>
      </w:pPr>
      <w:r>
        <w:t>При этом эндовит и липамид положительно влияют на показатели белкового обмена. Так, на фоне снижения содержания общего белка у б</w:t>
      </w:r>
      <w:r>
        <w:t>е</w:t>
      </w:r>
      <w:r>
        <w:t>ременных лисиц в сыворотке крови, через 14 дней после иммунизации, у животных, получавших эндовит и липамид, оно оказалось минимальным – 3,1% (Р</w:t>
      </w:r>
      <w:r>
        <w:sym w:font="Symbol" w:char="F03C"/>
      </w:r>
      <w:r>
        <w:t>0,05) и 0,8% соответственно, а у привитых с тимогеном макс</w:t>
      </w:r>
      <w:r>
        <w:t>и</w:t>
      </w:r>
      <w:r>
        <w:t>мальным – 12,1% (Р</w:t>
      </w:r>
      <w:r>
        <w:sym w:font="Symbol" w:char="F03C"/>
      </w:r>
      <w:r>
        <w:t>0,001), по сравнению с не вакцинированными лис</w:t>
      </w:r>
      <w:r>
        <w:t>и</w:t>
      </w:r>
      <w:r>
        <w:t>цами-аналогами. Заметное действие оказали гепатотропные препараты на активность ферментов у вакцинированных животных. На фоне увеличения АсАТ, спустя 14 дней после иммунизации, у лисиц, получавших эндовит и липамид (также как и тимоген), активность этого фермента изменилась н</w:t>
      </w:r>
      <w:r>
        <w:t>е</w:t>
      </w:r>
      <w:r>
        <w:t>значительно, по сравнению с просто вакцинированными животными, а а</w:t>
      </w:r>
      <w:r>
        <w:t>к</w:t>
      </w:r>
      <w:r>
        <w:t>тивность АлАТ, содержание билирубина, активность амилазы и показатель тимоловой пробы уменьшились.</w:t>
      </w:r>
    </w:p>
    <w:p w:rsidR="00F4654E" w:rsidRDefault="00F4654E">
      <w:pPr>
        <w:pStyle w:val="a6"/>
      </w:pPr>
      <w:r>
        <w:t>Эндовит, липамид, тимоген оказали влияние на содержание глюкозы в сыворотке крови у иммунизированных лисиц, уровень которой через 14 дней после вакцинации с разной степенью достоверности превышал так</w:t>
      </w:r>
      <w:r>
        <w:t>о</w:t>
      </w:r>
      <w:r>
        <w:t>вой у просто вакцинированных животных.</w:t>
      </w:r>
    </w:p>
    <w:p w:rsidR="00F4654E" w:rsidRDefault="00F4654E">
      <w:pPr>
        <w:pStyle w:val="a6"/>
      </w:pPr>
      <w:r>
        <w:t>При анализе сохранности щенков в первые 30 дней жизни установл</w:t>
      </w:r>
      <w:r>
        <w:t>е</w:t>
      </w:r>
      <w:r>
        <w:t>но, что от животных 1 группы, которая являлась контрольной, было пол</w:t>
      </w:r>
      <w:r>
        <w:t>у</w:t>
      </w:r>
      <w:r>
        <w:t>чено 37 щенков, из них мертворожденных 6 (16,2%); выход живых щенков составил 3,1 на 1 самку. Из родившихся живыми, в течение первых 30 дней жизни в этой группе матерями загрызено 8 щенков, что составило 0,8 ще</w:t>
      </w:r>
      <w:r>
        <w:t>н</w:t>
      </w:r>
      <w:r>
        <w:t>ка на 1 самку (25,8%); количество павших – 6 щенков или 0,6 щенка на 1 самку (19,36%). Таким образом, в данной группе в течение первого месяца жизни общий отход составил 14 щенков или 45,2%, а выход – 17 щенков или 1,7 щенка на 1 самку (54,8 %).</w:t>
      </w:r>
    </w:p>
    <w:p w:rsidR="00F4654E" w:rsidRDefault="00F4654E">
      <w:pPr>
        <w:pStyle w:val="a6"/>
      </w:pPr>
      <w:r>
        <w:t>Во второй группе  было получено 39 щенков, из них 5 (12,8%) оказ</w:t>
      </w:r>
      <w:r>
        <w:t>а</w:t>
      </w:r>
      <w:r>
        <w:t>лись мертворожденными, следовательно, выход составил 3,4 щенка на о</w:t>
      </w:r>
      <w:r>
        <w:t>д</w:t>
      </w:r>
      <w:r>
        <w:t>ну самку. За первые 30 дней жизни у самок этой группы пало 9 (26,5%) и было загрызано матерями 7 (20,6%), общий отход составил 16 щенков или 47,1%, к числу щенков, родившихся живыми. В результате этого сохра</w:t>
      </w:r>
      <w:r>
        <w:t>н</w:t>
      </w:r>
      <w:r>
        <w:lastRenderedPageBreak/>
        <w:t>ность щенков в течение первых 30 дней жизни в этой группе составила 52,9% и было получено 1,8 щенка на одну самку.</w:t>
      </w:r>
    </w:p>
    <w:p w:rsidR="00414261" w:rsidRDefault="00F4654E">
      <w:pPr>
        <w:pStyle w:val="a6"/>
      </w:pPr>
      <w:r>
        <w:t>В третьей группе от лисиц было получено 34 щенка, но 5 щенков (14,7%) были мертворожденными, выход живых щенков составил 2,9 на 1 самку и оказался минимальным среди всех групп. Из числа щенков, р</w:t>
      </w:r>
      <w:r>
        <w:t>о</w:t>
      </w:r>
      <w:r>
        <w:t>дившихся живыми, в первые 30 дней жизни в этой группе пало 6 (20,7%), а мат</w:t>
      </w:r>
      <w:r>
        <w:t>е</w:t>
      </w:r>
      <w:r>
        <w:t>рями было загрызано 8 щенков (27,6%). Все это привело к тому, что общий отход за первые 30 дней составил 14 щенков (48,3%), а сохранность 51,7% и в 30 дневном возрасте получили 15 щенков или 1,5 щенка на 1 самку.</w:t>
      </w:r>
      <w:r w:rsidR="00414261">
        <w:t xml:space="preserve"> </w:t>
      </w:r>
      <w:r>
        <w:t>От лисиц, дополнительно к вакцинации получавших эндовит, род</w:t>
      </w:r>
      <w:r>
        <w:t>и</w:t>
      </w:r>
      <w:r>
        <w:t>лось 34 щенка или 4,25 щенка на 1 самку, но 2 из них (5,9%) были мертв</w:t>
      </w:r>
      <w:r>
        <w:t>о</w:t>
      </w:r>
      <w:r>
        <w:t xml:space="preserve">рожденными. Из родившихся живыми в течение первых 30 дней жизни в этой группе матерями не было загрызано ни одного щенка, а пало 4 (12,5%) или 0,5 щенка на 1 самку. </w:t>
      </w:r>
    </w:p>
    <w:p w:rsidR="00F4654E" w:rsidRDefault="00F4654E">
      <w:pPr>
        <w:pStyle w:val="a6"/>
      </w:pPr>
      <w:r>
        <w:t>Таким образом, сохранность составила – 87,5% или 3,5 щенка на 1 самку. Показатели сохранности и выход щенков на 1 самку в 30 дневном возрасте в этой группе оказались максимальными.</w:t>
      </w:r>
      <w:r w:rsidR="00414261">
        <w:t xml:space="preserve"> </w:t>
      </w:r>
      <w:r>
        <w:t>От животных, дополн</w:t>
      </w:r>
      <w:r>
        <w:t>и</w:t>
      </w:r>
      <w:r>
        <w:t>тельно к вакцинации получавших липамид, получ</w:t>
      </w:r>
      <w:r>
        <w:t>е</w:t>
      </w:r>
      <w:r>
        <w:t>но 29 щенков или 3,63 щенка на 1 самку, но 3 (10,3%) были мертворожденными. В течение пе</w:t>
      </w:r>
      <w:r>
        <w:t>р</w:t>
      </w:r>
      <w:r>
        <w:t>вых 30 дней жизни в этой группе пало 4 щенка (15,4%) и было загрызано матерями 2 (23,1%), а сохранность составила – 76,9%. Тридцатидневного возраста достигло 20 щенков и выход составил 2,5 щенка на 1 самку.</w:t>
      </w:r>
    </w:p>
    <w:p w:rsidR="00F4654E" w:rsidRDefault="00F4654E">
      <w:pPr>
        <w:pStyle w:val="a6"/>
      </w:pPr>
      <w:r>
        <w:t>Следовательно, состояние вторичного иммунодефицита,  развившееся у серебристо-черных лисиц на почве неполноценного кормления и сопр</w:t>
      </w:r>
      <w:r>
        <w:t>о</w:t>
      </w:r>
      <w:r>
        <w:t>вождающееся морфофункциональными изменениями печени, препятствует формированию поствакцинального иммунитета у беременных самок, о</w:t>
      </w:r>
      <w:r>
        <w:t>т</w:t>
      </w:r>
      <w:r>
        <w:t>рицательно влияет на сохранность полученных от них щенков в первые 30 дней жизни. Введение тимогена при вакцинации самок является недост</w:t>
      </w:r>
      <w:r>
        <w:t>а</w:t>
      </w:r>
      <w:r>
        <w:t>точным для коррекции нарушенного иммунного статуса, в то время как г</w:t>
      </w:r>
      <w:r>
        <w:t>е</w:t>
      </w:r>
      <w:r>
        <w:t>патотропные препараты – эндовит и липамид, благоприятно действуют не только на показатели белкового, углеводного обмена, гемопоэз, но и обл</w:t>
      </w:r>
      <w:r>
        <w:t>а</w:t>
      </w:r>
      <w:r>
        <w:t>дают иммуномодулирующим влиянием, что в конечном итоге способств</w:t>
      </w:r>
      <w:r>
        <w:t>у</w:t>
      </w:r>
      <w:r>
        <w:t>ет рождению более жизнеспособного приплода и повышает его сохра</w:t>
      </w:r>
      <w:r>
        <w:t>н</w:t>
      </w:r>
      <w:r>
        <w:t>ность в первые 30 дней жизни.</w:t>
      </w:r>
    </w:p>
    <w:p w:rsidR="00F4654E" w:rsidRDefault="00F4654E">
      <w:pPr>
        <w:pStyle w:val="a4"/>
      </w:pPr>
      <w:r>
        <w:t>УДК 619:618.56:615.244:636.934.57</w:t>
      </w:r>
    </w:p>
    <w:p w:rsidR="00F4654E" w:rsidRDefault="00F4654E">
      <w:pPr>
        <w:pStyle w:val="1"/>
      </w:pPr>
      <w:bookmarkStart w:id="1955" w:name="_Toc10731267"/>
      <w:bookmarkStart w:id="1956" w:name="_Toc10731928"/>
      <w:bookmarkStart w:id="1957" w:name="_Toc10891775"/>
      <w:bookmarkStart w:id="1958" w:name="_Toc10892450"/>
      <w:bookmarkStart w:id="1959" w:name="_Toc11390313"/>
      <w:bookmarkStart w:id="1960" w:name="_Toc11839994"/>
      <w:bookmarkStart w:id="1961" w:name="_Toc11937530"/>
      <w:r>
        <w:t>ВЛИЯНИЕ ДИПРОМОНИЯ И ДИПРОАНЕМИНА НА СОХРАННОСТЬ И РАЗВИТИЕ НОВОРОЖДЁННЫХ ЩЕНКОВ НОРОК</w:t>
      </w:r>
      <w:bookmarkEnd w:id="1955"/>
      <w:bookmarkEnd w:id="1956"/>
      <w:bookmarkEnd w:id="1957"/>
      <w:bookmarkEnd w:id="1958"/>
      <w:bookmarkEnd w:id="1959"/>
      <w:bookmarkEnd w:id="1960"/>
      <w:bookmarkEnd w:id="1961"/>
    </w:p>
    <w:p w:rsidR="00F4654E" w:rsidRDefault="00F4654E">
      <w:pPr>
        <w:pStyle w:val="2"/>
      </w:pPr>
      <w:bookmarkStart w:id="1962" w:name="_Toc10731268"/>
      <w:bookmarkStart w:id="1963" w:name="_Toc10731929"/>
      <w:bookmarkStart w:id="1964" w:name="_Toc10891776"/>
      <w:bookmarkStart w:id="1965" w:name="_Toc10892451"/>
      <w:bookmarkStart w:id="1966" w:name="_Toc11390314"/>
      <w:bookmarkStart w:id="1967" w:name="_Toc11937531"/>
      <w:r>
        <w:t>Зибров М.А., Дашукаева К.Г.</w:t>
      </w:r>
      <w:bookmarkEnd w:id="1962"/>
      <w:bookmarkEnd w:id="1963"/>
      <w:bookmarkEnd w:id="1964"/>
      <w:bookmarkEnd w:id="1965"/>
      <w:bookmarkEnd w:id="1966"/>
      <w:bookmarkEnd w:id="1967"/>
    </w:p>
    <w:p w:rsidR="00F4654E" w:rsidRDefault="00F4654E">
      <w:pPr>
        <w:pStyle w:val="a5"/>
      </w:pPr>
      <w:r>
        <w:t>Воронежский государственный аграрный университет им. К.Д. Глинки</w:t>
      </w:r>
    </w:p>
    <w:p w:rsidR="00F4654E" w:rsidRDefault="00F4654E">
      <w:pPr>
        <w:pStyle w:val="a6"/>
      </w:pPr>
      <w:r>
        <w:t>Практика современного норководства показывает, что значительные потери молодняка наблюдаются в дорегистрационный период. Это зача</w:t>
      </w:r>
      <w:r>
        <w:t>с</w:t>
      </w:r>
      <w:r>
        <w:lastRenderedPageBreak/>
        <w:t>тую связано с рождением гипотрофичных щенков и развитие у матерей лактационного истощения. Исследования ряда учёных свидетельствуют, что в этиопатогенезе этих патологий ведущую роль играет нарушенный обмен веществ в организме беременных самок, взаимообусловленный ч</w:t>
      </w:r>
      <w:r>
        <w:t>а</w:t>
      </w:r>
      <w:r>
        <w:t>ще всего патологическим морфофункциональным статусом печени.</w:t>
      </w:r>
    </w:p>
    <w:p w:rsidR="00F4654E" w:rsidRDefault="00F4654E">
      <w:pPr>
        <w:pStyle w:val="a6"/>
      </w:pPr>
      <w:r>
        <w:t>В связи с этим становится актуальным разработка методов и средств, повышающих сохранность и жизнеспособность новорождённых щенков путем коррекции функциональной активности печени и нормализации о</w:t>
      </w:r>
      <w:r>
        <w:t>б</w:t>
      </w:r>
      <w:r>
        <w:t>мена веществ в организме их матерей в наиболее напряжённые периоды репродукции.</w:t>
      </w:r>
    </w:p>
    <w:p w:rsidR="00F4654E" w:rsidRDefault="00F4654E">
      <w:pPr>
        <w:pStyle w:val="a6"/>
      </w:pPr>
      <w:r>
        <w:t>Включение в рацион самок норок гепатотропного препарата дипр</w:t>
      </w:r>
      <w:r>
        <w:t>о</w:t>
      </w:r>
      <w:r>
        <w:t>моний и гепатотропно-минерального препарата дипроанемин (включает железа глицерофосфат, цинка сульфат, кобальта хлорид, дипромоний и глюкозу в физиологически оптимальных дозах) в течение двух недель до и одной недели после гона и двух недель до и одной недели после родов в суточных дозах 40 мг и 3 г соответственно способствует повышению с</w:t>
      </w:r>
      <w:r>
        <w:t>о</w:t>
      </w:r>
      <w:r>
        <w:t>хранности щенков на 15,8-20,1 % (Р</w:t>
      </w:r>
      <w:r>
        <w:softHyphen/>
      </w:r>
      <w:r>
        <w:sym w:font="Symbol" w:char="F03C"/>
      </w:r>
      <w:r>
        <w:t>0,001) при более низком (на 1,8-2,0%) количестве слаборазвитых норчат. Вес новорождённого молодняка, матери которого получали препараты, был выше у самцов на 12,5-25,0%, а у сам</w:t>
      </w:r>
      <w:r>
        <w:t>о</w:t>
      </w:r>
      <w:r>
        <w:t>чек – на 14,3%. После отсадки масса тела щенков, полученных от самок опытных групп, также была выше, причем у самцов на 3,1-18,7%, а у самок – на 10,1-21,3%. При этом рост и развитие щенков, чьи матери получали дипроанемин, были более интенсивными, чем у щенков, матерям которых назначали дипромоний.</w:t>
      </w:r>
    </w:p>
    <w:p w:rsidR="00F4654E" w:rsidRDefault="00F4654E">
      <w:pPr>
        <w:pStyle w:val="a6"/>
      </w:pPr>
      <w:r>
        <w:t>Таким образом, введение в рацион самкам норок дипромония и дипро-анемина в суточных дозах 40 мг и 3 г соответственно благоприятно отр</w:t>
      </w:r>
      <w:r>
        <w:t>а</w:t>
      </w:r>
      <w:r>
        <w:t>жается на новорождённых щенках, которые отличаются повышенной с</w:t>
      </w:r>
      <w:r>
        <w:t>о</w:t>
      </w:r>
      <w:r>
        <w:t>хранностью, интенсивностью роста и развития. Также среди них регистр</w:t>
      </w:r>
      <w:r>
        <w:t>и</w:t>
      </w:r>
      <w:r>
        <w:t>руется меньшее количество щенков-гипотрофиков.</w:t>
      </w:r>
    </w:p>
    <w:p w:rsidR="00F4654E" w:rsidRDefault="00F4654E">
      <w:pPr>
        <w:pStyle w:val="a4"/>
      </w:pPr>
      <w:r>
        <w:t>УДК 619</w:t>
      </w:r>
      <w:r>
        <w:sym w:font="Symbol" w:char="F03A"/>
      </w:r>
      <w:r>
        <w:t>616.152.11</w:t>
      </w:r>
      <w:r>
        <w:sym w:font="Symbol" w:char="F03A"/>
      </w:r>
      <w:r>
        <w:t>616.981.48</w:t>
      </w:r>
      <w:r>
        <w:sym w:font="Symbol" w:char="F03A"/>
      </w:r>
      <w:r>
        <w:t>636.22/.28</w:t>
      </w:r>
    </w:p>
    <w:p w:rsidR="00F4654E" w:rsidRDefault="00F4654E">
      <w:pPr>
        <w:pStyle w:val="1"/>
      </w:pPr>
      <w:bookmarkStart w:id="1968" w:name="_Toc10731269"/>
      <w:bookmarkStart w:id="1969" w:name="_Toc10731930"/>
      <w:bookmarkStart w:id="1970" w:name="_Toc10891777"/>
      <w:bookmarkStart w:id="1971" w:name="_Toc10892452"/>
      <w:bookmarkStart w:id="1972" w:name="_Toc11390315"/>
      <w:bookmarkStart w:id="1973" w:name="_Toc11839996"/>
      <w:bookmarkStart w:id="1974" w:name="_Toc11937532"/>
      <w:r>
        <w:t>КИСЛОТНО – ОСНОВНОЕ СОСТОЯНИЕ КРОВИ У ТЕЛЯТ ПРИ КОЛИБАКТЕРИОЗЕ</w:t>
      </w:r>
      <w:bookmarkEnd w:id="1968"/>
      <w:bookmarkEnd w:id="1969"/>
      <w:bookmarkEnd w:id="1970"/>
      <w:bookmarkEnd w:id="1971"/>
      <w:bookmarkEnd w:id="1972"/>
      <w:bookmarkEnd w:id="1973"/>
      <w:bookmarkEnd w:id="1974"/>
      <w:r>
        <w:t xml:space="preserve"> </w:t>
      </w:r>
    </w:p>
    <w:p w:rsidR="00F4654E" w:rsidRDefault="00F4654E">
      <w:pPr>
        <w:pStyle w:val="2"/>
      </w:pPr>
      <w:bookmarkStart w:id="1975" w:name="_Toc10731270"/>
      <w:bookmarkStart w:id="1976" w:name="_Toc10731931"/>
      <w:bookmarkStart w:id="1977" w:name="_Toc10891778"/>
      <w:bookmarkStart w:id="1978" w:name="_Toc10892453"/>
      <w:bookmarkStart w:id="1979" w:name="_Toc11390316"/>
      <w:bookmarkStart w:id="1980" w:name="_Toc11937533"/>
      <w:r>
        <w:t>Золотарев А.И.</w:t>
      </w:r>
      <w:bookmarkEnd w:id="1975"/>
      <w:bookmarkEnd w:id="1976"/>
      <w:bookmarkEnd w:id="1977"/>
      <w:bookmarkEnd w:id="1978"/>
      <w:bookmarkEnd w:id="1979"/>
      <w:bookmarkEnd w:id="1980"/>
    </w:p>
    <w:p w:rsidR="00F4654E" w:rsidRDefault="00F4654E">
      <w:pPr>
        <w:pStyle w:val="a5"/>
      </w:pPr>
      <w:r>
        <w:t>Всероссийский НИВИ патологии, фармакологии и терапии</w:t>
      </w:r>
    </w:p>
    <w:p w:rsidR="00F4654E" w:rsidRDefault="00F4654E">
      <w:pPr>
        <w:pStyle w:val="a6"/>
      </w:pPr>
      <w:r>
        <w:t>Заболевание новорожденных телят колибактериозом широко распр</w:t>
      </w:r>
      <w:r>
        <w:t>о</w:t>
      </w:r>
      <w:r>
        <w:t>странено в хозяйствах и наносит большой экономический ущерб (У. Ри</w:t>
      </w:r>
      <w:r>
        <w:t>и</w:t>
      </w:r>
      <w:r>
        <w:t>хикоски, 1986; Л.Я. Ставцева и др., 1992; А.Г. Шахов и др., 2000).</w:t>
      </w:r>
    </w:p>
    <w:p w:rsidR="00F4654E" w:rsidRDefault="00F4654E">
      <w:pPr>
        <w:pStyle w:val="a6"/>
      </w:pPr>
      <w:r>
        <w:t>Работы посвященные изучению кислотно – основного состояния (КОС) крови телят в первые дни жизни, не многочисленны и проводились преимущественно при диареях неинфекционной этиологии (Д.А. Мельн</w:t>
      </w:r>
      <w:r>
        <w:t>и</w:t>
      </w:r>
      <w:r>
        <w:lastRenderedPageBreak/>
        <w:t>чук и др., 1989; Н.Г. Виников, 1994; А.Р. Камошенков, 1998; Л.К. Брусло</w:t>
      </w:r>
      <w:r>
        <w:t>в</w:t>
      </w:r>
      <w:r>
        <w:t xml:space="preserve">ская, 2002). </w:t>
      </w:r>
    </w:p>
    <w:p w:rsidR="00F4654E" w:rsidRDefault="00F4654E">
      <w:pPr>
        <w:pStyle w:val="a6"/>
      </w:pPr>
      <w:r>
        <w:t>Нами проведено изучение КОС крови телят при колибактериозе. И</w:t>
      </w:r>
      <w:r>
        <w:t>с</w:t>
      </w:r>
      <w:r>
        <w:t>следование проводилось на 14 телятах. Было сформировано 3-и группы т</w:t>
      </w:r>
      <w:r>
        <w:t>е</w:t>
      </w:r>
      <w:r>
        <w:t xml:space="preserve">лят в соответствии с тяжестью заболевания. </w:t>
      </w:r>
      <w:r>
        <w:tab/>
        <w:t>В первую группу вошли 4 теленка с легкой тяжестью заболевания, во вторую 6 с умеренно – тяжелой и в третью 4 с тяжелой. Оценку КОС у телят 1 –3 и 10 – 15 дневного во</w:t>
      </w:r>
      <w:r>
        <w:t>з</w:t>
      </w:r>
      <w:r>
        <w:t>раста проводили на основании величины рН, парциального давления угл</w:t>
      </w:r>
      <w:r>
        <w:t>е</w:t>
      </w:r>
      <w:r>
        <w:t>кислого газа, ко</w:t>
      </w:r>
      <w:r>
        <w:t>н</w:t>
      </w:r>
      <w:r>
        <w:t>центрации стандартных бикарбонатов, углекислоты, и их отношения, избытка оснований и концентрации буферных оснований в крови.</w:t>
      </w:r>
    </w:p>
    <w:p w:rsidR="00F4654E" w:rsidRDefault="00F4654E">
      <w:pPr>
        <w:pStyle w:val="a6"/>
      </w:pPr>
      <w:r>
        <w:t>Установлено, что у всех телят 1 – 3 дневного возраста рН венозной крови смещен в кислую сторону и составлял, 7,28</w:t>
      </w:r>
      <w:r>
        <w:sym w:font="Symbol" w:char="F0B1"/>
      </w:r>
      <w:r>
        <w:t>0,02 у телят с легкой формой течения болезни, 7,29</w:t>
      </w:r>
      <w:r>
        <w:sym w:font="Symbol" w:char="F0B1"/>
      </w:r>
      <w:r>
        <w:t>0,02 с умеренно - тяжелой и 7,22</w:t>
      </w:r>
      <w:r>
        <w:sym w:font="Symbol" w:char="F0B1"/>
      </w:r>
      <w:r>
        <w:t>0,07 с т</w:t>
      </w:r>
      <w:r>
        <w:t>я</w:t>
      </w:r>
      <w:r>
        <w:t>желой. Парциальное давление углекислого газа у телят с легкой формой болезни составляло 68,27</w:t>
      </w:r>
      <w:r>
        <w:sym w:font="Symbol" w:char="F0B1"/>
      </w:r>
      <w:r>
        <w:t>1,58 мм.рт.ст., с умеренно - тяжелой и тяжелой с</w:t>
      </w:r>
      <w:r>
        <w:t>о</w:t>
      </w:r>
      <w:r>
        <w:t>ответственно 61,17</w:t>
      </w:r>
      <w:r>
        <w:sym w:font="Symbol" w:char="F0B1"/>
      </w:r>
      <w:r>
        <w:t>4,04 и 71,48</w:t>
      </w:r>
      <w:r>
        <w:sym w:font="Symbol" w:char="F0B1"/>
      </w:r>
      <w:r>
        <w:t>1,22 мм.рт.ст..</w:t>
      </w:r>
    </w:p>
    <w:p w:rsidR="00F4654E" w:rsidRDefault="00F4654E">
      <w:pPr>
        <w:pStyle w:val="a6"/>
      </w:pPr>
      <w:r>
        <w:t>Избыток оснований установлен у телят с легким и умеренно – тяж</w:t>
      </w:r>
      <w:r>
        <w:t>е</w:t>
      </w:r>
      <w:r>
        <w:t>лым течением болезни и составил соответственно +3,37</w:t>
      </w:r>
      <w:r>
        <w:sym w:font="Symbol" w:char="F0B1"/>
      </w:r>
      <w:r>
        <w:t>1,27 и +1,67</w:t>
      </w:r>
      <w:r>
        <w:sym w:font="Symbol" w:char="F0B1"/>
      </w:r>
      <w:r>
        <w:t>0,77 mМ/л, дефицит оснований у телят с тяжелым течением  -1,35</w:t>
      </w:r>
      <w:r>
        <w:sym w:font="Symbol" w:char="F0B1"/>
      </w:r>
      <w:r>
        <w:t>2,34 mM/л. Бикарбонатное отношение (НСО</w:t>
      </w:r>
      <w:r>
        <w:rPr>
          <w:vertAlign w:val="subscript"/>
        </w:rPr>
        <w:t>3</w:t>
      </w:r>
      <w:r>
        <w:t>/Н</w:t>
      </w:r>
      <w:r>
        <w:rPr>
          <w:vertAlign w:val="subscript"/>
        </w:rPr>
        <w:t>2</w:t>
      </w:r>
      <w:r>
        <w:t>СО</w:t>
      </w:r>
      <w:r>
        <w:rPr>
          <w:vertAlign w:val="subscript"/>
        </w:rPr>
        <w:t>3</w:t>
      </w:r>
      <w:r>
        <w:t>) было снижено и составляло у т</w:t>
      </w:r>
      <w:r>
        <w:t>е</w:t>
      </w:r>
      <w:r>
        <w:t>лят с легким течением 13,1</w:t>
      </w:r>
      <w:r>
        <w:sym w:font="Symbol" w:char="F0B1"/>
      </w:r>
      <w:r>
        <w:t>0,49</w:t>
      </w:r>
      <w:r>
        <w:sym w:font="Symbol" w:char="F03A"/>
      </w:r>
      <w:r>
        <w:t>1, с умеренно - тяжелым 13,4</w:t>
      </w:r>
      <w:r>
        <w:sym w:font="Symbol" w:char="F0B1"/>
      </w:r>
      <w:r>
        <w:t>0,53</w:t>
      </w:r>
      <w:r>
        <w:sym w:font="Symbol" w:char="F03A"/>
      </w:r>
      <w:r>
        <w:t>1 и с тяжелым 11,2</w:t>
      </w:r>
      <w:r>
        <w:sym w:font="Symbol" w:char="F0B1"/>
      </w:r>
      <w:r>
        <w:t>2,11</w:t>
      </w:r>
      <w:r>
        <w:sym w:font="Symbol" w:char="F03A"/>
      </w:r>
      <w:r>
        <w:t>1. Характер установленных изменений  указывает на наличие респираторно – метаболического ацидоза с частичной компенс</w:t>
      </w:r>
      <w:r>
        <w:t>а</w:t>
      </w:r>
      <w:r>
        <w:t>цией у телят с легкой и умеренно – тяжелой формой заболевания и деко</w:t>
      </w:r>
      <w:r>
        <w:t>м</w:t>
      </w:r>
      <w:r>
        <w:t>пенсацией у т</w:t>
      </w:r>
      <w:r>
        <w:t>е</w:t>
      </w:r>
      <w:r>
        <w:t>лят с тяжелой.</w:t>
      </w:r>
    </w:p>
    <w:p w:rsidR="00F4654E" w:rsidRDefault="00F4654E">
      <w:pPr>
        <w:pStyle w:val="a6"/>
      </w:pPr>
      <w:r>
        <w:t>У телят 10 – 15 дневного возраста с умеренно - тяжелым и тяжелым течением болезни с нарастанием клинических признаков расстройства п</w:t>
      </w:r>
      <w:r>
        <w:t>и</w:t>
      </w:r>
      <w:r>
        <w:t>щеварения и эндотоксикоза, существенно изменялось кислотно – основное состояние организма. Так, рН крови телят 10 – 15 дневного возраста с ле</w:t>
      </w:r>
      <w:r>
        <w:t>г</w:t>
      </w:r>
      <w:r>
        <w:t>ким течением болезни повышался на 0,03 единицы в сравнении с 1 – 3-х дне</w:t>
      </w:r>
      <w:r>
        <w:t>в</w:t>
      </w:r>
      <w:r>
        <w:t>ными, а у телят с умеренно - тяжелым и тяжелым течением снижалось на 0,04 и 0,08 единиц соответственно. Парциальное давление углекислого газа уменьшалось у телят с легким и тяжелым течением на 5,84% и 10,03% соответственно и составляло 64,5</w:t>
      </w:r>
      <w:r>
        <w:sym w:font="Symbol" w:char="F0B1"/>
      </w:r>
      <w:r>
        <w:t>4,04 и 63,6</w:t>
      </w:r>
      <w:r>
        <w:sym w:font="Symbol" w:char="F0B1"/>
      </w:r>
      <w:r>
        <w:t>5,95 мм.рт.ст., а у телят с умеренно – тяжелым течением болезни  повышалось на 15,2% и составл</w:t>
      </w:r>
      <w:r>
        <w:t>я</w:t>
      </w:r>
      <w:r>
        <w:t>ло 72,06</w:t>
      </w:r>
      <w:r>
        <w:sym w:font="Symbol" w:char="F0B1"/>
      </w:r>
      <w:r>
        <w:t>3,5 мм.рт.ст. Избыток оснований возрастал у телят с легким и умеренно – тяжелым течением на 25,6% и 34,3% соответственно и соста</w:t>
      </w:r>
      <w:r>
        <w:t>в</w:t>
      </w:r>
      <w:r>
        <w:t>лял +4,53</w:t>
      </w:r>
      <w:r>
        <w:sym w:font="Symbol" w:char="F0B1"/>
      </w:r>
      <w:r>
        <w:t>1,14 и +2,54</w:t>
      </w:r>
      <w:r>
        <w:sym w:font="Symbol" w:char="F0B1"/>
      </w:r>
      <w:r>
        <w:t>1,15 mM/л, а дефицит оснований у телят с тяжелым с</w:t>
      </w:r>
      <w:r>
        <w:t>о</w:t>
      </w:r>
      <w:r>
        <w:t>стоянием на 81,2% и составлял - 7,17</w:t>
      </w:r>
      <w:r>
        <w:sym w:font="Symbol" w:char="F0B1"/>
      </w:r>
      <w:r>
        <w:t>4,74mM/л.</w:t>
      </w:r>
    </w:p>
    <w:p w:rsidR="00F4654E" w:rsidRDefault="00F4654E">
      <w:pPr>
        <w:pStyle w:val="a6"/>
      </w:pPr>
      <w:r>
        <w:tab/>
        <w:t>Концентрация бикарбонатов увеличивается у телят с легким и ум</w:t>
      </w:r>
      <w:r>
        <w:t>е</w:t>
      </w:r>
      <w:r>
        <w:t xml:space="preserve">ренно – тяжелым течением на 3,3 и 3,1% соответственно, а с тяжелым  </w:t>
      </w:r>
      <w:r>
        <w:lastRenderedPageBreak/>
        <w:t>снизилось на 28%. Бикарбонатное отношение НСО</w:t>
      </w:r>
      <w:r>
        <w:rPr>
          <w:vertAlign w:val="subscript"/>
        </w:rPr>
        <w:t>3</w:t>
      </w:r>
      <w:r>
        <w:t>/Н</w:t>
      </w:r>
      <w:r>
        <w:rPr>
          <w:vertAlign w:val="subscript"/>
        </w:rPr>
        <w:t>2</w:t>
      </w:r>
      <w:r>
        <w:t>СО</w:t>
      </w:r>
      <w:r>
        <w:rPr>
          <w:vertAlign w:val="subscript"/>
        </w:rPr>
        <w:t>3</w:t>
      </w:r>
      <w:r>
        <w:t xml:space="preserve"> возрастало у телят с легким течением на 8,8% и составляло 14,37</w:t>
      </w:r>
      <w:r>
        <w:sym w:font="Symbol" w:char="F0B1"/>
      </w:r>
      <w:r>
        <w:t xml:space="preserve">1,38 </w:t>
      </w:r>
      <w:r>
        <w:sym w:font="Symbol" w:char="F03A"/>
      </w:r>
      <w:r>
        <w:t xml:space="preserve"> 1 и снижалось у телят с умеренно - тяжелым и тяжелым на 13,0% и 19,4% соответственно и соста</w:t>
      </w:r>
      <w:r>
        <w:t>в</w:t>
      </w:r>
      <w:r>
        <w:t>ляло 11,86</w:t>
      </w:r>
      <w:r>
        <w:sym w:font="Symbol" w:char="F0B1"/>
      </w:r>
      <w:r>
        <w:t xml:space="preserve">0,72 </w:t>
      </w:r>
      <w:r>
        <w:sym w:font="Symbol" w:char="F03A"/>
      </w:r>
      <w:r>
        <w:t xml:space="preserve"> 1 и 9,4</w:t>
      </w:r>
      <w:r>
        <w:sym w:font="Symbol" w:char="F0B1"/>
      </w:r>
      <w:r>
        <w:t>2,1 : 1. Концентрация буферных оснований увел</w:t>
      </w:r>
      <w:r>
        <w:t>и</w:t>
      </w:r>
      <w:r>
        <w:t>чилась у телят с легким течением и умеренно – тяжелым течением болезни на 2,5 и 2,1% соответственно и уменьшилась с тяжелым на 15,6%.</w:t>
      </w:r>
    </w:p>
    <w:p w:rsidR="00F4654E" w:rsidRDefault="00F4654E">
      <w:pPr>
        <w:pStyle w:val="a6"/>
      </w:pPr>
      <w:r>
        <w:tab/>
        <w:t>Выше указанное свидетельствует о наличии респираторно – метаб</w:t>
      </w:r>
      <w:r>
        <w:t>о</w:t>
      </w:r>
      <w:r>
        <w:t>лического ацидоза у всех телят 10 – 15-дневного возраста с преобладанием респираторного компонента над метаболическим у телят с легким и ум</w:t>
      </w:r>
      <w:r>
        <w:t>е</w:t>
      </w:r>
      <w:r>
        <w:t>ренно – тяжелым течением и увеличение ацидоза за счет метаболического компонента у телят с тяжелым течением болезни.</w:t>
      </w:r>
    </w:p>
    <w:p w:rsidR="00F4654E" w:rsidRDefault="00F4654E">
      <w:pPr>
        <w:pStyle w:val="a6"/>
      </w:pPr>
      <w:r>
        <w:tab/>
        <w:t>Таким образом, у телят 1 – 3-дневного возраста кислотно – основное состояние можно характеризовать как респираторно – метаболический ацидоз, с частичной компенсацией у животных с легким и умеренно – т</w:t>
      </w:r>
      <w:r>
        <w:t>я</w:t>
      </w:r>
      <w:r>
        <w:t>желым течением болезни и декомпенсацией – с тяжелым. У телят 10 – 15-дневного возраста с тяжелым течением колибактериоза развивался деко</w:t>
      </w:r>
      <w:r>
        <w:t>м</w:t>
      </w:r>
      <w:r>
        <w:t>пенсирова</w:t>
      </w:r>
      <w:r>
        <w:t>н</w:t>
      </w:r>
      <w:r>
        <w:t>ный метаболический ацидоз.</w:t>
      </w:r>
    </w:p>
    <w:p w:rsidR="00F4654E" w:rsidRDefault="00F4654E">
      <w:pPr>
        <w:pStyle w:val="a4"/>
      </w:pPr>
      <w:r>
        <w:t>УДК  619:618.38-002:636.22/28</w:t>
      </w:r>
    </w:p>
    <w:p w:rsidR="00F4654E" w:rsidRDefault="00F4654E">
      <w:pPr>
        <w:pStyle w:val="1"/>
      </w:pPr>
      <w:bookmarkStart w:id="1981" w:name="_Toc10731271"/>
      <w:bookmarkStart w:id="1982" w:name="_Toc10731932"/>
      <w:bookmarkStart w:id="1983" w:name="_Toc10891779"/>
      <w:bookmarkStart w:id="1984" w:name="_Toc10892454"/>
      <w:bookmarkStart w:id="1985" w:name="_Toc11390317"/>
      <w:bookmarkStart w:id="1986" w:name="_Toc11839998"/>
      <w:bookmarkStart w:id="1987" w:name="_Toc11937534"/>
      <w:r>
        <w:t>КЛИНИКО-АНАТОМИЧЕСКАЯ ХАРАКТЕРИСТИКА ОМФАЛИТА У ТЕЛЯТ</w:t>
      </w:r>
      <w:bookmarkEnd w:id="1981"/>
      <w:bookmarkEnd w:id="1982"/>
      <w:bookmarkEnd w:id="1983"/>
      <w:bookmarkEnd w:id="1984"/>
      <w:bookmarkEnd w:id="1985"/>
      <w:bookmarkEnd w:id="1986"/>
      <w:bookmarkEnd w:id="1987"/>
    </w:p>
    <w:p w:rsidR="00F4654E" w:rsidRDefault="00F4654E">
      <w:pPr>
        <w:pStyle w:val="2"/>
      </w:pPr>
      <w:bookmarkStart w:id="1988" w:name="_Toc10731272"/>
      <w:bookmarkStart w:id="1989" w:name="_Toc10731933"/>
      <w:bookmarkStart w:id="1990" w:name="_Toc10891780"/>
      <w:bookmarkStart w:id="1991" w:name="_Toc10892455"/>
      <w:bookmarkStart w:id="1992" w:name="_Toc11390318"/>
      <w:bookmarkStart w:id="1993" w:name="_Toc11937535"/>
      <w:r>
        <w:t>Золотарев А.И., Дегтярев Д.В.</w:t>
      </w:r>
      <w:bookmarkEnd w:id="1988"/>
      <w:bookmarkEnd w:id="1989"/>
      <w:bookmarkEnd w:id="1990"/>
      <w:bookmarkEnd w:id="1991"/>
      <w:bookmarkEnd w:id="1992"/>
      <w:bookmarkEnd w:id="1993"/>
    </w:p>
    <w:p w:rsidR="00F4654E" w:rsidRDefault="00F4654E">
      <w:pPr>
        <w:pStyle w:val="a5"/>
      </w:pPr>
      <w:r>
        <w:t>Всероссийский НИВИ патологии, фармакологии и терапии</w:t>
      </w:r>
    </w:p>
    <w:p w:rsidR="00F4654E" w:rsidRDefault="00F4654E">
      <w:pPr>
        <w:pStyle w:val="a6"/>
      </w:pPr>
      <w:r>
        <w:t>Омфалит широко распространен в хозяйствах с различной формой собственности, сопровождается нарушением многих обменных процессов в организме телят, приводит к возникновению абсцессов в печени, перит</w:t>
      </w:r>
      <w:r>
        <w:t>о</w:t>
      </w:r>
      <w:r>
        <w:t xml:space="preserve">нита, воспалению суставов, сепсиса (У. Риихикоски, 1986; В.А. Гирин, 1982; 1990; Ю.Н. Алехин, 2000). </w:t>
      </w:r>
    </w:p>
    <w:p w:rsidR="00F4654E" w:rsidRDefault="00F4654E">
      <w:pPr>
        <w:pStyle w:val="a6"/>
      </w:pPr>
      <w:r>
        <w:t>В доступной литературе не было встречено упоминания об анатом</w:t>
      </w:r>
      <w:r>
        <w:t>и</w:t>
      </w:r>
      <w:r>
        <w:t>ческой характеристике омфалита при различных формах его проявления. Исходя из вышеизложенного, мы провели анатомические исследования пупка у клинически здоровых телят и у больных омфалитом.</w:t>
      </w:r>
    </w:p>
    <w:p w:rsidR="00F4654E" w:rsidRDefault="00F4654E">
      <w:pPr>
        <w:pStyle w:val="a6"/>
      </w:pPr>
      <w:r>
        <w:t>В опыте под наблюдением находилось 26 телят, из них 13 клинически здоровых и 13 больных омфалитом.</w:t>
      </w:r>
    </w:p>
    <w:p w:rsidR="00F4654E" w:rsidRDefault="00F4654E">
      <w:pPr>
        <w:pStyle w:val="a6"/>
      </w:pPr>
      <w:r>
        <w:t>Установлено, что омфалит выявлялся на 2-8 день жизни. Заболевание у 12 телят (92,3%) проявлялось в локально-воспалительной, у 1 (7,7%) – в диффузно-метастатической форме.</w:t>
      </w:r>
    </w:p>
    <w:p w:rsidR="00F4654E" w:rsidRDefault="00F4654E">
      <w:pPr>
        <w:pStyle w:val="a6"/>
      </w:pPr>
      <w:r>
        <w:t>При местном воспалении заболевание протекало преимущественно в легкой и умеренно-тяжелой форме, при метастатической регистрировалась тяжелая степень заболевания.</w:t>
      </w:r>
    </w:p>
    <w:p w:rsidR="00F4654E" w:rsidRDefault="00F4654E">
      <w:pPr>
        <w:pStyle w:val="a6"/>
      </w:pPr>
      <w:r>
        <w:t>При легком течении омфалита продолжительность болезни составляла 14,5</w:t>
      </w:r>
      <w:r>
        <w:sym w:font="Symbol" w:char="F0B1"/>
      </w:r>
      <w:r>
        <w:t xml:space="preserve">4 дней. При пальпации пуповины выявлялась болезненность, диаметр </w:t>
      </w:r>
      <w:r>
        <w:lastRenderedPageBreak/>
        <w:t>пупка в начале заболевания составлял в среднем 1,75</w:t>
      </w:r>
      <w:r>
        <w:sym w:font="Symbol" w:char="F0B1"/>
      </w:r>
      <w:r>
        <w:t>0,03 см, а в разгар заболевания –  2,2</w:t>
      </w:r>
      <w:r>
        <w:sym w:font="Symbol" w:char="F0B1"/>
      </w:r>
      <w:r>
        <w:t>0,14 см. Культя пуповины отпадала на 12-15 день жи</w:t>
      </w:r>
      <w:r>
        <w:t>з</w:t>
      </w:r>
      <w:r>
        <w:t>ни. При этом у клинически здоровых это происходило на 8-10 день. Ди</w:t>
      </w:r>
      <w:r>
        <w:t>а</w:t>
      </w:r>
      <w:r>
        <w:t>метр пупка у них составлял при рождении 1,26</w:t>
      </w:r>
      <w:r>
        <w:sym w:font="Symbol" w:char="F0B1"/>
      </w:r>
      <w:r>
        <w:t>0,02см. У заболевших т</w:t>
      </w:r>
      <w:r>
        <w:t>е</w:t>
      </w:r>
      <w:r>
        <w:t>лят сохранялся сосательный рефлекс. Температура тела в среднем соста</w:t>
      </w:r>
      <w:r>
        <w:t>в</w:t>
      </w:r>
      <w:r>
        <w:t>ляла 38,6</w:t>
      </w:r>
      <w:r>
        <w:sym w:font="Symbol" w:char="F0B1"/>
      </w:r>
      <w:r>
        <w:t>0,16</w:t>
      </w:r>
      <w:r>
        <w:rPr>
          <w:vertAlign w:val="superscript"/>
        </w:rPr>
        <w:t>0</w:t>
      </w:r>
      <w:r>
        <w:t>С, частота сердечных сокращений 91</w:t>
      </w:r>
      <w:r>
        <w:sym w:font="Symbol" w:char="F0B1"/>
      </w:r>
      <w:r>
        <w:t>4,12 уд/мин, частота дыхания 22</w:t>
      </w:r>
      <w:r>
        <w:sym w:font="Symbol" w:char="F0B1"/>
      </w:r>
      <w:r>
        <w:t>2,8 дых/мин.</w:t>
      </w:r>
    </w:p>
    <w:p w:rsidR="00F4654E" w:rsidRDefault="00F4654E">
      <w:pPr>
        <w:pStyle w:val="a6"/>
      </w:pPr>
      <w:r>
        <w:t>При умеренно-тяжелом течении продолжительность болезни соста</w:t>
      </w:r>
      <w:r>
        <w:t>в</w:t>
      </w:r>
      <w:r>
        <w:t>ляла 29</w:t>
      </w:r>
      <w:r>
        <w:sym w:font="Symbol" w:char="F0B1"/>
      </w:r>
      <w:r>
        <w:t>2,03 дней, при пальпации пупок болезненный, уплотненный, ди</w:t>
      </w:r>
      <w:r>
        <w:t>а</w:t>
      </w:r>
      <w:r>
        <w:t>метр пупка в начале заболевания составлял 2,08</w:t>
      </w:r>
      <w:r>
        <w:sym w:font="Symbol" w:char="F0B1"/>
      </w:r>
      <w:r>
        <w:t>0,08см, в разгар заболев</w:t>
      </w:r>
      <w:r>
        <w:t>а</w:t>
      </w:r>
      <w:r>
        <w:t>ния 2,95</w:t>
      </w:r>
      <w:r>
        <w:sym w:font="Symbol" w:char="F0B1"/>
      </w:r>
      <w:r>
        <w:t>0, 07 см. Культя пуповины отпадала на 15-20 день жизни. У таких телят сосательный рефлекс был понижен, температура тела составляла 39,0</w:t>
      </w:r>
      <w:r>
        <w:sym w:font="Symbol" w:char="F0B1"/>
      </w:r>
      <w:r>
        <w:t>0,12</w:t>
      </w:r>
      <w:r w:rsidR="00414261">
        <w:t xml:space="preserve"> </w:t>
      </w:r>
      <w:r>
        <w:rPr>
          <w:vertAlign w:val="superscript"/>
        </w:rPr>
        <w:t>0</w:t>
      </w:r>
      <w:r>
        <w:t>С, частота сердечных сокращений 101,7</w:t>
      </w:r>
      <w:r>
        <w:sym w:font="Symbol" w:char="F0B1"/>
      </w:r>
      <w:r>
        <w:t>6,2 уд/мин, частота дыхания 24,7</w:t>
      </w:r>
      <w:r>
        <w:sym w:font="Symbol" w:char="F0B1"/>
      </w:r>
      <w:r>
        <w:t>3,3 дых/мин. Заболевание протекало с учащенной дефекац</w:t>
      </w:r>
      <w:r>
        <w:t>и</w:t>
      </w:r>
      <w:r>
        <w:t>ей.</w:t>
      </w:r>
    </w:p>
    <w:p w:rsidR="00F4654E" w:rsidRDefault="00F4654E">
      <w:pPr>
        <w:pStyle w:val="a6"/>
      </w:pPr>
      <w:r>
        <w:t>При тяжелом течении продолжительность болезни составляла 24,7</w:t>
      </w:r>
      <w:r>
        <w:sym w:font="Symbol" w:char="F0B1"/>
      </w:r>
      <w:r>
        <w:t>8 дней, диаметр пупка в начале заболевания составлял 2,33</w:t>
      </w:r>
      <w:r>
        <w:sym w:font="Symbol" w:char="F0B1"/>
      </w:r>
      <w:r>
        <w:t>0,17 см, в разгар заболевания 4,17</w:t>
      </w:r>
      <w:r>
        <w:sym w:font="Symbol" w:char="F0B1"/>
      </w:r>
      <w:r>
        <w:t>0,66 см. Культя пуповины отпадала на 18-28 день жизни. Заболевание сопровождалось учащенной дефекацией, угнетенным состо</w:t>
      </w:r>
      <w:r>
        <w:t>я</w:t>
      </w:r>
      <w:r>
        <w:t>нием, напряжением мышц живота, сильной болевой реакцией при пальп</w:t>
      </w:r>
      <w:r>
        <w:t>а</w:t>
      </w:r>
      <w:r>
        <w:t>ции пупочных колец, температура тела составляла 39,9</w:t>
      </w:r>
      <w:r>
        <w:sym w:font="Symbol" w:char="F0B1"/>
      </w:r>
      <w:r>
        <w:t>0,21</w:t>
      </w:r>
      <w:r>
        <w:rPr>
          <w:vertAlign w:val="superscript"/>
        </w:rPr>
        <w:t>0</w:t>
      </w:r>
      <w:r>
        <w:t>С, частота сердечных сокращений 114,0</w:t>
      </w:r>
      <w:r>
        <w:sym w:font="Symbol" w:char="F0B1"/>
      </w:r>
      <w:r>
        <w:t>12,5 уд/мин, частота дыхания 43,3</w:t>
      </w:r>
      <w:r>
        <w:sym w:font="Symbol" w:char="F0B1"/>
      </w:r>
      <w:r>
        <w:t>7,5 дых/мин. Из 13 больных животных пал один теленок вследствие пупочн</w:t>
      </w:r>
      <w:r>
        <w:t>о</w:t>
      </w:r>
      <w:r>
        <w:t>го сепсиса.</w:t>
      </w:r>
    </w:p>
    <w:p w:rsidR="00F4654E" w:rsidRDefault="00F4654E">
      <w:pPr>
        <w:pStyle w:val="a6"/>
      </w:pPr>
      <w:r>
        <w:t>Таким образом, по диаметру пуповины у новорожденных телят можно выявить ранние проявления омфалита, прогнозировать его течение и сво</w:t>
      </w:r>
      <w:r>
        <w:t>е</w:t>
      </w:r>
      <w:r>
        <w:t>временно проводить лечебно-профилактические мероприятия.</w:t>
      </w:r>
    </w:p>
    <w:p w:rsidR="00F4654E" w:rsidRDefault="00F4654E">
      <w:pPr>
        <w:pStyle w:val="a4"/>
      </w:pPr>
      <w:r>
        <w:t>УДК 619:616–092:612.017.1–084–08</w:t>
      </w:r>
    </w:p>
    <w:p w:rsidR="00F4654E" w:rsidRDefault="00F4654E">
      <w:pPr>
        <w:pStyle w:val="1"/>
      </w:pPr>
      <w:bookmarkStart w:id="1994" w:name="_Toc10731273"/>
      <w:bookmarkStart w:id="1995" w:name="_Toc10731934"/>
      <w:bookmarkStart w:id="1996" w:name="_Toc10891781"/>
      <w:bookmarkStart w:id="1997" w:name="_Toc10892456"/>
      <w:bookmarkStart w:id="1998" w:name="_Toc11390319"/>
      <w:bookmarkStart w:id="1999" w:name="_Toc11840000"/>
      <w:bookmarkStart w:id="2000" w:name="_Toc11937536"/>
      <w:r>
        <w:t>ИММУНОДЕФИЦИТЫ, ПРОФИЛАКТИКА И БОРЬБА С НИМИ</w:t>
      </w:r>
      <w:bookmarkEnd w:id="1994"/>
      <w:bookmarkEnd w:id="1995"/>
      <w:bookmarkEnd w:id="1996"/>
      <w:bookmarkEnd w:id="1997"/>
      <w:bookmarkEnd w:id="1998"/>
      <w:bookmarkEnd w:id="1999"/>
      <w:bookmarkEnd w:id="2000"/>
    </w:p>
    <w:p w:rsidR="00F4654E" w:rsidRDefault="00F4654E">
      <w:pPr>
        <w:pStyle w:val="2"/>
      </w:pPr>
      <w:bookmarkStart w:id="2001" w:name="_Toc10731274"/>
      <w:bookmarkStart w:id="2002" w:name="_Toc10731935"/>
      <w:bookmarkStart w:id="2003" w:name="_Toc10891782"/>
      <w:bookmarkStart w:id="2004" w:name="_Toc10892457"/>
      <w:bookmarkStart w:id="2005" w:name="_Toc11390320"/>
      <w:bookmarkStart w:id="2006" w:name="_Toc11937537"/>
      <w:r>
        <w:t>Золотарева Н.А.</w:t>
      </w:r>
      <w:bookmarkEnd w:id="2001"/>
      <w:bookmarkEnd w:id="2002"/>
      <w:bookmarkEnd w:id="2003"/>
      <w:bookmarkEnd w:id="2004"/>
      <w:bookmarkEnd w:id="2005"/>
      <w:bookmarkEnd w:id="2006"/>
    </w:p>
    <w:p w:rsidR="00F4654E" w:rsidRDefault="00F4654E">
      <w:pPr>
        <w:pStyle w:val="a5"/>
      </w:pPr>
      <w:r>
        <w:t>Всероссийский НИВИ патологии, фармакологии и терапии</w:t>
      </w:r>
    </w:p>
    <w:p w:rsidR="00F4654E" w:rsidRDefault="00F4654E">
      <w:pPr>
        <w:pStyle w:val="a6"/>
      </w:pPr>
      <w:r>
        <w:t>Нарушение нормального иммунологического статуса, обусловленное дефектом одного или нескольких механизмов иммунного ответа, принято рассматривать как иммунную недостаточность или иммунодефицит. Ра</w:t>
      </w:r>
      <w:r>
        <w:t>з</w:t>
      </w:r>
      <w:r>
        <w:t>личают первичную и вторичную иммунную недостаточность. Под перви</w:t>
      </w:r>
      <w:r>
        <w:t>ч</w:t>
      </w:r>
      <w:r>
        <w:t>ным иммунодефицитом принято понимать генетически обусловленную н</w:t>
      </w:r>
      <w:r>
        <w:t>е</w:t>
      </w:r>
      <w:r>
        <w:t>способность организма продуцировать какое-либо звено иммунного отв</w:t>
      </w:r>
      <w:r>
        <w:t>е</w:t>
      </w:r>
      <w:r>
        <w:t>та. Он имеет четко выраженный наследственный характер, проявляющийся сразу после рождения. Приобретенный (вторичный) иммунодефицит во</w:t>
      </w:r>
      <w:r>
        <w:t>з</w:t>
      </w:r>
      <w:r>
        <w:t>никает при влиянии на организм практически любого фактора, как инфе</w:t>
      </w:r>
      <w:r>
        <w:t>к</w:t>
      </w:r>
      <w:r>
        <w:lastRenderedPageBreak/>
        <w:t>ционной, так и не инфекционной природы (действие вирусов, бактерий, паразитов, различных стресс-факторов, ионизирующей радиации, наруш</w:t>
      </w:r>
      <w:r>
        <w:t>е</w:t>
      </w:r>
      <w:r>
        <w:t>ния обмена веществ, нарушения  передачи материнских антител или пер</w:t>
      </w:r>
      <w:r>
        <w:t>е</w:t>
      </w:r>
      <w:r>
        <w:t>дачи потомству с молозивом аутоантител и т.д.)</w:t>
      </w:r>
    </w:p>
    <w:p w:rsidR="00F4654E" w:rsidRDefault="00F4654E">
      <w:pPr>
        <w:pStyle w:val="a6"/>
      </w:pPr>
      <w:r>
        <w:t>У сельскохозяйственных животных наиболее частой причиной во</w:t>
      </w:r>
      <w:r>
        <w:t>з</w:t>
      </w:r>
      <w:r>
        <w:t>никновения вторичного иммунодефицита является нарушение передачи потомству с молозивом материнских антител. Состояние гуморального иммунитета у животных в первые месяцы жизни практически целиком з</w:t>
      </w:r>
      <w:r>
        <w:t>а</w:t>
      </w:r>
      <w:r>
        <w:t>висит от качества, количества и своевременной выпойки молозива (Ка</w:t>
      </w:r>
      <w:r>
        <w:t>р</w:t>
      </w:r>
      <w:r>
        <w:t>путь И.М. и др., 1990; Бондаренко Г.У., 1995 и др.). Поэтому гуморальный иммунитет у молодняка сельскохозяйственных животных в первые 3-4 м</w:t>
      </w:r>
      <w:r>
        <w:t>е</w:t>
      </w:r>
      <w:r>
        <w:t>сяца жизни, и особенно п</w:t>
      </w:r>
      <w:r>
        <w:t>о</w:t>
      </w:r>
      <w:r>
        <w:t>сле рождения, оказывается функционально не развит.</w:t>
      </w:r>
    </w:p>
    <w:p w:rsidR="00F4654E" w:rsidRDefault="00F4654E">
      <w:pPr>
        <w:pStyle w:val="a6"/>
      </w:pPr>
      <w:r>
        <w:t>Неспецифическая резистентность, в отличие от гуморального имм</w:t>
      </w:r>
      <w:r>
        <w:t>у</w:t>
      </w:r>
      <w:r>
        <w:t>нитета, у молодняка сельскохозяйственных животных имеет большую ф</w:t>
      </w:r>
      <w:r>
        <w:t>и</w:t>
      </w:r>
      <w:r>
        <w:t>зиологическую зрелость и не так значительно отличается от показателей взрослых животных. Это обусловлено тем, что синтез всех ее компонентов генетически детерминирован, и они присутствуют в организме к моменту рождения. В первые месяцы жизни состояние неспецифической резистен</w:t>
      </w:r>
      <w:r>
        <w:t>т</w:t>
      </w:r>
      <w:r>
        <w:t>ности играет ключевую роль в защите организма животных от инфекцио</w:t>
      </w:r>
      <w:r>
        <w:t>н</w:t>
      </w:r>
      <w:r>
        <w:t>ных агентов (Емельяненко П.А., 1976 и др.)</w:t>
      </w:r>
    </w:p>
    <w:p w:rsidR="00F4654E" w:rsidRPr="00414261" w:rsidRDefault="00F4654E">
      <w:pPr>
        <w:pStyle w:val="a6"/>
        <w:rPr>
          <w:spacing w:val="-2"/>
        </w:rPr>
      </w:pPr>
      <w:r w:rsidRPr="00414261">
        <w:rPr>
          <w:spacing w:val="-2"/>
        </w:rPr>
        <w:t>Организм животных особенно чувствителен к стрессам первые 3-4 м</w:t>
      </w:r>
      <w:r w:rsidRPr="00414261">
        <w:rPr>
          <w:spacing w:val="-2"/>
        </w:rPr>
        <w:t>е</w:t>
      </w:r>
      <w:r w:rsidRPr="00414261">
        <w:rPr>
          <w:spacing w:val="-2"/>
        </w:rPr>
        <w:t>сяца жизни, а материнский организм – в последний период беременн</w:t>
      </w:r>
      <w:r w:rsidRPr="00414261">
        <w:rPr>
          <w:spacing w:val="-2"/>
        </w:rPr>
        <w:t>о</w:t>
      </w:r>
      <w:r w:rsidRPr="00414261">
        <w:rPr>
          <w:spacing w:val="-2"/>
        </w:rPr>
        <w:t>сти и первые 2-3 месяца после родов. Установлена прямая зависимость между уровнем неспецифической резистентности организма матери с одной стор</w:t>
      </w:r>
      <w:r w:rsidRPr="00414261">
        <w:rPr>
          <w:spacing w:val="-2"/>
        </w:rPr>
        <w:t>о</w:t>
      </w:r>
      <w:r w:rsidRPr="00414261">
        <w:rPr>
          <w:spacing w:val="-2"/>
        </w:rPr>
        <w:t>ны, и внутриутробным развитием эмбриона, состоянием здоровья и сохра</w:t>
      </w:r>
      <w:r w:rsidRPr="00414261">
        <w:rPr>
          <w:spacing w:val="-2"/>
        </w:rPr>
        <w:t>н</w:t>
      </w:r>
      <w:r w:rsidRPr="00414261">
        <w:rPr>
          <w:spacing w:val="-2"/>
        </w:rPr>
        <w:t>ности новорожденных, с другой стороны. Например, телята, полученные от коров с субклинической патологией, имеют признаки внутриутробной гип</w:t>
      </w:r>
      <w:r w:rsidRPr="00414261">
        <w:rPr>
          <w:spacing w:val="-2"/>
        </w:rPr>
        <w:t>о</w:t>
      </w:r>
      <w:r w:rsidRPr="00414261">
        <w:rPr>
          <w:spacing w:val="-2"/>
        </w:rPr>
        <w:t>трофии, увеличена заболеваемость и снижена сохра</w:t>
      </w:r>
      <w:r w:rsidRPr="00414261">
        <w:rPr>
          <w:spacing w:val="-2"/>
        </w:rPr>
        <w:t>н</w:t>
      </w:r>
      <w:r w:rsidRPr="00414261">
        <w:rPr>
          <w:spacing w:val="-2"/>
        </w:rPr>
        <w:t>ность, а у их матерей – удлинены сроки отделения последа, повышен уровень гинекологических з</w:t>
      </w:r>
      <w:r w:rsidRPr="00414261">
        <w:rPr>
          <w:spacing w:val="-2"/>
        </w:rPr>
        <w:t>а</w:t>
      </w:r>
      <w:r w:rsidRPr="00414261">
        <w:rPr>
          <w:spacing w:val="-2"/>
        </w:rPr>
        <w:t>болеваний, снижаются показатели воспроизводительной способности, с</w:t>
      </w:r>
      <w:r w:rsidRPr="00414261">
        <w:rPr>
          <w:spacing w:val="-2"/>
        </w:rPr>
        <w:t>о</w:t>
      </w:r>
      <w:r w:rsidRPr="00414261">
        <w:rPr>
          <w:spacing w:val="-2"/>
        </w:rPr>
        <w:t>держания лактоглобулинов в молозиве, увеличивается выбраковка маточн</w:t>
      </w:r>
      <w:r w:rsidRPr="00414261">
        <w:rPr>
          <w:spacing w:val="-2"/>
        </w:rPr>
        <w:t>о</w:t>
      </w:r>
      <w:r w:rsidRPr="00414261">
        <w:rPr>
          <w:spacing w:val="-2"/>
        </w:rPr>
        <w:t>го стада до наступления периода его максимальной продуктивности. Пр</w:t>
      </w:r>
      <w:r w:rsidRPr="00414261">
        <w:rPr>
          <w:spacing w:val="-2"/>
        </w:rPr>
        <w:t>и</w:t>
      </w:r>
      <w:r w:rsidRPr="00414261">
        <w:rPr>
          <w:spacing w:val="-2"/>
        </w:rPr>
        <w:t>чин, вызывающих такого рода нарушения, много, однако основными из них являются стрессовые ситуации, возраст животных, инфекционные и нез</w:t>
      </w:r>
      <w:r w:rsidRPr="00414261">
        <w:rPr>
          <w:spacing w:val="-2"/>
        </w:rPr>
        <w:t>а</w:t>
      </w:r>
      <w:r w:rsidRPr="00414261">
        <w:rPr>
          <w:spacing w:val="-2"/>
        </w:rPr>
        <w:t>разные болезни, а также экологические неблагополучия, вызывающие сн</w:t>
      </w:r>
      <w:r w:rsidRPr="00414261">
        <w:rPr>
          <w:spacing w:val="-2"/>
        </w:rPr>
        <w:t>и</w:t>
      </w:r>
      <w:r w:rsidRPr="00414261">
        <w:rPr>
          <w:spacing w:val="-2"/>
        </w:rPr>
        <w:t>жение функции иммунной системы, приводящей к нарушениям деятельн</w:t>
      </w:r>
      <w:r w:rsidRPr="00414261">
        <w:rPr>
          <w:spacing w:val="-2"/>
        </w:rPr>
        <w:t>о</w:t>
      </w:r>
      <w:r w:rsidRPr="00414261">
        <w:rPr>
          <w:spacing w:val="-2"/>
        </w:rPr>
        <w:t>сти нер</w:t>
      </w:r>
      <w:r w:rsidRPr="00414261">
        <w:rPr>
          <w:spacing w:val="-2"/>
        </w:rPr>
        <w:t>в</w:t>
      </w:r>
      <w:r w:rsidRPr="00414261">
        <w:rPr>
          <w:spacing w:val="-2"/>
        </w:rPr>
        <w:t>ной, эндокринной и других систем.</w:t>
      </w:r>
    </w:p>
    <w:p w:rsidR="00F4654E" w:rsidRDefault="00F4654E">
      <w:pPr>
        <w:pStyle w:val="a6"/>
      </w:pPr>
      <w:r>
        <w:t>Что касается экспресс-методов обнаружения вторичных иммунодеф</w:t>
      </w:r>
      <w:r>
        <w:t>и</w:t>
      </w:r>
      <w:r>
        <w:t>цитов у взрослых животных, то этот вопрос до сих пор остается проблем</w:t>
      </w:r>
      <w:r>
        <w:t>а</w:t>
      </w:r>
      <w:r>
        <w:t>тичным. Многие исследователи считают, что с помощью определения с</w:t>
      </w:r>
      <w:r>
        <w:t>о</w:t>
      </w:r>
      <w:r>
        <w:t>держания Т- и В-лимфоцитов, иммуноглобулинов, нейтрофилов, активн</w:t>
      </w:r>
      <w:r>
        <w:t>о</w:t>
      </w:r>
      <w:r>
        <w:t>сти  комплемента можно судить о наличии или отсутствии иммунодефиц</w:t>
      </w:r>
      <w:r>
        <w:t>и</w:t>
      </w:r>
      <w:r>
        <w:lastRenderedPageBreak/>
        <w:t>та. Однако проведенные многочисленные исследования крови у свиней и поросят, коров и телят не дают нам оснований утверждать, что однокра</w:t>
      </w:r>
      <w:r>
        <w:t>т</w:t>
      </w:r>
      <w:r>
        <w:t>ного анализа крови по этим показателям достаточно для заключения о н</w:t>
      </w:r>
      <w:r>
        <w:t>а</w:t>
      </w:r>
      <w:r>
        <w:t>личии или отсутствии иммунодефицита у этих животных. В этой связи н</w:t>
      </w:r>
      <w:r>
        <w:t>а</w:t>
      </w:r>
      <w:r>
        <w:t>ми испытана методика определения естественного ингибирующего факт</w:t>
      </w:r>
      <w:r>
        <w:t>о</w:t>
      </w:r>
      <w:r>
        <w:t>ра (ЕИФ) макромолекулярных антител (Ig М), наличие которого свид</w:t>
      </w:r>
      <w:r>
        <w:t>е</w:t>
      </w:r>
      <w:r>
        <w:t>тельствует о вторичном иммунодефиците. Причем, как утверждает Родо</w:t>
      </w:r>
      <w:r>
        <w:t>с</w:t>
      </w:r>
      <w:r>
        <w:t>ская Н.К. (2001), показатель ЕИФ равный 1,2 и более свидетельствует о наличии иммунодефицита независимо от этиологии, вызвавшей его.</w:t>
      </w:r>
    </w:p>
    <w:p w:rsidR="00F4654E" w:rsidRDefault="00F4654E">
      <w:pPr>
        <w:pStyle w:val="a6"/>
      </w:pPr>
      <w:r>
        <w:t>Нами проводились исследования сывороток крови коров, находящи</w:t>
      </w:r>
      <w:r>
        <w:t>х</w:t>
      </w:r>
      <w:r>
        <w:t>ся в сухостойном периоде и 1-105 дневных телят, полученных от этих же животных. Было установлено, что при первичном исследовании стельных коров только 11,1% имели положительный индекс ЕИФ (1,2 – 1,25), а о</w:t>
      </w:r>
      <w:r>
        <w:t>с</w:t>
      </w:r>
      <w:r>
        <w:t>тальные реагировали отрицательно. При анализе сывороток коров через 21 день положительно прореагировало 30% животных (индекс ЕИФ 1,37). Последующие многократные исследования сывороток крови коров и телят с интервалом 7 дней показали, что ЕИФ обнаруживается не позднее 14 дней с момента его появления. Выявлена корреляция между течением б</w:t>
      </w:r>
      <w:r>
        <w:t>о</w:t>
      </w:r>
      <w:r>
        <w:t>лезни телят и обнаружением ЕИФ. Однако связь иммунодефицита матери и плода нами пока не доказана.</w:t>
      </w:r>
    </w:p>
    <w:p w:rsidR="00F4654E" w:rsidRDefault="00F4654E">
      <w:pPr>
        <w:pStyle w:val="a6"/>
      </w:pPr>
      <w:r>
        <w:t>Таким образом, представленные данные свидетельствуют о том, что при наличии своевременной и достоверной диагностики дефицита в несп</w:t>
      </w:r>
      <w:r>
        <w:t>е</w:t>
      </w:r>
      <w:r>
        <w:t xml:space="preserve">цифической резистентности организма, гуморальном или клеточном звеньях иммунитета имеется возможность коррекции иммунологического статуса и естественной резистентности у животных. </w:t>
      </w:r>
    </w:p>
    <w:p w:rsidR="00F4654E" w:rsidRDefault="00F4654E">
      <w:pPr>
        <w:pStyle w:val="a6"/>
      </w:pPr>
      <w:r>
        <w:t>На практике для стимуляции фагоцитарной, лизоцимной и компл</w:t>
      </w:r>
      <w:r w:rsidR="00D7004F">
        <w:t>е</w:t>
      </w:r>
      <w:r>
        <w:t>ментарной активностей сыворотки крови, применяют препараты иммуно</w:t>
      </w:r>
      <w:r>
        <w:t>г</w:t>
      </w:r>
      <w:r>
        <w:t>лобулинов, сыворотки крови и кровь, адаптогены, тканевые препараты и т.д. Причем препараты, используемые для стимулирования неспецифич</w:t>
      </w:r>
      <w:r>
        <w:t>е</w:t>
      </w:r>
      <w:r>
        <w:t>ской резистентности, обладают избирательным действием на ее различные звенья, а заболевания, зачастую вызывают специфические изменения в р</w:t>
      </w:r>
      <w:r>
        <w:t>е</w:t>
      </w:r>
      <w:r>
        <w:t>зистентности организма. Поэтому перед практиками встает проблема в</w:t>
      </w:r>
      <w:r>
        <w:t>ы</w:t>
      </w:r>
      <w:r>
        <w:t>бора средств стимуляции неспецифической резистентности при профила</w:t>
      </w:r>
      <w:r>
        <w:t>к</w:t>
      </w:r>
      <w:r>
        <w:t>тике и лечении той или иной патологии.</w:t>
      </w:r>
    </w:p>
    <w:p w:rsidR="00F4654E" w:rsidRDefault="00F4654E">
      <w:pPr>
        <w:pStyle w:val="a6"/>
      </w:pPr>
      <w:r>
        <w:t>В связи с этим необходимо знать:</w:t>
      </w:r>
    </w:p>
    <w:p w:rsidR="00F4654E" w:rsidRDefault="00F4654E">
      <w:pPr>
        <w:pStyle w:val="a6"/>
      </w:pPr>
      <w:r>
        <w:tab/>
        <w:t>– введение иммуномодуляторов больным животным может привести к обострению болезни и возможной гибели;</w:t>
      </w:r>
    </w:p>
    <w:p w:rsidR="00F4654E" w:rsidRDefault="00F4654E">
      <w:pPr>
        <w:pStyle w:val="a6"/>
      </w:pPr>
      <w:r>
        <w:tab/>
        <w:t>– введение активаторов воспалительной реакции, таких как липоп</w:t>
      </w:r>
      <w:r>
        <w:t>о</w:t>
      </w:r>
      <w:r>
        <w:t>лисахаридов, адъювантов, некоторых медиаторов и т.д. может усиливать также симптомы болезни и ускорять гибель при некоторых инфекциях;</w:t>
      </w:r>
    </w:p>
    <w:p w:rsidR="00F4654E" w:rsidRPr="00414261" w:rsidRDefault="00F4654E">
      <w:pPr>
        <w:pStyle w:val="a6"/>
        <w:rPr>
          <w:spacing w:val="-4"/>
        </w:rPr>
      </w:pPr>
      <w:r w:rsidRPr="00414261">
        <w:rPr>
          <w:spacing w:val="-4"/>
        </w:rPr>
        <w:tab/>
        <w:t>– введение ингибиторов воспалительной реакции может привести к л</w:t>
      </w:r>
      <w:r w:rsidRPr="00414261">
        <w:rPr>
          <w:spacing w:val="-4"/>
        </w:rPr>
        <w:t>и</w:t>
      </w:r>
      <w:r w:rsidRPr="00414261">
        <w:rPr>
          <w:spacing w:val="-4"/>
        </w:rPr>
        <w:t>квидации симптомов болезни, но не предотвращает персистенцию вир</w:t>
      </w:r>
      <w:r w:rsidRPr="00414261">
        <w:rPr>
          <w:spacing w:val="-4"/>
        </w:rPr>
        <w:t>у</w:t>
      </w:r>
      <w:r w:rsidRPr="00414261">
        <w:rPr>
          <w:spacing w:val="-4"/>
        </w:rPr>
        <w:t>сов.</w:t>
      </w:r>
    </w:p>
    <w:p w:rsidR="00F4654E" w:rsidRDefault="00F4654E">
      <w:pPr>
        <w:pStyle w:val="a6"/>
      </w:pPr>
      <w:r>
        <w:lastRenderedPageBreak/>
        <w:t>Следовательно, повсеместное использование иммуномодуляторов и вакцин с адъювантами может приводить к нежелательным явлениям.</w:t>
      </w:r>
    </w:p>
    <w:p w:rsidR="00F4654E" w:rsidRDefault="00F4654E">
      <w:pPr>
        <w:pStyle w:val="a4"/>
      </w:pPr>
      <w:r>
        <w:t>УДК 636.03:579.842.23</w:t>
      </w:r>
    </w:p>
    <w:p w:rsidR="00F4654E" w:rsidRDefault="00F4654E">
      <w:pPr>
        <w:pStyle w:val="1"/>
      </w:pPr>
      <w:bookmarkStart w:id="2007" w:name="_Toc10731278"/>
      <w:bookmarkStart w:id="2008" w:name="_Toc10731939"/>
      <w:bookmarkStart w:id="2009" w:name="_Toc10891785"/>
      <w:bookmarkStart w:id="2010" w:name="_Toc10892460"/>
      <w:bookmarkStart w:id="2011" w:name="_Toc11390323"/>
      <w:bookmarkStart w:id="2012" w:name="_Toc11840002"/>
      <w:bookmarkStart w:id="2013" w:name="_Toc11937538"/>
      <w:r>
        <w:t>ЭЛЕКТРОННО-МИКРОСКОПИЧЕСКОЕ ИССЛЕДОВАНИЕ ВЗАИМОДЕЙСТВИЯ МИКРОВОДОРОСЛЕЙ С САЛЬМОНЕЛЛАМИ</w:t>
      </w:r>
      <w:bookmarkEnd w:id="2007"/>
      <w:bookmarkEnd w:id="2008"/>
      <w:bookmarkEnd w:id="2009"/>
      <w:bookmarkEnd w:id="2010"/>
      <w:bookmarkEnd w:id="2011"/>
      <w:bookmarkEnd w:id="2012"/>
      <w:bookmarkEnd w:id="2013"/>
    </w:p>
    <w:p w:rsidR="00F4654E" w:rsidRDefault="00F4654E">
      <w:pPr>
        <w:pStyle w:val="2"/>
      </w:pPr>
      <w:bookmarkStart w:id="2014" w:name="_Toc10731279"/>
      <w:bookmarkStart w:id="2015" w:name="_Toc10731940"/>
      <w:bookmarkStart w:id="2016" w:name="_Toc10891786"/>
      <w:bookmarkStart w:id="2017" w:name="_Toc10892461"/>
      <w:bookmarkStart w:id="2018" w:name="_Toc11390324"/>
      <w:bookmarkStart w:id="2019" w:name="_Toc11937539"/>
      <w:r>
        <w:t>Зуев В.С.</w:t>
      </w:r>
      <w:bookmarkEnd w:id="2014"/>
      <w:bookmarkEnd w:id="2015"/>
      <w:bookmarkEnd w:id="2016"/>
      <w:bookmarkEnd w:id="2017"/>
      <w:bookmarkEnd w:id="2018"/>
      <w:bookmarkEnd w:id="2019"/>
    </w:p>
    <w:p w:rsidR="00F4654E" w:rsidRDefault="00F4654E">
      <w:pPr>
        <w:pStyle w:val="a5"/>
      </w:pPr>
      <w:r>
        <w:t>Всероссийский НИИ ветеринарной санитарии, гигиены и экологии</w:t>
      </w:r>
    </w:p>
    <w:p w:rsidR="00F4654E" w:rsidRDefault="00F4654E">
      <w:pPr>
        <w:pStyle w:val="a6"/>
      </w:pPr>
      <w:r>
        <w:t>Учение о сапрофитической фазе существования патогенных бактерий в окружающей среде является новым подходом к изучению проблемы б</w:t>
      </w:r>
      <w:r>
        <w:t>о</w:t>
      </w:r>
      <w:r>
        <w:t xml:space="preserve">лезней животных, в том числе в раннем постнатальном периоде. </w:t>
      </w:r>
    </w:p>
    <w:p w:rsidR="00F4654E" w:rsidRDefault="00F4654E">
      <w:pPr>
        <w:pStyle w:val="a6"/>
      </w:pPr>
      <w:r>
        <w:t>Экологические аспекты существования популяций патогенных бакт</w:t>
      </w:r>
      <w:r>
        <w:t>е</w:t>
      </w:r>
      <w:r>
        <w:t>рий в водных и почвенных системах важны для понимания опасности з</w:t>
      </w:r>
      <w:r>
        <w:t>а</w:t>
      </w:r>
      <w:r>
        <w:t xml:space="preserve">ражения организма животных из водных и почвенных источников. </w:t>
      </w:r>
    </w:p>
    <w:p w:rsidR="00F4654E" w:rsidRDefault="00F4654E">
      <w:pPr>
        <w:pStyle w:val="a6"/>
      </w:pPr>
      <w:r>
        <w:t>В этом направлении ведутся научные работы и имеется целый ряд публикаций, в частности, о возможности существования патогенных ба</w:t>
      </w:r>
      <w:r>
        <w:t>к</w:t>
      </w:r>
      <w:r>
        <w:t>терий в водной среде и их биоценотические взаимоотношения с предст</w:t>
      </w:r>
      <w:r>
        <w:t>а</w:t>
      </w:r>
      <w:r>
        <w:t>вителями планктона (Литвин В.Ю. с соавт., 1998 г., Михайлова А.Е. с с</w:t>
      </w:r>
      <w:r>
        <w:t>о</w:t>
      </w:r>
      <w:r>
        <w:t>авт. 2000 г.).</w:t>
      </w:r>
    </w:p>
    <w:p w:rsidR="00F4654E" w:rsidRPr="00414261" w:rsidRDefault="00F4654E">
      <w:pPr>
        <w:pStyle w:val="a6"/>
        <w:rPr>
          <w:spacing w:val="-2"/>
        </w:rPr>
      </w:pPr>
      <w:r w:rsidRPr="00414261">
        <w:rPr>
          <w:spacing w:val="-2"/>
        </w:rPr>
        <w:t>В летний период 2001 года по данным санэпидстанций были зарегис</w:t>
      </w:r>
      <w:r w:rsidRPr="00414261">
        <w:rPr>
          <w:spacing w:val="-2"/>
        </w:rPr>
        <w:t>т</w:t>
      </w:r>
      <w:r w:rsidRPr="00414261">
        <w:rPr>
          <w:spacing w:val="-2"/>
        </w:rPr>
        <w:t>рированы вспышки острых кишечных инфекций, вызванных патогенными грамотрицательными бактериями, источниками которых являлись вод</w:t>
      </w:r>
      <w:r w:rsidRPr="00414261">
        <w:rPr>
          <w:spacing w:val="-2"/>
        </w:rPr>
        <w:t>о</w:t>
      </w:r>
      <w:r w:rsidRPr="00414261">
        <w:rPr>
          <w:spacing w:val="-2"/>
        </w:rPr>
        <w:t>емы.</w:t>
      </w:r>
    </w:p>
    <w:p w:rsidR="00F4654E" w:rsidRDefault="00F4654E">
      <w:pPr>
        <w:pStyle w:val="a6"/>
      </w:pPr>
      <w:r>
        <w:t>Приведенные данные свидетельствуют о необходимости проведения фундаментальных исследований в области изучения выживаемости, ра</w:t>
      </w:r>
      <w:r>
        <w:t>з</w:t>
      </w:r>
      <w:r>
        <w:t>множения и изменчивости популяций патогенных бактерий, а также их взаимоотношений с гидробионтами водных экосистем.</w:t>
      </w:r>
    </w:p>
    <w:p w:rsidR="00F4654E" w:rsidRDefault="00F4654E">
      <w:pPr>
        <w:pStyle w:val="a6"/>
      </w:pPr>
      <w:r>
        <w:t>Данная работа посвящена изучению поведения популяций сальмонелл при их взаимодействии с микроводорослями in vitro с использованием м</w:t>
      </w:r>
      <w:r>
        <w:t>е</w:t>
      </w:r>
      <w:r>
        <w:t>тода сканирующей электронной микроскопии.</w:t>
      </w:r>
    </w:p>
    <w:p w:rsidR="00F4654E" w:rsidRDefault="00F4654E">
      <w:pPr>
        <w:pStyle w:val="a6"/>
      </w:pPr>
      <w:r>
        <w:t>В качестве тест-штамма использовали Salmonella typhi</w:t>
      </w:r>
      <w:r w:rsidR="007A098E" w:rsidRPr="007A098E">
        <w:t xml:space="preserve"> </w:t>
      </w:r>
      <w:r>
        <w:t>murium в ко</w:t>
      </w:r>
      <w:r>
        <w:t>н</w:t>
      </w:r>
      <w:r>
        <w:t>центрации 10</w:t>
      </w:r>
      <w:r>
        <w:rPr>
          <w:vertAlign w:val="superscript"/>
        </w:rPr>
        <w:t>7</w:t>
      </w:r>
      <w:r>
        <w:t xml:space="preserve"> КОЕ/мл. Для изучения взаимодействия служили микров</w:t>
      </w:r>
      <w:r>
        <w:t>о</w:t>
      </w:r>
      <w:r>
        <w:t>доросли Chlorella выращенные на покровных стеклах в виде монослойной культуры, а также нитчатые зеленые водоросли, выделенные из воды. И</w:t>
      </w:r>
      <w:r>
        <w:t>с</w:t>
      </w:r>
      <w:r>
        <w:t>следование микроводорослей в монослойной культуре на покровных сте</w:t>
      </w:r>
      <w:r>
        <w:t>к</w:t>
      </w:r>
      <w:r>
        <w:t>лах позволяет проводить изучение по взаимодействию их с патогенными бактериями с применением как световой, так и электронной микроскопии. Фиксацию контрольных и опытных образцов проводили 2% глутаровым альдегидом на фосфатном буфере pH 6,8-7,0 с последующим обезвожив</w:t>
      </w:r>
      <w:r>
        <w:t>а</w:t>
      </w:r>
      <w:r>
        <w:t>нием в возрастающих концентрациях спиртов (50</w:t>
      </w:r>
      <w:r>
        <w:rPr>
          <w:vertAlign w:val="superscript"/>
        </w:rPr>
        <w:t>0</w:t>
      </w:r>
      <w:r>
        <w:t>-70</w:t>
      </w:r>
      <w:r>
        <w:rPr>
          <w:vertAlign w:val="superscript"/>
        </w:rPr>
        <w:t>0</w:t>
      </w:r>
      <w:r>
        <w:t>-96</w:t>
      </w:r>
      <w:r>
        <w:rPr>
          <w:vertAlign w:val="superscript"/>
        </w:rPr>
        <w:t>0</w:t>
      </w:r>
      <w:r>
        <w:t>-100</w:t>
      </w:r>
      <w:r>
        <w:rPr>
          <w:vertAlign w:val="superscript"/>
        </w:rPr>
        <w:t>0</w:t>
      </w:r>
      <w:r>
        <w:t>). Препар</w:t>
      </w:r>
      <w:r>
        <w:t>а</w:t>
      </w:r>
      <w:r>
        <w:t>ты для сканирующей электронной микроскопии закрепляли на медных пластинках, дополнительно обезвоживали пропиленоксидом, напыляли з</w:t>
      </w:r>
      <w:r>
        <w:t>о</w:t>
      </w:r>
      <w:r>
        <w:lastRenderedPageBreak/>
        <w:t>лотом и просматривали в электронном микроскопе Hitachi-800 со скан</w:t>
      </w:r>
      <w:r>
        <w:t>и</w:t>
      </w:r>
      <w:r>
        <w:t>рующей приставкой.</w:t>
      </w:r>
    </w:p>
    <w:p w:rsidR="00F4654E" w:rsidRDefault="00F4654E">
      <w:pPr>
        <w:pStyle w:val="a6"/>
      </w:pPr>
      <w:r>
        <w:t>Экспериментальными исследованиями показана сапрофитическая ф</w:t>
      </w:r>
      <w:r>
        <w:t>а</w:t>
      </w:r>
      <w:r>
        <w:t>за существования сальмонелл в водной среде при различных темпера-турах, характерных для сезона года. При этом установлено влияние темп</w:t>
      </w:r>
      <w:r>
        <w:t>е</w:t>
      </w:r>
      <w:r>
        <w:t xml:space="preserve">ратуры воды на морфологию и биологические свойства клеток сальмонелл в популяции. </w:t>
      </w:r>
    </w:p>
    <w:p w:rsidR="00F4654E" w:rsidRDefault="00F4654E">
      <w:pPr>
        <w:pStyle w:val="a6"/>
      </w:pPr>
      <w:r>
        <w:t>В результате исследования показано, что через 3-6 часов при темпер</w:t>
      </w:r>
      <w:r>
        <w:t>а</w:t>
      </w:r>
      <w:r>
        <w:t>туре +22</w:t>
      </w:r>
      <w:r>
        <w:rPr>
          <w:vertAlign w:val="superscript"/>
        </w:rPr>
        <w:t>0</w:t>
      </w:r>
      <w:r>
        <w:t>…+25</w:t>
      </w:r>
      <w:r>
        <w:rPr>
          <w:vertAlign w:val="superscript"/>
        </w:rPr>
        <w:t>0</w:t>
      </w:r>
      <w:r>
        <w:t>C клетки сальмонелл адгезировались, интенсивно размн</w:t>
      </w:r>
      <w:r>
        <w:t>о</w:t>
      </w:r>
      <w:r>
        <w:t>жались и колонизировались с образованием покровов на поверхностях микроводорослей. Благоприятные условия развития сальмонелл в водной среде и видимая сохранность клеток микроводорослей свидетельствовали об их симбиотическом существовании. Наблюдаемый нами активный пр</w:t>
      </w:r>
      <w:r>
        <w:t>о</w:t>
      </w:r>
      <w:r>
        <w:t>цесс адгезии и колонизации клеток сальмонелл in vitro при температуре воды +22</w:t>
      </w:r>
      <w:r>
        <w:rPr>
          <w:vertAlign w:val="superscript"/>
        </w:rPr>
        <w:t>0</w:t>
      </w:r>
      <w:r>
        <w:t>… +25</w:t>
      </w:r>
      <w:r>
        <w:rPr>
          <w:vertAlign w:val="superscript"/>
        </w:rPr>
        <w:t>0</w:t>
      </w:r>
      <w:r>
        <w:t>C, соответствует температуре воды водоемов в летний период года.</w:t>
      </w:r>
    </w:p>
    <w:p w:rsidR="00F4654E" w:rsidRDefault="00F4654E">
      <w:pPr>
        <w:pStyle w:val="a6"/>
      </w:pPr>
      <w:r>
        <w:t>Экспериментальными исследованиями установлено, что активный процесс адгезии и колонизации клеток сальмонелл при их взаимодействии с микроводорослями происходит при повышенных температурах воды +22</w:t>
      </w:r>
      <w:r>
        <w:rPr>
          <w:vertAlign w:val="superscript"/>
        </w:rPr>
        <w:t>0</w:t>
      </w:r>
      <w:r>
        <w:t>… +25</w:t>
      </w:r>
      <w:r>
        <w:rPr>
          <w:vertAlign w:val="superscript"/>
        </w:rPr>
        <w:t>0</w:t>
      </w:r>
      <w:r>
        <w:t>C, в результате чего идет быстрое размножение сальмонелл с накоплением колоний и микроколоний, закрытых снаружи покровами, что может быть чрезвычайно опасным для заражения водных источников.</w:t>
      </w:r>
    </w:p>
    <w:p w:rsidR="00F4654E" w:rsidRDefault="00F4654E">
      <w:pPr>
        <w:pStyle w:val="a6"/>
      </w:pPr>
      <w:r>
        <w:t>Низкие показатели температуры воды (+10</w:t>
      </w:r>
      <w:r>
        <w:rPr>
          <w:vertAlign w:val="superscript"/>
        </w:rPr>
        <w:t>0</w:t>
      </w:r>
      <w:r>
        <w:t>C) вели к глубокой биол</w:t>
      </w:r>
      <w:r>
        <w:t>о</w:t>
      </w:r>
      <w:r>
        <w:t>гической перестройке клеток сальмонелл в виде гетероморфизма, с проя</w:t>
      </w:r>
      <w:r>
        <w:t>в</w:t>
      </w:r>
      <w:r>
        <w:t>лением L-трансформации и образованием L-форм. Показано, что клетки сальмонелл, находящиеся на стадии L-трансформации не адгезировались, а, следовательно, не колонизировались, о чем свидетельствовало их отсу</w:t>
      </w:r>
      <w:r>
        <w:t>т</w:t>
      </w:r>
      <w:r>
        <w:t>ствие на поверхностях микроводорослей.</w:t>
      </w:r>
    </w:p>
    <w:p w:rsidR="00F4654E" w:rsidRDefault="00F4654E">
      <w:pPr>
        <w:pStyle w:val="a6"/>
      </w:pPr>
      <w:r>
        <w:t>Обобщая полученные данные экспериментов можно констатировать, что в условиях пониженных температур бактерии не отмирают, а знач</w:t>
      </w:r>
      <w:r>
        <w:t>и</w:t>
      </w:r>
      <w:r>
        <w:t>тельная их часть переходит в фазу L-трансформации с образованием L-форм, как наиболее приспособленных к воздействию стрессовых факторов.</w:t>
      </w:r>
    </w:p>
    <w:p w:rsidR="00F4654E" w:rsidRDefault="00F4654E">
      <w:pPr>
        <w:pStyle w:val="a6"/>
      </w:pPr>
      <w:r>
        <w:t>Таким образом, в летний период времени возможна активизация ра</w:t>
      </w:r>
      <w:r>
        <w:t>з</w:t>
      </w:r>
      <w:r>
        <w:t>множения патогенных бактерий в естественных водоемах, что создает и</w:t>
      </w:r>
      <w:r>
        <w:t>с</w:t>
      </w:r>
      <w:r>
        <w:t>точник заражения для птиц, животных и человека. В зимний период вр</w:t>
      </w:r>
      <w:r>
        <w:t>е</w:t>
      </w:r>
      <w:r>
        <w:t>мени процесс L-трансформации обеспечивает поддержание жизнеспосо</w:t>
      </w:r>
      <w:r>
        <w:t>б</w:t>
      </w:r>
      <w:r>
        <w:t xml:space="preserve">ности патогенных бактерий в некультивируемом состоянии. </w:t>
      </w:r>
    </w:p>
    <w:p w:rsidR="00F4654E" w:rsidRDefault="00F4654E">
      <w:pPr>
        <w:pStyle w:val="a6"/>
      </w:pPr>
      <w:r>
        <w:t>Микроводоросли являются всего лишь одним звеном в сложной цепи взаимоотношений патогенных бактерий с гидробионтами, однако, пол</w:t>
      </w:r>
      <w:r>
        <w:t>у</w:t>
      </w:r>
      <w:r>
        <w:t>ченные данные свидетельствуют о том, что при определенных условиях они могут служить резервуаром для патогенных бактерий.</w:t>
      </w:r>
    </w:p>
    <w:p w:rsidR="0047197F" w:rsidRDefault="0047197F">
      <w:pPr>
        <w:pStyle w:val="a6"/>
      </w:pPr>
    </w:p>
    <w:p w:rsidR="00F4654E" w:rsidRDefault="00F4654E">
      <w:pPr>
        <w:pStyle w:val="a4"/>
      </w:pPr>
      <w:r>
        <w:lastRenderedPageBreak/>
        <w:t>УДК 619:616.9</w:t>
      </w:r>
    </w:p>
    <w:p w:rsidR="00F4654E" w:rsidRDefault="00F4654E">
      <w:pPr>
        <w:pStyle w:val="1"/>
      </w:pPr>
      <w:bookmarkStart w:id="2020" w:name="_Toc10731275"/>
      <w:bookmarkStart w:id="2021" w:name="_Toc10731936"/>
      <w:bookmarkStart w:id="2022" w:name="_Toc10891783"/>
      <w:bookmarkStart w:id="2023" w:name="_Toc10892458"/>
      <w:bookmarkStart w:id="2024" w:name="_Toc11390321"/>
      <w:bookmarkStart w:id="2025" w:name="_Toc11840004"/>
      <w:bookmarkStart w:id="2026" w:name="_Toc11937540"/>
      <w:r>
        <w:t>Чувствительность к антибиотикам патогенных и непатогенных штаммов эшерихий, выделенных из объектов</w:t>
      </w:r>
      <w:bookmarkEnd w:id="2020"/>
      <w:bookmarkEnd w:id="2021"/>
      <w:r>
        <w:t xml:space="preserve"> </w:t>
      </w:r>
      <w:bookmarkStart w:id="2027" w:name="_Toc10731276"/>
      <w:bookmarkStart w:id="2028" w:name="_Toc10731937"/>
      <w:r>
        <w:t>внешней среды и патологического материала при желудочно-кишечных заболеваниях молодняка животных</w:t>
      </w:r>
      <w:bookmarkEnd w:id="2022"/>
      <w:bookmarkEnd w:id="2023"/>
      <w:bookmarkEnd w:id="2024"/>
      <w:bookmarkEnd w:id="2025"/>
      <w:bookmarkEnd w:id="2026"/>
      <w:bookmarkEnd w:id="2027"/>
      <w:bookmarkEnd w:id="2028"/>
    </w:p>
    <w:p w:rsidR="00F4654E" w:rsidRDefault="00F4654E">
      <w:pPr>
        <w:pStyle w:val="2"/>
      </w:pPr>
      <w:bookmarkStart w:id="2029" w:name="_Toc10731277"/>
      <w:bookmarkStart w:id="2030" w:name="_Toc10731938"/>
      <w:bookmarkStart w:id="2031" w:name="_Toc10891784"/>
      <w:bookmarkStart w:id="2032" w:name="_Toc10892459"/>
      <w:bookmarkStart w:id="2033" w:name="_Toc11390322"/>
      <w:bookmarkStart w:id="2034" w:name="_Toc11937541"/>
      <w:r>
        <w:t>Золотухин С.Н., Молофеева Н.И., Бульканова  Е.А., Васильев Д.А.</w:t>
      </w:r>
      <w:bookmarkEnd w:id="2029"/>
      <w:bookmarkEnd w:id="2030"/>
      <w:bookmarkEnd w:id="2031"/>
      <w:bookmarkEnd w:id="2032"/>
      <w:bookmarkEnd w:id="2033"/>
      <w:bookmarkEnd w:id="2034"/>
    </w:p>
    <w:p w:rsidR="00F4654E" w:rsidRDefault="00F4654E">
      <w:pPr>
        <w:pStyle w:val="a5"/>
      </w:pPr>
      <w:r>
        <w:t>Ульяновская государственная сельскохозяйственная академия</w:t>
      </w:r>
    </w:p>
    <w:p w:rsidR="00F4654E" w:rsidRDefault="00F4654E">
      <w:pPr>
        <w:pStyle w:val="a6"/>
      </w:pPr>
      <w:r>
        <w:t>Роль E. coli как возбудителя заболеваний молодняка разных видов сельскохозяйственных животных общепризнанна и имеет более вековую историю. К настоящему времени известно более 9000 серологических в</w:t>
      </w:r>
      <w:r>
        <w:t>а</w:t>
      </w:r>
      <w:r>
        <w:t>риантов эшерихий по О-, К- и Н-антигенам, однако лишь незначительная часть способна вызывать кишечные инфекции у животных и человека (В.А. Малов, С.Г. Пак, 1996). Ведущая роль в развитии диареи новоро</w:t>
      </w:r>
      <w:r>
        <w:t>ж</w:t>
      </w:r>
      <w:r>
        <w:t>денных поросят, телят и ягнят принадлежит энтеротоксигенным штаммам эшерихий с адгезивными антигенами K88, К99, 987Р, F41, F18, A20 Att25. Наиболее часто у телят вызывают заболевания штаммы эшерихий сл</w:t>
      </w:r>
      <w:r>
        <w:t>е</w:t>
      </w:r>
      <w:r>
        <w:t>дующих серогрупп - О8, О9, О15, О20, О26, О35, О78, О86, О101, О115, О119, О141, реже - О2, О33, О41, О55, О103, О127, О137; у поросят - О8, О26, 033, О101, О138, О139, О141, О142, О149, О151, О157; у ягнят - О4, О8, О9, О15, О20, О26, О35, О41, О78, О101, О137; у птиц - О1, О2, О8, О15, О18, О26, О55, О78, О111, О115, О126, О141. В настоящее время у</w:t>
      </w:r>
      <w:r>
        <w:t>с</w:t>
      </w:r>
      <w:r>
        <w:t>тановлено, что диарею у молодняка животных с признаками геморрагич</w:t>
      </w:r>
      <w:r>
        <w:t>е</w:t>
      </w:r>
      <w:r>
        <w:t>ского гастроэнтерита могут также как и у людей, вызывать штаммы эш</w:t>
      </w:r>
      <w:r>
        <w:t>е</w:t>
      </w:r>
      <w:r>
        <w:t>рихий серогруппы О157 (серовары О157:Н7 и О157Н-), образующие шиг</w:t>
      </w:r>
      <w:r>
        <w:t>о</w:t>
      </w:r>
      <w:r>
        <w:t>подобный вероцитотоксин.</w:t>
      </w:r>
    </w:p>
    <w:p w:rsidR="00F4654E" w:rsidRDefault="00F4654E">
      <w:pPr>
        <w:pStyle w:val="a6"/>
      </w:pPr>
      <w:r>
        <w:tab/>
        <w:t>Применение антибиотиков при лечении желудочно-кишечных заб</w:t>
      </w:r>
      <w:r>
        <w:t>о</w:t>
      </w:r>
      <w:r>
        <w:t>леваний молодняка не всегда бывает эффективным. Причиной этого явл</w:t>
      </w:r>
      <w:r>
        <w:t>я</w:t>
      </w:r>
      <w:r>
        <w:t>ется повышение устойчивости возбудителей болезни к применяемым в х</w:t>
      </w:r>
      <w:r>
        <w:t>о</w:t>
      </w:r>
      <w:r>
        <w:t>зяйствах антибактериальным препаратам. Поэтому целью наших исслед</w:t>
      </w:r>
      <w:r>
        <w:t>о</w:t>
      </w:r>
      <w:r>
        <w:t>ваний явилось изучение чувствительности к антибиотикам штаммов эш</w:t>
      </w:r>
      <w:r>
        <w:t>е</w:t>
      </w:r>
      <w:r>
        <w:t>рихий патогенных и непатогенных серогрупп.</w:t>
      </w:r>
      <w:r>
        <w:tab/>
      </w:r>
    </w:p>
    <w:p w:rsidR="00F4654E" w:rsidRDefault="00F4654E">
      <w:pPr>
        <w:pStyle w:val="a6"/>
      </w:pPr>
      <w:r>
        <w:t>Выделение и идентификацию эшерихий проводили согласно “Мет</w:t>
      </w:r>
      <w:r>
        <w:t>о</w:t>
      </w:r>
      <w:r>
        <w:t>дическим указаниям по бактериологической диагностике колибактериоза (эшерихиоза) животных” (2000). Серогрупповую принадлежность выд</w:t>
      </w:r>
      <w:r>
        <w:t>е</w:t>
      </w:r>
      <w:r>
        <w:t>ленных культур определяли по О-антигену с набором поливалентных и с</w:t>
      </w:r>
      <w:r>
        <w:t>е</w:t>
      </w:r>
      <w:r>
        <w:t>рогрупповых О-коли сывороток в соответствии с действующим наставл</w:t>
      </w:r>
      <w:r>
        <w:t>е</w:t>
      </w:r>
      <w:r>
        <w:t>нием по их применению. Культуры эшерихий, не агглютинирующиеся с О-сыворотками подвергали исследованию на патогенность методом внутр</w:t>
      </w:r>
      <w:r>
        <w:t>и</w:t>
      </w:r>
      <w:r>
        <w:t>брюшинного заражения белых мышей суспензиями суточных агаровых культур в дозе 500 млн. м.к. Определение чувствительности к антибиот</w:t>
      </w:r>
      <w:r>
        <w:t>и</w:t>
      </w:r>
      <w:r>
        <w:t>кам проводили методом диффузии в агар с помощью стандартных дисков.</w:t>
      </w:r>
    </w:p>
    <w:p w:rsidR="00F4654E" w:rsidRDefault="00F4654E">
      <w:pPr>
        <w:pStyle w:val="a6"/>
      </w:pPr>
      <w:r>
        <w:lastRenderedPageBreak/>
        <w:t xml:space="preserve">Нами было изучено 35 штаммов эшерихий, выделенных из объектов внешней среды животноводческих ферм и патологического материала от больных и павших телят и поросят, из которых 14 изолятов были отнесены к патогенным серогруппам. </w:t>
      </w:r>
    </w:p>
    <w:p w:rsidR="00F4654E" w:rsidRDefault="00F4654E">
      <w:pPr>
        <w:pStyle w:val="a6"/>
      </w:pPr>
      <w:r>
        <w:t>Изучение чувствительности к 20-ти антибиотикам показало, что инг</w:t>
      </w:r>
      <w:r>
        <w:t>и</w:t>
      </w:r>
      <w:r>
        <w:t>бирующей активностью к большинству патогенных и непатогенных шта</w:t>
      </w:r>
      <w:r>
        <w:t>м</w:t>
      </w:r>
      <w:r>
        <w:t>мов обладали цефоперазом и ципрофлокеацином. Они были активны в о</w:t>
      </w:r>
      <w:r>
        <w:t>т</w:t>
      </w:r>
      <w:r>
        <w:t>ношении 32 штаммов эшерихий, что составило 91,4% от количества иссл</w:t>
      </w:r>
      <w:r>
        <w:t>е</w:t>
      </w:r>
      <w:r>
        <w:t>дуемых культур. Высокую активность проявили такие антибиотики как с</w:t>
      </w:r>
      <w:r>
        <w:t>и</w:t>
      </w:r>
      <w:r>
        <w:t>зомицин, который ингибировал 28 культур (80%); левомицетин был акт</w:t>
      </w:r>
      <w:r>
        <w:t>и</w:t>
      </w:r>
      <w:r>
        <w:t>вен по отношению к 27 культурам (77,1%); хлорамфемикол и  канамицин – к 26  культурам (74,3%): интамицин – к 25 (71,4%); клотримазол – к 20 (57,1%); стрептомицин – к 12 (34,2%); мономицин – к 9 (25,7%); азлоци</w:t>
      </w:r>
      <w:r>
        <w:t>л</w:t>
      </w:r>
      <w:r>
        <w:t>лин – 6 (17,1%) штаммам эшерихий. Наименьшую активность проявили такие антибиотики как ампициллин, к которому были устойчивы все пат</w:t>
      </w:r>
      <w:r>
        <w:t>о</w:t>
      </w:r>
      <w:r>
        <w:t>генные и непатогенные штаммы, к пенициллину был чувствителен только один штамм (2,8%), к карбициллину, линкомицину, оксациллину и олеа</w:t>
      </w:r>
      <w:r>
        <w:t>н</w:t>
      </w:r>
      <w:r>
        <w:t xml:space="preserve">домицину – по два штамма (5,7%), рифампициллину – три штамма (8,6%), к доксициклину и эритромицину были чувствительны по четыре штамма эшерихий (11,4%). </w:t>
      </w:r>
    </w:p>
    <w:p w:rsidR="00F4654E" w:rsidRDefault="00F4654E">
      <w:pPr>
        <w:pStyle w:val="a6"/>
      </w:pPr>
      <w:r>
        <w:t>Результаты наших исследований показали, что достоверной зависим</w:t>
      </w:r>
      <w:r>
        <w:t>о</w:t>
      </w:r>
      <w:r>
        <w:t>сти между патогенностью и чувствительностью к антибиотикам не отм</w:t>
      </w:r>
      <w:r>
        <w:t>е</w:t>
      </w:r>
      <w:r>
        <w:t>чалось. Таким образом, применение активных антибактериальных преп</w:t>
      </w:r>
      <w:r>
        <w:t>а</w:t>
      </w:r>
      <w:r>
        <w:t>ратов приведет к гибели не только патогенных, но и непатогенных шта</w:t>
      </w:r>
      <w:r>
        <w:t>м</w:t>
      </w:r>
      <w:r>
        <w:t>мов эшерихий, которые являются представителями нормальной микрофл</w:t>
      </w:r>
      <w:r>
        <w:t>о</w:t>
      </w:r>
      <w:r>
        <w:t>рой кишечника, что может явиться причиной развития дисбактериоза к</w:t>
      </w:r>
      <w:r>
        <w:t>и</w:t>
      </w:r>
      <w:r>
        <w:t>шечника у больных животных. Следовательно, после лечения антибиот</w:t>
      </w:r>
      <w:r>
        <w:t>и</w:t>
      </w:r>
      <w:r>
        <w:t>ками, животным целесообразно давать препараты, восстанавливающие нормальную микрофлору кишечника.</w:t>
      </w:r>
    </w:p>
    <w:p w:rsidR="00F4654E" w:rsidRDefault="00F4654E">
      <w:pPr>
        <w:pStyle w:val="a4"/>
      </w:pPr>
      <w:r>
        <w:t>УДК 619:615.2:616.98:636.4 (470.57)</w:t>
      </w:r>
    </w:p>
    <w:p w:rsidR="00F4654E" w:rsidRDefault="00F4654E">
      <w:pPr>
        <w:pStyle w:val="1"/>
      </w:pPr>
      <w:bookmarkStart w:id="2035" w:name="_Toc10731280"/>
      <w:bookmarkStart w:id="2036" w:name="_Toc10731941"/>
      <w:bookmarkStart w:id="2037" w:name="_Toc10891787"/>
      <w:bookmarkStart w:id="2038" w:name="_Toc10892462"/>
      <w:bookmarkStart w:id="2039" w:name="_Toc11390325"/>
      <w:bookmarkStart w:id="2040" w:name="_Toc11840006"/>
      <w:bookmarkStart w:id="2041" w:name="_Toc11937542"/>
      <w:r>
        <w:t>ИЗУЧЕНИЕ ТЕРАПЕВТИЧЕСКОЙ ЭФФЕКТИВНОСТИ РАЗЛИЧНЫХ ФОРМ МЕТРОНИДАЗОЛА</w:t>
      </w:r>
      <w:bookmarkEnd w:id="2035"/>
      <w:bookmarkEnd w:id="2036"/>
      <w:bookmarkEnd w:id="2037"/>
      <w:bookmarkEnd w:id="2038"/>
      <w:bookmarkEnd w:id="2039"/>
      <w:bookmarkEnd w:id="2040"/>
      <w:bookmarkEnd w:id="2041"/>
    </w:p>
    <w:p w:rsidR="00F4654E" w:rsidRDefault="00F4654E">
      <w:pPr>
        <w:pStyle w:val="2"/>
      </w:pPr>
      <w:bookmarkStart w:id="2042" w:name="_Toc10731281"/>
      <w:bookmarkStart w:id="2043" w:name="_Toc10731942"/>
      <w:bookmarkStart w:id="2044" w:name="_Toc10891788"/>
      <w:bookmarkStart w:id="2045" w:name="_Toc10892463"/>
      <w:bookmarkStart w:id="2046" w:name="_Toc11390326"/>
      <w:bookmarkStart w:id="2047" w:name="_Toc11937543"/>
      <w:r>
        <w:t>Иванов А. И., Конопаткин А.А.*, Иштакбаев В.Ю.**</w:t>
      </w:r>
      <w:bookmarkEnd w:id="2042"/>
      <w:bookmarkEnd w:id="2043"/>
      <w:bookmarkEnd w:id="2044"/>
      <w:bookmarkEnd w:id="2045"/>
      <w:bookmarkEnd w:id="2046"/>
      <w:bookmarkEnd w:id="2047"/>
    </w:p>
    <w:p w:rsidR="00F4654E" w:rsidRDefault="00F4654E">
      <w:pPr>
        <w:pStyle w:val="a5"/>
      </w:pPr>
      <w:r>
        <w:t>Башкирский государственный аграрный университет</w:t>
      </w:r>
      <w:r>
        <w:br/>
        <w:t>*Московский университет прикладной биотехнологии</w:t>
      </w:r>
      <w:r>
        <w:br/>
        <w:t>**СПК «Красное Знамя», Республика Башкортостан</w:t>
      </w:r>
    </w:p>
    <w:p w:rsidR="00F4654E" w:rsidRDefault="00F4654E">
      <w:pPr>
        <w:pStyle w:val="a6"/>
      </w:pPr>
      <w:r>
        <w:t xml:space="preserve">По данным наших исследований дизентерия свиней (ДС) в хозяйствах республики Башкортостан имеет широкое распространение. Удельный вес ДС среди инфекционных гастроэнтероколитов за 1995/2001 годы составил 53,13 </w:t>
      </w:r>
      <w:r>
        <w:sym w:font="Symbol" w:char="F0B1"/>
      </w:r>
      <w:r>
        <w:t xml:space="preserve"> 7,63% заболеваемость на 10000 гол. – 10,73 </w:t>
      </w:r>
      <w:r>
        <w:sym w:font="Symbol" w:char="F0B1"/>
      </w:r>
      <w:r>
        <w:t xml:space="preserve"> 3,19, летальность 27,53 </w:t>
      </w:r>
      <w:r>
        <w:sym w:font="Symbol" w:char="F0B1"/>
      </w:r>
      <w:r>
        <w:t xml:space="preserve"> 4,72%.</w:t>
      </w:r>
    </w:p>
    <w:p w:rsidR="00F4654E" w:rsidRDefault="00F4654E">
      <w:pPr>
        <w:pStyle w:val="a6"/>
      </w:pPr>
      <w:r>
        <w:lastRenderedPageBreak/>
        <w:t>Для профилактики и терапии ДС в настоящее время эффективные специфические средства отсутствуют. В связи с этим для этих целей пр</w:t>
      </w:r>
      <w:r>
        <w:t>и</w:t>
      </w:r>
      <w:r>
        <w:t>меняют химиотерапевтические препараты, различной природы, в основном перорально. Установлено, что к препаратам содержащим антибиотики (т</w:t>
      </w:r>
      <w:r>
        <w:t>и</w:t>
      </w:r>
      <w:r>
        <w:t>лан, фармазин, тиамутин, ветдипасфен и др.), при их длительном примен</w:t>
      </w:r>
      <w:r>
        <w:t>е</w:t>
      </w:r>
      <w:r>
        <w:t>нии происходит привыкание возбудителя болезни, что приводит к сниж</w:t>
      </w:r>
      <w:r>
        <w:t>е</w:t>
      </w:r>
      <w:r>
        <w:t>нию терапевтической эффективности. Многие антидизентерийные преп</w:t>
      </w:r>
      <w:r>
        <w:t>а</w:t>
      </w:r>
      <w:r>
        <w:t>раты (осарсол, нифулин) применяются многократно с повторением курса обработок через 6-7 дней. Учитывая то обстоятельство, что больные ДС, как правило отказываются от корма, применение препаратов внутрь с л</w:t>
      </w:r>
      <w:r>
        <w:t>е</w:t>
      </w:r>
      <w:r>
        <w:t>чебной целью затруднено. В связи с этим возникает необходимость из</w:t>
      </w:r>
      <w:r>
        <w:t>ы</w:t>
      </w:r>
      <w:r>
        <w:t>скания доступных и эффективных средств терапии и профилактики дизе</w:t>
      </w:r>
      <w:r>
        <w:t>н</w:t>
      </w:r>
      <w:r>
        <w:t>терии свиней.</w:t>
      </w:r>
    </w:p>
    <w:p w:rsidR="00F4654E" w:rsidRDefault="00F4654E">
      <w:pPr>
        <w:pStyle w:val="a6"/>
      </w:pPr>
      <w:r>
        <w:t>Целью настоящей работы являлось изучение лечебной эффективности различных форм метронидазола при ДС.</w:t>
      </w:r>
    </w:p>
    <w:p w:rsidR="00F4654E" w:rsidRDefault="00F4654E">
      <w:pPr>
        <w:pStyle w:val="a6"/>
      </w:pPr>
      <w:r>
        <w:t>В опыте по испытанию лечебной эффективности различных форм метронидазола использовали 237 голов поросят-отьемышей 2-х месячного возраста, крупной белой породы с острым течением дизентерии в СПК «Красное знамя» Хайбуллинского района РБ. Диагноз на ДС ставили на основании эпизоотологических, клинических (понос с кровью и слизью), патологоанатомических (геморрагическое воспаление толстого отдела к</w:t>
      </w:r>
      <w:r>
        <w:t>и</w:t>
      </w:r>
      <w:r>
        <w:t>шечника) и лабораторных данных (положительная микроскопия фекалий и слизистой толстого кишечника). Животных разделили на 3 группы. В пе</w:t>
      </w:r>
      <w:r>
        <w:t>р</w:t>
      </w:r>
      <w:r>
        <w:t>вой группе было 75 гол., во второй 67 гол., в третьей 95 гол.</w:t>
      </w:r>
    </w:p>
    <w:p w:rsidR="00F4654E" w:rsidRDefault="00F4654E">
      <w:pPr>
        <w:pStyle w:val="a6"/>
      </w:pPr>
      <w:r>
        <w:t>Первой группе животных (n=75) давали трихопол в таблетках (0,25г) перорально в дозе 1 таблетка 2 раза в день в течение 3 дней. В течение 14 дней наблюдения выздоровело 61 гол. (81,3%), пало 6 гол. (8%), вынужд</w:t>
      </w:r>
      <w:r>
        <w:t>е</w:t>
      </w:r>
      <w:r>
        <w:t>но убито 8 гол. (10,7%).</w:t>
      </w:r>
    </w:p>
    <w:p w:rsidR="00F4654E" w:rsidRDefault="00F4654E">
      <w:pPr>
        <w:pStyle w:val="a6"/>
      </w:pPr>
      <w:r>
        <w:t>Второй группе животных (n=67) вводили трихопол в виде свежепр</w:t>
      </w:r>
      <w:r>
        <w:t>и</w:t>
      </w:r>
      <w:r>
        <w:t>готовленной суспензии в дозе 2 мл в расчете на 1 гол (0,25 г вещества) 2 раза в день в течение 3 дней. За 14 дней наблюдения пало 2 гол. (2,98%), вынуждено убито 5 гол. (7,46%), выздоровело 60 гол. (89,55%).Третьей группе (n=95) внутримышечно вводили «Метронид-50» в дозе 2 мл/10 кг живой массы (в 1 мл раствора содержится 50 мг ДВ), двукратно с интерв</w:t>
      </w:r>
      <w:r>
        <w:t>а</w:t>
      </w:r>
      <w:r>
        <w:t>лом 48 часов (в течение 14 дней, срок наблюдения) вынуждено убито 4 гол. (4,2%), выздоровело 91 гол (95,8%).</w:t>
      </w:r>
    </w:p>
    <w:p w:rsidR="00F4654E" w:rsidRDefault="00F4654E">
      <w:pPr>
        <w:pStyle w:val="a6"/>
      </w:pPr>
      <w:r>
        <w:t>Среди различных форм метронидазола «Метронид-50» является с</w:t>
      </w:r>
      <w:r>
        <w:t>а</w:t>
      </w:r>
      <w:r>
        <w:t>мым высокоэффективным при ДС. При внутримышечном введении в дозе 2 мл/10 кг массы тела лечебная эффективность составила 95,8%.</w:t>
      </w:r>
    </w:p>
    <w:p w:rsidR="0047197F" w:rsidRDefault="0047197F">
      <w:pPr>
        <w:pStyle w:val="a4"/>
      </w:pPr>
    </w:p>
    <w:p w:rsidR="0047197F" w:rsidRDefault="0047197F">
      <w:pPr>
        <w:pStyle w:val="a4"/>
      </w:pPr>
    </w:p>
    <w:p w:rsidR="00F4654E" w:rsidRDefault="00F4654E">
      <w:pPr>
        <w:pStyle w:val="a4"/>
      </w:pPr>
      <w:r>
        <w:lastRenderedPageBreak/>
        <w:t>УДК 619:615.2:616.98:636.4(470.57)</w:t>
      </w:r>
    </w:p>
    <w:p w:rsidR="00F4654E" w:rsidRDefault="00F4654E">
      <w:pPr>
        <w:pStyle w:val="1"/>
      </w:pPr>
      <w:bookmarkStart w:id="2048" w:name="_Toc10731282"/>
      <w:bookmarkStart w:id="2049" w:name="_Toc10731943"/>
      <w:bookmarkStart w:id="2050" w:name="_Toc10891789"/>
      <w:bookmarkStart w:id="2051" w:name="_Toc10892464"/>
      <w:bookmarkStart w:id="2052" w:name="_Toc11390327"/>
      <w:bookmarkStart w:id="2053" w:name="_Toc11840008"/>
      <w:bookmarkStart w:id="2054" w:name="_Toc11937544"/>
      <w:r>
        <w:t>ТЕРАПИЯ СВИНЕЙ ПРИ ДИЗЕНТЕРИИ</w:t>
      </w:r>
      <w:bookmarkEnd w:id="2048"/>
      <w:bookmarkEnd w:id="2049"/>
      <w:bookmarkEnd w:id="2050"/>
      <w:bookmarkEnd w:id="2051"/>
      <w:bookmarkEnd w:id="2052"/>
      <w:bookmarkEnd w:id="2053"/>
      <w:bookmarkEnd w:id="2054"/>
    </w:p>
    <w:p w:rsidR="00F4654E" w:rsidRDefault="00F4654E">
      <w:pPr>
        <w:pStyle w:val="2"/>
      </w:pPr>
      <w:bookmarkStart w:id="2055" w:name="_Toc10731283"/>
      <w:bookmarkStart w:id="2056" w:name="_Toc10731944"/>
      <w:bookmarkStart w:id="2057" w:name="_Toc10891790"/>
      <w:bookmarkStart w:id="2058" w:name="_Toc10892465"/>
      <w:bookmarkStart w:id="2059" w:name="_Toc11390328"/>
      <w:bookmarkStart w:id="2060" w:name="_Toc11937545"/>
      <w:r>
        <w:t>Иванов А.И., Конопаткин А.А.*, Кузнецов А.Г.**, Филиппова Л.Р. **</w:t>
      </w:r>
      <w:bookmarkEnd w:id="2055"/>
      <w:bookmarkEnd w:id="2056"/>
      <w:bookmarkEnd w:id="2057"/>
      <w:bookmarkEnd w:id="2058"/>
      <w:bookmarkEnd w:id="2059"/>
      <w:bookmarkEnd w:id="2060"/>
    </w:p>
    <w:p w:rsidR="00F4654E" w:rsidRDefault="00F4654E">
      <w:pPr>
        <w:pStyle w:val="a5"/>
      </w:pPr>
      <w:r>
        <w:t>Башкирский государственный аграрный университет</w:t>
      </w:r>
      <w:r>
        <w:br/>
        <w:t>*Московский университет прикладной биотехнологии</w:t>
      </w:r>
      <w:r>
        <w:br/>
        <w:t>**Госпредприятие «Рощинский», Республика Башкортостан</w:t>
      </w:r>
    </w:p>
    <w:p w:rsidR="00F4654E" w:rsidRDefault="00F4654E">
      <w:pPr>
        <w:pStyle w:val="a6"/>
      </w:pPr>
      <w:r>
        <w:t xml:space="preserve">Дизентерия свиней (ДС) – инфекционное заболевание, возбудителем которого является Serpulina hyodysenteriae. </w:t>
      </w:r>
      <w:r w:rsidR="009B7296">
        <w:t>Н</w:t>
      </w:r>
      <w:r>
        <w:t>екоторые анаэробные микр</w:t>
      </w:r>
      <w:r>
        <w:t>о</w:t>
      </w:r>
      <w:r>
        <w:t>организмы (бактероиды, клостридии, фузобактерии) могут способствовать возникновению болезни и осложнять ее течение. Болеют свиньи всех во</w:t>
      </w:r>
      <w:r>
        <w:t>з</w:t>
      </w:r>
      <w:r>
        <w:t>растов, но больший процент гибели наблюдают среди молодняка (до 30-50%). Учитывая широкое распространение ДС в РБ и значение спирохет, как первичного агента, мы поставили цель изучить лечебную эффекти</w:t>
      </w:r>
      <w:r>
        <w:t>в</w:t>
      </w:r>
      <w:r>
        <w:t>ность ленкоспектина-ЛЕК, масляного 10% раствора тиамутина-10% и во</w:t>
      </w:r>
      <w:r>
        <w:t>д</w:t>
      </w:r>
      <w:r>
        <w:t>ного 10% раствора трихопола в условиях промышленного комплекса “Р</w:t>
      </w:r>
      <w:r>
        <w:t>о</w:t>
      </w:r>
      <w:r w:rsidR="0047197F">
        <w:t>щинский”</w:t>
      </w:r>
      <w:r>
        <w:t>.</w:t>
      </w:r>
    </w:p>
    <w:p w:rsidR="00F4654E" w:rsidRDefault="00F4654E">
      <w:pPr>
        <w:pStyle w:val="a6"/>
      </w:pPr>
      <w:r>
        <w:t>В опыте по испытанию лечебной эффективности линкоспектина-</w:t>
      </w:r>
      <w:r>
        <w:rPr>
          <w:caps/>
        </w:rPr>
        <w:t>лек</w:t>
      </w:r>
      <w:r>
        <w:t>, тиамутина-10% и трихопола 10% использовали 140 поросят-отъе-мышей двухмесячного возраста массой 15-16 кг больных ДС. Диагноз на ДС ст</w:t>
      </w:r>
      <w:r>
        <w:t>а</w:t>
      </w:r>
      <w:r>
        <w:t>вили на основании эпизоотологических, клинических (понос с кровью и слизью), патологоанатомических данных (положительная микроскопия фекалий). Животных разделили на три  группы. В первой группе (50 голов) применяли тиамутин в дозе 15 мг/кг внутримышечно по схеме 1 раз в день в течение двух дней. Второй группе животных (45 голов) внутримышечно вводили линкоспектин-</w:t>
      </w:r>
      <w:r>
        <w:rPr>
          <w:caps/>
        </w:rPr>
        <w:t>лек</w:t>
      </w:r>
      <w:r>
        <w:t xml:space="preserve"> из расчета 1 мл раствора на 10 кг массы тела один раз в день в течении трех дней подряд (1 мл раствора содержит 50 мг линкомицина (в форме гидрохлорида) и 100 мг спектомицина (в форме гидрохлорида).</w:t>
      </w:r>
    </w:p>
    <w:p w:rsidR="00F4654E" w:rsidRDefault="00F4654E">
      <w:pPr>
        <w:pStyle w:val="a6"/>
      </w:pPr>
      <w:r>
        <w:t>Поросят третьей группы  (45 голов) внутримышечно вводили трих</w:t>
      </w:r>
      <w:r>
        <w:t>о</w:t>
      </w:r>
      <w:r>
        <w:t xml:space="preserve">пол в дозе 10 мг/кг массы тела 2 раза в день в течение 3 дней подряд. </w:t>
      </w:r>
    </w:p>
    <w:p w:rsidR="00F4654E" w:rsidRDefault="00F4654E">
      <w:pPr>
        <w:pStyle w:val="a6"/>
      </w:pPr>
      <w:r>
        <w:t>Опытные группы свиней получали корма без антибиотиков. Во всех сформированных группах станки дезинфицировали 4%-ным раствором каустической соды в первый и последний день дачи препарата.</w:t>
      </w:r>
    </w:p>
    <w:p w:rsidR="00F4654E" w:rsidRDefault="00F4654E">
      <w:pPr>
        <w:pStyle w:val="a6"/>
      </w:pPr>
      <w:r>
        <w:t>После окончания курса лечения животных первой группы тиамут</w:t>
      </w:r>
      <w:r>
        <w:t>и</w:t>
      </w:r>
      <w:r>
        <w:t>ном, наблюдался полный терапевтический эффект. Реинфекцию дизент</w:t>
      </w:r>
      <w:r>
        <w:t>е</w:t>
      </w:r>
      <w:r>
        <w:t>рии свиней в течение 21 дня (срок наблюдения не отмечали).</w:t>
      </w:r>
    </w:p>
    <w:p w:rsidR="00F4654E" w:rsidRDefault="00F4654E">
      <w:pPr>
        <w:pStyle w:val="a6"/>
      </w:pPr>
      <w:r>
        <w:t>Во второй группе животных лечение линкоспектином-</w:t>
      </w:r>
      <w:r>
        <w:rPr>
          <w:caps/>
        </w:rPr>
        <w:t>лек</w:t>
      </w:r>
      <w:r>
        <w:t>, понос прекратился через двое суток у 36 поросят (80%) и через 3 суток у остал</w:t>
      </w:r>
      <w:r>
        <w:t>ь</w:t>
      </w:r>
      <w:r>
        <w:t>ных животных (20%). При бактериоскопии фекалий серпулин не находили. Таким образом, все животные выздоровели. Новых случаев заболевания в течение 21 дня наблюдения не отмечены.</w:t>
      </w:r>
    </w:p>
    <w:p w:rsidR="00F4654E" w:rsidRDefault="00F4654E">
      <w:pPr>
        <w:pStyle w:val="a6"/>
      </w:pPr>
      <w:r>
        <w:lastRenderedPageBreak/>
        <w:t>После проведенного курса лечения трихополом, животных 3 группы, у 30 поросят (66,7%) понос прекратился через 2 дня, у 15 (33,3%) поросят понос с примесью крови и слизи не прекратился, в фекалиях обнаружены серпулины. На 4 день наблюдения пали 2 головы (4,4%), при патологоан</w:t>
      </w:r>
      <w:r>
        <w:t>а</w:t>
      </w:r>
      <w:r>
        <w:t>томическом вскрытии подтвердили диагноз на ДС. Через 5 дней после л</w:t>
      </w:r>
      <w:r>
        <w:t>е</w:t>
      </w:r>
      <w:r>
        <w:t>чения у остальных животных регистрировали водянистый понос с прим</w:t>
      </w:r>
      <w:r>
        <w:t>е</w:t>
      </w:r>
      <w:r>
        <w:t>сью слизи, но серпулин в фекалиях не находили, на 7 день наблюдения с</w:t>
      </w:r>
      <w:r>
        <w:t>о</w:t>
      </w:r>
      <w:r>
        <w:t>стояние животных улучшилось, у них появился аппетит, клинические пр</w:t>
      </w:r>
      <w:r>
        <w:t>и</w:t>
      </w:r>
      <w:r>
        <w:t>знаки ДС исчезли, при бактериоскопии фекалий серпулины не обнаруж</w:t>
      </w:r>
      <w:r>
        <w:t>и</w:t>
      </w:r>
      <w:r>
        <w:t>ли. Таким образом, лечебная эффективность трихопола составила 95,5%. Через 15 дней по окончании курса лечения, повторно заболело в легкой форме ДС 6 голов.</w:t>
      </w:r>
    </w:p>
    <w:p w:rsidR="00F4654E" w:rsidRDefault="00F4654E">
      <w:pPr>
        <w:pStyle w:val="a6"/>
      </w:pPr>
      <w:r>
        <w:t>Тиамутин и линкоспектин-</w:t>
      </w:r>
      <w:r>
        <w:rPr>
          <w:caps/>
        </w:rPr>
        <w:t>лек</w:t>
      </w:r>
      <w:r>
        <w:t xml:space="preserve"> в производственных условиях показ</w:t>
      </w:r>
      <w:r>
        <w:t>а</w:t>
      </w:r>
      <w:r>
        <w:t>ли высокую лечебную эффективность (100%). Трихопол показывал сан</w:t>
      </w:r>
      <w:r>
        <w:t>и</w:t>
      </w:r>
      <w:r>
        <w:t>рующий эффект при ДС в течение 15 дней при терапевтической эффекти</w:t>
      </w:r>
      <w:r>
        <w:t>в</w:t>
      </w:r>
      <w:r>
        <w:t>ности 95,5%.</w:t>
      </w:r>
    </w:p>
    <w:p w:rsidR="00F4654E" w:rsidRDefault="00F4654E">
      <w:pPr>
        <w:pStyle w:val="a6"/>
      </w:pPr>
      <w:r>
        <w:t>Заключение. Высокоэффективными препаратами  при ДС оказались тиамутин при внутримышечном применении в дозе 15 мг/кг по схеме 1 раз в день в течение 2 дней и линкоспектин-</w:t>
      </w:r>
      <w:r>
        <w:rPr>
          <w:caps/>
        </w:rPr>
        <w:t xml:space="preserve">лек </w:t>
      </w:r>
      <w:r>
        <w:t>в дозе 1 мл на 10 кг массы т</w:t>
      </w:r>
      <w:r>
        <w:t>е</w:t>
      </w:r>
      <w:r>
        <w:t>ла 1 раз в день в течение 3 дней.</w:t>
      </w:r>
    </w:p>
    <w:p w:rsidR="00F4654E" w:rsidRDefault="00F4654E">
      <w:pPr>
        <w:pStyle w:val="a4"/>
      </w:pPr>
      <w:r>
        <w:t>УДК 612.014.481:599:539.1.047</w:t>
      </w:r>
    </w:p>
    <w:p w:rsidR="00F4654E" w:rsidRDefault="00F4654E">
      <w:pPr>
        <w:pStyle w:val="1"/>
      </w:pPr>
      <w:bookmarkStart w:id="2061" w:name="_Toc10731284"/>
      <w:bookmarkStart w:id="2062" w:name="_Toc10731945"/>
      <w:bookmarkStart w:id="2063" w:name="_Toc10891791"/>
      <w:bookmarkStart w:id="2064" w:name="_Toc10892466"/>
      <w:bookmarkStart w:id="2065" w:name="_Toc11390329"/>
      <w:bookmarkStart w:id="2066" w:name="_Toc11840010"/>
      <w:bookmarkStart w:id="2067" w:name="_Toc11937546"/>
      <w:r>
        <w:t>Радиозащитное действие препаратов МК-1, Иммуно-С и Иммуно-Н при остром сублетальном облучении</w:t>
      </w:r>
      <w:bookmarkEnd w:id="2061"/>
      <w:bookmarkEnd w:id="2062"/>
      <w:bookmarkEnd w:id="2063"/>
      <w:bookmarkEnd w:id="2064"/>
      <w:bookmarkEnd w:id="2065"/>
      <w:bookmarkEnd w:id="2066"/>
      <w:bookmarkEnd w:id="2067"/>
    </w:p>
    <w:p w:rsidR="00F4654E" w:rsidRDefault="00F4654E">
      <w:pPr>
        <w:pStyle w:val="2"/>
      </w:pPr>
      <w:bookmarkStart w:id="2068" w:name="_Toc10731285"/>
      <w:bookmarkStart w:id="2069" w:name="_Toc10731946"/>
      <w:bookmarkStart w:id="2070" w:name="_Toc10891792"/>
      <w:bookmarkStart w:id="2071" w:name="_Toc10892467"/>
      <w:bookmarkStart w:id="2072" w:name="_Toc11390330"/>
      <w:bookmarkStart w:id="2073" w:name="_Toc11937547"/>
      <w:r>
        <w:t>Иванов И.С., Низамов Р.Н., Конюхов Г.В., Трошин Е.И., Ишмухаметов К.Т.</w:t>
      </w:r>
      <w:bookmarkEnd w:id="2068"/>
      <w:bookmarkEnd w:id="2069"/>
      <w:bookmarkEnd w:id="2070"/>
      <w:bookmarkEnd w:id="2071"/>
      <w:bookmarkEnd w:id="2072"/>
      <w:bookmarkEnd w:id="2073"/>
    </w:p>
    <w:p w:rsidR="00F4654E" w:rsidRDefault="00F4654E">
      <w:pPr>
        <w:pStyle w:val="a5"/>
      </w:pPr>
      <w:r>
        <w:t>Всероссийский научно-исследовательский ветеринарный институт</w:t>
      </w:r>
    </w:p>
    <w:p w:rsidR="00F4654E" w:rsidRDefault="00F4654E">
      <w:pPr>
        <w:pStyle w:val="a6"/>
      </w:pPr>
      <w:r>
        <w:t>Целью данных исследований является определение радиозащитного действия препаратов МК-1, Иммуно-С, Иммуно-Н. Опыты проведены на белых беспородных крысах с живой массой 180-200 г, разделенных по принципу аналогов на 5 групп по 10 животных в каждой. Крыс 1-й, 2-й, 3-й и 4-й групп облучили гамма лучами в дозе 7,0 Гр. Животным 1-й, 2-й и 3-й групп вводили соответствующие препараты с лечебной и профилактич</w:t>
      </w:r>
      <w:r>
        <w:t>е</w:t>
      </w:r>
      <w:r>
        <w:t>ской целью. Крысы 4-й и 5-й групп служили в качестве контроля облуч</w:t>
      </w:r>
      <w:r>
        <w:t>е</w:t>
      </w:r>
      <w:r>
        <w:t xml:space="preserve">ния и биологического контроля. </w:t>
      </w:r>
    </w:p>
    <w:p w:rsidR="00F4654E" w:rsidRDefault="00F4654E">
      <w:pPr>
        <w:pStyle w:val="a6"/>
      </w:pPr>
      <w:r>
        <w:t>В результате проведенных исследований установлено, что из от</w:t>
      </w:r>
      <w:r>
        <w:t>о</w:t>
      </w:r>
      <w:r>
        <w:t>бранных препаратов наиболее высокое радиозащитное действие оказывал препарат МК-1, вводимый через 24 ч после облучения в дозе 35 мг/кг. В</w:t>
      </w:r>
      <w:r>
        <w:t>ы</w:t>
      </w:r>
      <w:r>
        <w:t>живаемость этой группы составила 80 % при гибели 80 % контрольных животных. Профилактические препараты Иммуно-С и Иммуно-Н облад</w:t>
      </w:r>
      <w:r>
        <w:t>а</w:t>
      </w:r>
      <w:r>
        <w:t>ют меньшим протектирующим действием. Выживаемость крыс этих групп при 80 %-ной гибели контроля составляла 70 %. При оптимальной дозе препарата 1,5 см</w:t>
      </w:r>
      <w:r>
        <w:rPr>
          <w:vertAlign w:val="superscript"/>
        </w:rPr>
        <w:t>3</w:t>
      </w:r>
      <w:r>
        <w:t>/животное.</w:t>
      </w:r>
    </w:p>
    <w:p w:rsidR="00F4654E" w:rsidRDefault="00F4654E">
      <w:pPr>
        <w:pStyle w:val="a6"/>
      </w:pPr>
      <w:r>
        <w:lastRenderedPageBreak/>
        <w:t>Результаты морфогистологических исследований показали, что в о</w:t>
      </w:r>
      <w:r>
        <w:t>р</w:t>
      </w:r>
      <w:r>
        <w:t>ганах и тканях животных, которым на фоне сублетального облучения вв</w:t>
      </w:r>
      <w:r>
        <w:t>о</w:t>
      </w:r>
      <w:r>
        <w:t>дили препараты, наблюдались умеренные дистонические явления в сос</w:t>
      </w:r>
      <w:r>
        <w:t>у</w:t>
      </w:r>
      <w:r>
        <w:t>дах микроциркуляторного русла (МЦР). Наряду с этим в лимфоузлах и с</w:t>
      </w:r>
      <w:r>
        <w:t>е</w:t>
      </w:r>
      <w:r>
        <w:t>лезенке регистрировалось расширение регенеративных центров, наблюд</w:t>
      </w:r>
      <w:r>
        <w:t>а</w:t>
      </w:r>
      <w:r>
        <w:t>лись клетки с фигурами митоза, что свидетельствует о повышении фун</w:t>
      </w:r>
      <w:r>
        <w:t>к</w:t>
      </w:r>
      <w:r>
        <w:t>циональной активности иммунокомпетентных органов.</w:t>
      </w:r>
    </w:p>
    <w:p w:rsidR="00F4654E" w:rsidRDefault="00F4654E">
      <w:pPr>
        <w:pStyle w:val="a6"/>
      </w:pPr>
      <w:r>
        <w:t>Таким образом, использованные препараты обладают выраженным радиозащитным действием и способствуют благоприятному течению ос</w:t>
      </w:r>
      <w:r>
        <w:t>т</w:t>
      </w:r>
      <w:r>
        <w:t>рой лучевой болезни.</w:t>
      </w:r>
    </w:p>
    <w:p w:rsidR="00F4654E" w:rsidRDefault="00F4654E">
      <w:pPr>
        <w:pStyle w:val="a4"/>
      </w:pPr>
      <w:r>
        <w:t>УДК 619:578.893.91:636.4</w:t>
      </w:r>
    </w:p>
    <w:p w:rsidR="00F4654E" w:rsidRDefault="00F4654E">
      <w:pPr>
        <w:pStyle w:val="1"/>
      </w:pPr>
      <w:bookmarkStart w:id="2074" w:name="_Toc10731286"/>
      <w:bookmarkStart w:id="2075" w:name="_Toc10731947"/>
      <w:bookmarkStart w:id="2076" w:name="_Toc10891793"/>
      <w:bookmarkStart w:id="2077" w:name="_Toc10892468"/>
      <w:bookmarkStart w:id="2078" w:name="_Toc11390331"/>
      <w:bookmarkStart w:id="2079" w:name="_Toc11840012"/>
      <w:bookmarkStart w:id="2080" w:name="_Toc11937548"/>
      <w:r>
        <w:t>ЛОКАЛИЗАЦИЯ ВИРУСА ТРАНСМИССИВНОГО ГАСТРОЭНТЕРИТА В ОРГАНАХ ПОРОСЯТ</w:t>
      </w:r>
      <w:bookmarkEnd w:id="2074"/>
      <w:bookmarkEnd w:id="2075"/>
      <w:bookmarkEnd w:id="2076"/>
      <w:bookmarkEnd w:id="2077"/>
      <w:bookmarkEnd w:id="2078"/>
      <w:bookmarkEnd w:id="2079"/>
      <w:bookmarkEnd w:id="2080"/>
    </w:p>
    <w:p w:rsidR="00F4654E" w:rsidRDefault="00F4654E">
      <w:pPr>
        <w:pStyle w:val="2"/>
      </w:pPr>
      <w:bookmarkStart w:id="2081" w:name="_Toc10731287"/>
      <w:bookmarkStart w:id="2082" w:name="_Toc10731948"/>
      <w:bookmarkStart w:id="2083" w:name="_Toc10891794"/>
      <w:bookmarkStart w:id="2084" w:name="_Toc10892469"/>
      <w:bookmarkStart w:id="2085" w:name="_Toc11390332"/>
      <w:bookmarkStart w:id="2086" w:name="_Toc11937549"/>
      <w:r>
        <w:t>Ирская Г.Е.,  Сочинская О.Н.</w:t>
      </w:r>
      <w:bookmarkEnd w:id="2081"/>
      <w:bookmarkEnd w:id="2082"/>
      <w:bookmarkEnd w:id="2083"/>
      <w:bookmarkEnd w:id="2084"/>
      <w:bookmarkEnd w:id="2085"/>
      <w:bookmarkEnd w:id="2086"/>
    </w:p>
    <w:p w:rsidR="00F4654E" w:rsidRDefault="00F4654E">
      <w:pPr>
        <w:pStyle w:val="a5"/>
      </w:pPr>
      <w:r>
        <w:t>Донской государственный аграрный университет</w:t>
      </w:r>
    </w:p>
    <w:p w:rsidR="00F4654E" w:rsidRDefault="00F4654E">
      <w:pPr>
        <w:pStyle w:val="a6"/>
      </w:pPr>
      <w:r>
        <w:t>Трансмиссивный гастроэнтерит свиней - контагиозная, остро прот</w:t>
      </w:r>
      <w:r>
        <w:t>е</w:t>
      </w:r>
      <w:r>
        <w:t>кающая инфекция, характеризующаяся высокой смертностью поросят в первые дни жизни. Независимо от пути проникновения вируса в организм свиней репликация его происходит в слизистой оболочке тонкого отдела кишечника.</w:t>
      </w:r>
      <w:r w:rsidR="0047197F">
        <w:t xml:space="preserve"> </w:t>
      </w:r>
      <w:r>
        <w:t>Вирус локализуется в цитоплазме цилиндрических клеток во</w:t>
      </w:r>
      <w:r>
        <w:t>р</w:t>
      </w:r>
      <w:r>
        <w:t>синок и уже через пять часов после этого обнаруживается в пораженной клетке. Через 9-12 часов наступает повторный цикл репликации, через 24 – атрофия ворсинок. Из пораженных клеток вирус попадает в кровь, паре</w:t>
      </w:r>
      <w:r>
        <w:t>н</w:t>
      </w:r>
      <w:r>
        <w:t>химатозные органы, слизистую носа, трахеи и в миндалины. Процесс рег</w:t>
      </w:r>
      <w:r>
        <w:t>е</w:t>
      </w:r>
      <w:r>
        <w:t>нерации клеток начинается на 3-день и заканчивается на 7-й. Большая чу</w:t>
      </w:r>
      <w:r>
        <w:t>в</w:t>
      </w:r>
      <w:r>
        <w:t>ств</w:t>
      </w:r>
      <w:r>
        <w:t>и</w:t>
      </w:r>
      <w:r>
        <w:t>тельность поросят первых дней жизни к вирусу обусловлена тем, что клетки ворсинок их более чувствительны к нему и медленнее регенерир</w:t>
      </w:r>
      <w:r>
        <w:t>у</w:t>
      </w:r>
      <w:r>
        <w:t>ют, чем у поросят старшего возраста. Скорость развития процесса зависит от количества вируса, его вирулентности, возраста поросят, наличия кол</w:t>
      </w:r>
      <w:r>
        <w:t>о</w:t>
      </w:r>
      <w:r>
        <w:t>стрального иммунитета.</w:t>
      </w:r>
    </w:p>
    <w:p w:rsidR="00F4654E" w:rsidRDefault="00F4654E">
      <w:pPr>
        <w:pStyle w:val="a6"/>
      </w:pPr>
      <w:r>
        <w:t>Для определения локализации вируса ТГС свиней в органах и тканях животных, вызываемых им клинико – гематологических изменений, его сохранности, изучения патогенных свойств был поставлен опыт на нов</w:t>
      </w:r>
      <w:r>
        <w:t>о</w:t>
      </w:r>
      <w:r>
        <w:t>рожденных поросятах под 8-ю свиноматками. Животные были распред</w:t>
      </w:r>
      <w:r>
        <w:t>е</w:t>
      </w:r>
      <w:r>
        <w:t>лены на 3 группы. Для заражения использовали эталонный референтный штамм Purdue и полевой изолят Р –80, предварительно оттитрованные на новорожденных поросятах и культуре клеток.</w:t>
      </w:r>
      <w:r w:rsidR="0047197F">
        <w:t xml:space="preserve"> </w:t>
      </w:r>
      <w:r>
        <w:t>Поросят первой группы по 3 свиноматками заражали культуральным штаммом Purdue в первый день жизни до сосания молозива в дозе 3 мл., 3-й  –5 мл., на 10-й – 7 мл.. Пор</w:t>
      </w:r>
      <w:r>
        <w:t>о</w:t>
      </w:r>
      <w:r>
        <w:t>сят второй группы по 3 свиноматками в те же сроки заразили культурал</w:t>
      </w:r>
      <w:r>
        <w:t>ь</w:t>
      </w:r>
      <w:r>
        <w:t xml:space="preserve">ным вирусом Р –80, титр вируса 10 </w:t>
      </w:r>
      <w:r>
        <w:rPr>
          <w:vertAlign w:val="superscript"/>
        </w:rPr>
        <w:t xml:space="preserve">– 6 </w:t>
      </w:r>
      <w:r>
        <w:t xml:space="preserve">ТЦД </w:t>
      </w:r>
      <w:r>
        <w:rPr>
          <w:vertAlign w:val="subscript"/>
        </w:rPr>
        <w:t>50/мл</w:t>
      </w:r>
      <w:r>
        <w:t xml:space="preserve"> . Контролем служила третья </w:t>
      </w:r>
      <w:r>
        <w:lastRenderedPageBreak/>
        <w:t>группа в которой поросятам в идентичные сроки вводили суспензию нез</w:t>
      </w:r>
      <w:r>
        <w:t>а</w:t>
      </w:r>
      <w:r>
        <w:t>раженной культуры клеток. Метод заражения во всех случаях назоорал</w:t>
      </w:r>
      <w:r>
        <w:t>ь</w:t>
      </w:r>
      <w:r>
        <w:t>ный. Убой животных проводили через 12, 24, 48, 96 часов, а так же на 5, 10, 20 день после заражения.</w:t>
      </w:r>
    </w:p>
    <w:p w:rsidR="0047197F" w:rsidRDefault="00F4654E">
      <w:pPr>
        <w:pStyle w:val="a6"/>
      </w:pPr>
      <w:r>
        <w:t>Назооральное введение поросятам культуральных штаммов Purdue и Р –80 до приема молозива вызвало проявление типичных клинических пр</w:t>
      </w:r>
      <w:r>
        <w:t>и</w:t>
      </w:r>
      <w:r>
        <w:t>знаков болезни: внезапную рвоту, диарею, вялость, отсутствие сосательн</w:t>
      </w:r>
      <w:r>
        <w:t>о</w:t>
      </w:r>
      <w:r>
        <w:t>го рефлекса, водянистость часто непроизвольных испражнений желто –зеленого цвета со сгустками свернувшегося молока, дегидратацию. В теч</w:t>
      </w:r>
      <w:r>
        <w:t>е</w:t>
      </w:r>
      <w:r>
        <w:t>ние 5 дней поросята или погибали, или были убиты в агональном состо</w:t>
      </w:r>
      <w:r>
        <w:t>я</w:t>
      </w:r>
      <w:r>
        <w:t>нии для реизоляции вируса. У трехдневных поросят клинические признаки болезни проявились через 48 часов и ничем не отличались от клиники пе</w:t>
      </w:r>
      <w:r>
        <w:t>р</w:t>
      </w:r>
      <w:r>
        <w:t>вой группы, гибель наступала на 3 – 5 сутки. В опыте на 10 – дневных п</w:t>
      </w:r>
      <w:r>
        <w:t>о</w:t>
      </w:r>
      <w:r>
        <w:t>росятах проявление болезни существенно отличалось от предыдущих оп</w:t>
      </w:r>
      <w:r>
        <w:t>ы</w:t>
      </w:r>
      <w:r>
        <w:t xml:space="preserve">тов. Через 72 часа после заражения наблюдали угнетение, исчезновение аппетита, диарею, жажду. Перед заражением масса  поросят колебалась от 2,5 до 3 кг., оставшиеся в живых сильно отстали по этому показателю от контрольных. </w:t>
      </w:r>
    </w:p>
    <w:p w:rsidR="00F4654E" w:rsidRDefault="00F4654E">
      <w:pPr>
        <w:pStyle w:val="a6"/>
      </w:pPr>
      <w:r>
        <w:t>В результате исследования тонкого отдела кишечника нез</w:t>
      </w:r>
      <w:r>
        <w:t>а</w:t>
      </w:r>
      <w:r>
        <w:t>раженных поросят обнаружены длинные пальцевидные ворсинки разли</w:t>
      </w:r>
      <w:r>
        <w:t>ч</w:t>
      </w:r>
      <w:r>
        <w:t>ной длины и конфигурации. У опытных поросят через 12 часов после заражения отм</w:t>
      </w:r>
      <w:r>
        <w:t>е</w:t>
      </w:r>
      <w:r>
        <w:t>чали разрушение ворсинок, через 24 часа равномерную и последовател</w:t>
      </w:r>
      <w:r>
        <w:t>ь</w:t>
      </w:r>
      <w:r>
        <w:t>ную атрофию ворсинок в тощей и подвздошной кишках, через 48 часов имело место отслоение эпителиальных клеток, что привело к н</w:t>
      </w:r>
      <w:r>
        <w:t>а</w:t>
      </w:r>
      <w:r>
        <w:t>рушению абсорбтивных клеток и дегидратацию, изменению равновесия электрол</w:t>
      </w:r>
      <w:r>
        <w:t>и</w:t>
      </w:r>
      <w:r>
        <w:t>тов, ацидозу. Поражения в тонком отделе кишечника наиболее ярко выр</w:t>
      </w:r>
      <w:r>
        <w:t>а</w:t>
      </w:r>
      <w:r>
        <w:t>жены у поросят 1 и 2 групп и болезнь в этих случаях заканчивалась гиб</w:t>
      </w:r>
      <w:r>
        <w:t>е</w:t>
      </w:r>
      <w:r>
        <w:t>лью. П</w:t>
      </w:r>
      <w:r>
        <w:t>о</w:t>
      </w:r>
      <w:r>
        <w:t>росята 10 – дневного возраста переболевали легче и часть из них остались живыми, хотя сильно отстали в живой массе от контрольных. В</w:t>
      </w:r>
      <w:r>
        <w:t>и</w:t>
      </w:r>
      <w:r>
        <w:t>рус был изолирован из кишечника у поросят всех групп через 12, 24, 48, 96 часов и 10 дней, 48, 96 часов, 10, 20 дней из легких, печени и ф</w:t>
      </w:r>
      <w:r>
        <w:t>е</w:t>
      </w:r>
      <w:r>
        <w:t xml:space="preserve">калий. </w:t>
      </w:r>
    </w:p>
    <w:p w:rsidR="00F4654E" w:rsidRDefault="00F4654E">
      <w:pPr>
        <w:pStyle w:val="a6"/>
      </w:pPr>
      <w:r>
        <w:t>При исследовании методом непрямой РИФ мазков – отпечатков из о</w:t>
      </w:r>
      <w:r>
        <w:t>р</w:t>
      </w:r>
      <w:r>
        <w:t>ганов зараженных поросят убитых через 12, 24, 36, 48 и 72 часа после з</w:t>
      </w:r>
      <w:r>
        <w:t>а</w:t>
      </w:r>
      <w:r>
        <w:t>ражения первые признаки специфического свечения в виде ярко-зеленых гранул наблюдали через 12 часов, в препаратах от контрольных животных свечения не наблюдали.</w:t>
      </w:r>
    </w:p>
    <w:p w:rsidR="00F4654E" w:rsidRDefault="00F4654E">
      <w:pPr>
        <w:pStyle w:val="a6"/>
      </w:pPr>
      <w:r>
        <w:t>В результате экспериментального заражения установлено, что наиб</w:t>
      </w:r>
      <w:r>
        <w:t>о</w:t>
      </w:r>
      <w:r>
        <w:t>лее чувствительны к вирусу поросята до 10 дневного возраста. При опр</w:t>
      </w:r>
      <w:r>
        <w:t>е</w:t>
      </w:r>
      <w:r>
        <w:t>делении локализации вируса ТГС в организме экспериментально зараже</w:t>
      </w:r>
      <w:r>
        <w:t>н</w:t>
      </w:r>
      <w:r>
        <w:t>ных поросят разновозрастных групп он был выделен из кишечника, печ</w:t>
      </w:r>
      <w:r>
        <w:t>е</w:t>
      </w:r>
      <w:r>
        <w:t>ни, селезенки, легких, фекалий через 12 часов и сохранялся до 20 дней (срок исследования), что говорит о том, что поросята могут быть носит</w:t>
      </w:r>
      <w:r>
        <w:t>е</w:t>
      </w:r>
      <w:r>
        <w:t xml:space="preserve">лями вируса и источником инфекции.  </w:t>
      </w:r>
    </w:p>
    <w:p w:rsidR="00F4654E" w:rsidRDefault="00F4654E">
      <w:pPr>
        <w:pStyle w:val="a4"/>
      </w:pPr>
      <w:r>
        <w:lastRenderedPageBreak/>
        <w:t>УДК 619:616.33-053.2</w:t>
      </w:r>
    </w:p>
    <w:p w:rsidR="00F4654E" w:rsidRDefault="00F4654E">
      <w:pPr>
        <w:pStyle w:val="1"/>
        <w:spacing w:line="360" w:lineRule="auto"/>
      </w:pPr>
      <w:bookmarkStart w:id="2087" w:name="_Toc10731288"/>
      <w:bookmarkStart w:id="2088" w:name="_Toc10731949"/>
      <w:bookmarkStart w:id="2089" w:name="_Toc10891795"/>
      <w:bookmarkStart w:id="2090" w:name="_Toc10892470"/>
      <w:bookmarkStart w:id="2091" w:name="_Toc11390333"/>
      <w:bookmarkStart w:id="2092" w:name="_Toc11840014"/>
      <w:bookmarkStart w:id="2093" w:name="_Toc11937550"/>
      <w:r>
        <w:t>Профилактика желудочно-кишечных болезней телят</w:t>
      </w:r>
      <w:bookmarkEnd w:id="2087"/>
      <w:bookmarkEnd w:id="2088"/>
      <w:bookmarkEnd w:id="2089"/>
      <w:bookmarkEnd w:id="2090"/>
      <w:bookmarkEnd w:id="2091"/>
      <w:bookmarkEnd w:id="2092"/>
      <w:bookmarkEnd w:id="2093"/>
    </w:p>
    <w:p w:rsidR="00F4654E" w:rsidRDefault="00F4654E">
      <w:pPr>
        <w:pStyle w:val="2"/>
      </w:pPr>
      <w:bookmarkStart w:id="2094" w:name="_Toc10731289"/>
      <w:bookmarkStart w:id="2095" w:name="_Toc10731950"/>
      <w:bookmarkStart w:id="2096" w:name="_Toc10891796"/>
      <w:bookmarkStart w:id="2097" w:name="_Toc10892471"/>
      <w:bookmarkStart w:id="2098" w:name="_Toc11390334"/>
      <w:bookmarkStart w:id="2099" w:name="_Toc11937551"/>
      <w:r>
        <w:t>Исаев В.В., Коробова О.В., Хрисанфова Т.Д.</w:t>
      </w:r>
      <w:bookmarkEnd w:id="2094"/>
      <w:bookmarkEnd w:id="2095"/>
      <w:bookmarkEnd w:id="2096"/>
      <w:bookmarkEnd w:id="2097"/>
      <w:bookmarkEnd w:id="2098"/>
      <w:bookmarkEnd w:id="2099"/>
    </w:p>
    <w:p w:rsidR="00F4654E" w:rsidRDefault="00F4654E">
      <w:pPr>
        <w:pStyle w:val="a5"/>
      </w:pPr>
      <w:r>
        <w:t>Научно-исследовательский ветеринарный институт Нечерноземной зоны РФ</w:t>
      </w:r>
    </w:p>
    <w:p w:rsidR="00F4654E" w:rsidRDefault="00F4654E">
      <w:pPr>
        <w:pStyle w:val="a6"/>
      </w:pPr>
      <w:r>
        <w:t>Высокая заболеваемость новорожденных телят желудочно-кишеч-ными болезнями с симптомокомплексом диареи рассматривается как ди</w:t>
      </w:r>
      <w:r>
        <w:t>с</w:t>
      </w:r>
      <w:r>
        <w:t>баланс организма с внешней средой, обуславливающий снижение имму</w:t>
      </w:r>
      <w:r>
        <w:t>н</w:t>
      </w:r>
      <w:r>
        <w:t>ной защиты организма. Этиология желудочно-кишечных болезней сложна по своей природе и связана как с состоянием материнского организма, так и новорожденного.</w:t>
      </w:r>
    </w:p>
    <w:p w:rsidR="00F4654E" w:rsidRDefault="00F4654E">
      <w:pPr>
        <w:pStyle w:val="a6"/>
      </w:pPr>
      <w:r>
        <w:t>Целью наших исследований было выявление влияния факторов кор</w:t>
      </w:r>
      <w:r>
        <w:t>м</w:t>
      </w:r>
      <w:r>
        <w:t>ления стельных коров на состояние защитных функций их потомства и разработка способов профилактики желудочно-кишечных болезней телят.</w:t>
      </w:r>
    </w:p>
    <w:p w:rsidR="00F4654E" w:rsidRDefault="00F4654E">
      <w:pPr>
        <w:pStyle w:val="a6"/>
      </w:pPr>
      <w:r>
        <w:t>Экспериментальные исследования провели в условиях благополучн</w:t>
      </w:r>
      <w:r>
        <w:t>о</w:t>
      </w:r>
      <w:r>
        <w:t>го по инфекционным болезням хозяйства Нижегородской области, где о</w:t>
      </w:r>
      <w:r>
        <w:t>т</w:t>
      </w:r>
      <w:r>
        <w:t>ход телят составлял более 40%. В зимне-стойловый период сформировали 3 группы коров черно-пестрой породы 5-6-мес. стельности. Коровы 1-ой группы (контроль) получали общехозяйственный рацион (ОР), сбаланс</w:t>
      </w:r>
      <w:r>
        <w:t>и</w:t>
      </w:r>
      <w:r>
        <w:t>рованный по основным питательным веществам, но дефицитный по кал</w:t>
      </w:r>
      <w:r>
        <w:t>ь</w:t>
      </w:r>
      <w:r>
        <w:t>цию, фосфору, меди, цинку и каротину. Коровы 2-ой группы дополнител</w:t>
      </w:r>
      <w:r>
        <w:t>ь</w:t>
      </w:r>
      <w:r>
        <w:t>но к ОР в течение 60 дней получали пермаит в качестве минеральной по</w:t>
      </w:r>
      <w:r>
        <w:t>д</w:t>
      </w:r>
      <w:r>
        <w:t>кормки в дозе 250 г на гол. в сутки. В 3-ей группе кроме пермаита коровам скармливали криопорошок тыквы, содержащий биологически активные вещества, витамины, макро- и микроэлементы, в дозе 50 г на гол. в сутки в течение 20 дней.</w:t>
      </w:r>
      <w:r w:rsidR="0047197F">
        <w:t xml:space="preserve"> </w:t>
      </w:r>
      <w:r>
        <w:t>За животными вели наблюдения, проводили лаборато</w:t>
      </w:r>
      <w:r>
        <w:t>р</w:t>
      </w:r>
      <w:r>
        <w:t>ные исследования крови коров до и после эксперимента, а также роди</w:t>
      </w:r>
      <w:r>
        <w:t>в</w:t>
      </w:r>
      <w:r>
        <w:t>шихся от них т</w:t>
      </w:r>
      <w:r>
        <w:t>е</w:t>
      </w:r>
      <w:r>
        <w:t>лят с определением показателей иммунного статуса.</w:t>
      </w:r>
    </w:p>
    <w:p w:rsidR="00F4654E" w:rsidRPr="0047197F" w:rsidRDefault="00F4654E">
      <w:pPr>
        <w:pStyle w:val="a6"/>
        <w:rPr>
          <w:spacing w:val="-2"/>
        </w:rPr>
      </w:pPr>
      <w:r w:rsidRPr="0047197F">
        <w:rPr>
          <w:spacing w:val="-2"/>
        </w:rPr>
        <w:t>Результаты исследований показали, что у коров 1-ой группы уровень показателей метаболического и иммунного гомеостаза достоверно снижа</w:t>
      </w:r>
      <w:r w:rsidRPr="0047197F">
        <w:rPr>
          <w:spacing w:val="-2"/>
        </w:rPr>
        <w:t>л</w:t>
      </w:r>
      <w:r w:rsidRPr="0047197F">
        <w:rPr>
          <w:spacing w:val="-2"/>
        </w:rPr>
        <w:t>ся к концу опыта: гемоглобина – на 7,4%, глюкозы – на 36,4%, ОБС – на 15,5%, БАС на 19,74%, содержание лейкоцитов – на 15,4%, Т-лимфоцитов на 24,9%, В-лимфоцитов – на 44,7%.  Показатели иммунного статуса пол</w:t>
      </w:r>
      <w:r w:rsidRPr="0047197F">
        <w:rPr>
          <w:spacing w:val="-2"/>
        </w:rPr>
        <w:t>у</w:t>
      </w:r>
      <w:r w:rsidRPr="0047197F">
        <w:rPr>
          <w:spacing w:val="-2"/>
        </w:rPr>
        <w:t>ченного приплода характеризовались резким снижением уровня ОБС, и</w:t>
      </w:r>
      <w:r w:rsidRPr="0047197F">
        <w:rPr>
          <w:spacing w:val="-2"/>
        </w:rPr>
        <w:t>м</w:t>
      </w:r>
      <w:r w:rsidRPr="0047197F">
        <w:rPr>
          <w:spacing w:val="-2"/>
        </w:rPr>
        <w:t>муноглобулинов G  и  M, В- и Т-лимфоцитов, БАС и ЛАС.</w:t>
      </w:r>
      <w:r w:rsidR="0047197F" w:rsidRPr="0047197F">
        <w:rPr>
          <w:spacing w:val="-2"/>
        </w:rPr>
        <w:t xml:space="preserve"> </w:t>
      </w:r>
      <w:r w:rsidRPr="0047197F">
        <w:rPr>
          <w:spacing w:val="-2"/>
        </w:rPr>
        <w:t>Заболеваемость телят желудочно-кишечными болезнями с симптом</w:t>
      </w:r>
      <w:r w:rsidRPr="0047197F">
        <w:rPr>
          <w:spacing w:val="-2"/>
        </w:rPr>
        <w:t>о</w:t>
      </w:r>
      <w:r w:rsidRPr="0047197F">
        <w:rPr>
          <w:spacing w:val="-2"/>
        </w:rPr>
        <w:t>комплексом диареи в течение профилакторного периода в этой группе с</w:t>
      </w:r>
      <w:r w:rsidRPr="0047197F">
        <w:rPr>
          <w:spacing w:val="-2"/>
        </w:rPr>
        <w:t>о</w:t>
      </w:r>
      <w:r w:rsidRPr="0047197F">
        <w:rPr>
          <w:spacing w:val="-2"/>
        </w:rPr>
        <w:t>ставила 60%, из числа заболевших пало 66,7%.</w:t>
      </w:r>
      <w:r w:rsidR="0047197F" w:rsidRPr="0047197F">
        <w:rPr>
          <w:spacing w:val="-2"/>
        </w:rPr>
        <w:t xml:space="preserve"> </w:t>
      </w:r>
      <w:r w:rsidRPr="0047197F">
        <w:rPr>
          <w:spacing w:val="-2"/>
        </w:rPr>
        <w:t>У коров 2-ой группы большинство показателей м</w:t>
      </w:r>
      <w:r w:rsidRPr="0047197F">
        <w:rPr>
          <w:spacing w:val="-2"/>
        </w:rPr>
        <w:t>е</w:t>
      </w:r>
      <w:r w:rsidRPr="0047197F">
        <w:rPr>
          <w:spacing w:val="-2"/>
        </w:rPr>
        <w:t>таболического и иммунного гомеостаза после эксперимента находились на уровне физиол</w:t>
      </w:r>
      <w:r w:rsidRPr="0047197F">
        <w:rPr>
          <w:spacing w:val="-2"/>
        </w:rPr>
        <w:t>о</w:t>
      </w:r>
      <w:r w:rsidRPr="0047197F">
        <w:rPr>
          <w:spacing w:val="-2"/>
        </w:rPr>
        <w:t>гической нормы, отмечено повышение БАС в 1,5 раза, ЛАС – в 2 раза, относительного содержания Т-лимфоцитов – в 2 раза, сн</w:t>
      </w:r>
      <w:r w:rsidRPr="0047197F">
        <w:rPr>
          <w:spacing w:val="-2"/>
        </w:rPr>
        <w:t>и</w:t>
      </w:r>
      <w:r w:rsidRPr="0047197F">
        <w:rPr>
          <w:spacing w:val="-2"/>
        </w:rPr>
        <w:t>жение содержания В-лимфоцитов на 24,3%. У телят этой группы показатели и</w:t>
      </w:r>
      <w:r w:rsidRPr="0047197F">
        <w:rPr>
          <w:spacing w:val="-2"/>
        </w:rPr>
        <w:t>м</w:t>
      </w:r>
      <w:r w:rsidRPr="0047197F">
        <w:rPr>
          <w:spacing w:val="-2"/>
        </w:rPr>
        <w:lastRenderedPageBreak/>
        <w:t>мунного статуса были выше по сравнению с 1-ой группой: гемогл</w:t>
      </w:r>
      <w:r w:rsidRPr="0047197F">
        <w:rPr>
          <w:spacing w:val="-2"/>
        </w:rPr>
        <w:t>о</w:t>
      </w:r>
      <w:r w:rsidRPr="0047197F">
        <w:rPr>
          <w:spacing w:val="-2"/>
        </w:rPr>
        <w:t>бина – на 5%, гл</w:t>
      </w:r>
      <w:r w:rsidRPr="0047197F">
        <w:rPr>
          <w:spacing w:val="-2"/>
        </w:rPr>
        <w:t>ю</w:t>
      </w:r>
      <w:r w:rsidRPr="0047197F">
        <w:rPr>
          <w:spacing w:val="-2"/>
        </w:rPr>
        <w:t>козы – на 13%, ЛАС – на 10%, БАС – на 67,8%, Т-лимфоцитов -  на 61%, В-лимфоцитов – на 45,7%. Заболеваемость телят составила 40%, из числа заболевших пало 14,3%.</w:t>
      </w:r>
      <w:r w:rsidR="0047197F" w:rsidRPr="0047197F">
        <w:rPr>
          <w:spacing w:val="-2"/>
        </w:rPr>
        <w:t xml:space="preserve"> </w:t>
      </w:r>
      <w:r w:rsidRPr="0047197F">
        <w:rPr>
          <w:spacing w:val="-2"/>
        </w:rPr>
        <w:t>В 3-ей группе коров после скармливания пермаита с криопорошком тыквы происходило интенсивное повышение уровня показателей метаболического и иммунного г</w:t>
      </w:r>
      <w:r w:rsidRPr="0047197F">
        <w:rPr>
          <w:spacing w:val="-2"/>
        </w:rPr>
        <w:t>о</w:t>
      </w:r>
      <w:r w:rsidRPr="0047197F">
        <w:rPr>
          <w:spacing w:val="-2"/>
        </w:rPr>
        <w:t>меостаза. Так, глюкозы – в 2 раза, ЛАС – в 2,2 раза, БАС – в 1,7 раза, Т-лимфоцитов – в 2,7 раза, В-лимфоцитов – в 1,2 раза. У полученных телят в сравнении с 1-ой группой уровень иммуногл</w:t>
      </w:r>
      <w:r w:rsidRPr="0047197F">
        <w:rPr>
          <w:spacing w:val="-2"/>
        </w:rPr>
        <w:t>о</w:t>
      </w:r>
      <w:r w:rsidRPr="0047197F">
        <w:rPr>
          <w:spacing w:val="-2"/>
        </w:rPr>
        <w:t>булинов G  и  M увеличился в 1,5 раза, ЛАС – в 1,2 раза, БАС – в 3 раза, содержание Т-лимфоцитов – в 1,9 и В-лимфоцитов – в 1,4 раза. Заболеваемость телят составила 25%, течение болезни характеризов</w:t>
      </w:r>
      <w:r w:rsidRPr="0047197F">
        <w:rPr>
          <w:spacing w:val="-2"/>
        </w:rPr>
        <w:t>а</w:t>
      </w:r>
      <w:r w:rsidRPr="0047197F">
        <w:rPr>
          <w:spacing w:val="-2"/>
        </w:rPr>
        <w:t>лось легкой формой, сохранность составила 100%.</w:t>
      </w:r>
    </w:p>
    <w:p w:rsidR="00F4654E" w:rsidRDefault="00F4654E">
      <w:pPr>
        <w:pStyle w:val="a6"/>
      </w:pPr>
      <w:r>
        <w:t>Таким образом, результаты эксперимента показали, что массовые ж</w:t>
      </w:r>
      <w:r>
        <w:t>е</w:t>
      </w:r>
      <w:r>
        <w:t>лудочно-кишечные болезни телят возникают на фоне иммунодефицитного состояния. Установлено влияние факторов кормления на показатели з</w:t>
      </w:r>
      <w:r>
        <w:t>а</w:t>
      </w:r>
      <w:r>
        <w:t>щитных сил организма стельных коров, и прямая зависимость иммунол</w:t>
      </w:r>
      <w:r>
        <w:t>о</w:t>
      </w:r>
      <w:r>
        <w:t>гического гомеостаза телят от них. Коррекция иммунодефицитов с прим</w:t>
      </w:r>
      <w:r>
        <w:t>е</w:t>
      </w:r>
      <w:r>
        <w:t>нением минерально-витаминного комплекса в виде пермаита и криоп</w:t>
      </w:r>
      <w:r>
        <w:t>о</w:t>
      </w:r>
      <w:r>
        <w:t>рошка тыквы снижает заболеваемость новорожденных телят желудочно-кишечными болезнями и повышает их сохранность.</w:t>
      </w:r>
    </w:p>
    <w:p w:rsidR="00F4654E" w:rsidRDefault="00F4654E">
      <w:pPr>
        <w:pStyle w:val="a4"/>
      </w:pPr>
      <w:r>
        <w:t>УДК 616.619.9</w:t>
      </w:r>
    </w:p>
    <w:p w:rsidR="00F4654E" w:rsidRDefault="00F4654E">
      <w:pPr>
        <w:pStyle w:val="1"/>
      </w:pPr>
      <w:bookmarkStart w:id="2100" w:name="_Toc10731290"/>
      <w:bookmarkStart w:id="2101" w:name="_Toc10731951"/>
      <w:bookmarkStart w:id="2102" w:name="_Toc10891797"/>
      <w:bookmarkStart w:id="2103" w:name="_Toc10892472"/>
      <w:bookmarkStart w:id="2104" w:name="_Toc11390335"/>
      <w:bookmarkStart w:id="2105" w:name="_Toc11840016"/>
      <w:bookmarkStart w:id="2106" w:name="_Toc11937552"/>
      <w:r>
        <w:t>ИММУНОМОФОЛОГИЧЕСКИЕ ПОКАЗАТЕЛИ СВИНЕЙ РАЗНЫХ ВОЗРАСТНЫХ ГРУПП</w:t>
      </w:r>
      <w:bookmarkEnd w:id="2100"/>
      <w:bookmarkEnd w:id="2101"/>
      <w:bookmarkEnd w:id="2102"/>
      <w:bookmarkEnd w:id="2103"/>
      <w:bookmarkEnd w:id="2104"/>
      <w:bookmarkEnd w:id="2105"/>
      <w:bookmarkEnd w:id="2106"/>
    </w:p>
    <w:p w:rsidR="00F4654E" w:rsidRDefault="00F4654E">
      <w:pPr>
        <w:pStyle w:val="2"/>
      </w:pPr>
      <w:bookmarkStart w:id="2107" w:name="_Toc10731291"/>
      <w:bookmarkStart w:id="2108" w:name="_Toc10731952"/>
      <w:bookmarkStart w:id="2109" w:name="_Toc10891798"/>
      <w:bookmarkStart w:id="2110" w:name="_Toc10892473"/>
      <w:bookmarkStart w:id="2111" w:name="_Toc11390336"/>
      <w:bookmarkStart w:id="2112" w:name="_Toc11937553"/>
      <w:r>
        <w:t>Исаева А.Г.</w:t>
      </w:r>
      <w:bookmarkEnd w:id="2107"/>
      <w:bookmarkEnd w:id="2108"/>
      <w:bookmarkEnd w:id="2109"/>
      <w:bookmarkEnd w:id="2110"/>
      <w:bookmarkEnd w:id="2111"/>
      <w:bookmarkEnd w:id="2112"/>
    </w:p>
    <w:p w:rsidR="00F4654E" w:rsidRDefault="00F4654E">
      <w:pPr>
        <w:pStyle w:val="a5"/>
      </w:pPr>
      <w:r>
        <w:t>Уральская государственная сельскохозяйственная академия</w:t>
      </w:r>
    </w:p>
    <w:p w:rsidR="00F4654E" w:rsidRDefault="00F4654E">
      <w:pPr>
        <w:pStyle w:val="a6"/>
      </w:pPr>
      <w:r>
        <w:t>Определение иммунного статуса у практически здоровых животных так же как  и у людей с целью оценки состояния их здоровья в настоящем и возможности прогнозировании его изменения в будущем, находит все большее применение при изучении различных факторов на организм. В комплексе профилактических мероприятий большое значение принадл</w:t>
      </w:r>
      <w:r>
        <w:t>е</w:t>
      </w:r>
      <w:r>
        <w:t>жит естественной резистентности и иммунореактивности организма ж</w:t>
      </w:r>
      <w:r>
        <w:t>и</w:t>
      </w:r>
      <w:r>
        <w:t>вотного. В связи с этим изучение закономерности формирования иммун</w:t>
      </w:r>
      <w:r>
        <w:t>о</w:t>
      </w:r>
      <w:r>
        <w:t>биологического статуса у свиней с учетом их возраста, физиологического  и функционального состояния следует рассматривать как неотъемлемую предпосылку совершенствования существующих и разработки новых б</w:t>
      </w:r>
      <w:r>
        <w:t>о</w:t>
      </w:r>
      <w:r>
        <w:t xml:space="preserve">лее эффективных мер борьбы с заболеваниями в Уральском регионе. </w:t>
      </w:r>
    </w:p>
    <w:p w:rsidR="00F4654E" w:rsidRDefault="00F4654E">
      <w:pPr>
        <w:pStyle w:val="a6"/>
      </w:pPr>
      <w:r>
        <w:t>Целью нашей работы являлось определение количественных   показ</w:t>
      </w:r>
      <w:r>
        <w:t>а</w:t>
      </w:r>
      <w:r>
        <w:t>телей иммунной системы у свиней разных возрастных групп, районир</w:t>
      </w:r>
      <w:r>
        <w:t>о</w:t>
      </w:r>
      <w:r>
        <w:t xml:space="preserve">ванных в различных сельхозпредприятиях Свердловской области. </w:t>
      </w:r>
    </w:p>
    <w:p w:rsidR="00F4654E" w:rsidRDefault="00F4654E">
      <w:pPr>
        <w:pStyle w:val="a6"/>
      </w:pPr>
      <w:r>
        <w:t>В ГУСП «Сосновский» и совхозе «Первомайский» были сформиров</w:t>
      </w:r>
      <w:r>
        <w:t>а</w:t>
      </w:r>
      <w:r>
        <w:t>ны по принципу аналогов, с учетом физиологического состояния и возра</w:t>
      </w:r>
      <w:r>
        <w:t>с</w:t>
      </w:r>
      <w:r>
        <w:lastRenderedPageBreak/>
        <w:t>та 3 группы свиней 2-3, 4-5, 6-9 -месячного возраста по 10-15 голов в ка</w:t>
      </w:r>
      <w:r>
        <w:t>ж</w:t>
      </w:r>
      <w:r>
        <w:t>дой.</w:t>
      </w:r>
      <w:r>
        <w:rPr>
          <w:b/>
        </w:rPr>
        <w:t xml:space="preserve">  </w:t>
      </w:r>
      <w:r>
        <w:t>Гематологические и  иммунологические исследования включали: о</w:t>
      </w:r>
      <w:r>
        <w:t>п</w:t>
      </w:r>
      <w:r>
        <w:t>ределение количества эритроцитов, лейкоцитов, гемоглобина, подсчет лейкоцитарной формулы по стандартным методикам (Г.А. Симонян, Ф.Ф. Хисамутдинов, 1995),  определение популяций и субпопуляций  лимфоц</w:t>
      </w:r>
      <w:r>
        <w:t>и</w:t>
      </w:r>
      <w:r>
        <w:t>тов методом спонтанного розеткообразования с эритроцитами мыши и б</w:t>
      </w:r>
      <w:r>
        <w:t>а</w:t>
      </w:r>
      <w:r>
        <w:t xml:space="preserve">рана (Е-РОЛ И М-РОЛ - лимфоцитов) (М.А.Бажин,1989; Р.П.Петров,1992). </w:t>
      </w:r>
    </w:p>
    <w:p w:rsidR="00F4654E" w:rsidRDefault="00F4654E">
      <w:pPr>
        <w:pStyle w:val="a6"/>
      </w:pPr>
      <w:r>
        <w:t>Низкий уровень Т- лимфоцитов  отмечен у свиней 2 и 3 группы. До</w:t>
      </w:r>
      <w:r>
        <w:t>с</w:t>
      </w:r>
      <w:r>
        <w:t>товерной разницы в показателях у животных между возрастными групп</w:t>
      </w:r>
      <w:r>
        <w:t>а</w:t>
      </w:r>
      <w:r>
        <w:t xml:space="preserve">ми не выявлено. Абсолютное количество Т - лимфоцитов у них составило соответственно 1,78 </w:t>
      </w:r>
      <w:r>
        <w:sym w:font="Symbol" w:char="F0B1"/>
      </w:r>
      <w:r>
        <w:t xml:space="preserve"> 0,47 тыс./мкл и 1,23 </w:t>
      </w:r>
      <w:r>
        <w:sym w:font="Symbol" w:char="F0B1"/>
      </w:r>
      <w:r>
        <w:t xml:space="preserve"> 0,16 тыс./мкл. Уровень В- лимфоцитов составил 1,00 </w:t>
      </w:r>
      <w:r>
        <w:sym w:font="Symbol" w:char="F0B1"/>
      </w:r>
      <w:r>
        <w:t xml:space="preserve"> 0,24 тыс./мкл и 0,75 </w:t>
      </w:r>
      <w:r>
        <w:sym w:font="Symbol" w:char="F0B1"/>
      </w:r>
      <w:r>
        <w:t xml:space="preserve"> 0,15 тыс./мкл. При этом общее колич</w:t>
      </w:r>
      <w:r>
        <w:t>е</w:t>
      </w:r>
      <w:r>
        <w:t xml:space="preserve">ство лимфоцитов составило 9,83 </w:t>
      </w:r>
      <w:r>
        <w:sym w:font="Symbol" w:char="F0B1"/>
      </w:r>
      <w:r>
        <w:t xml:space="preserve"> 1,46 тыс./мкл и 7,99 </w:t>
      </w:r>
      <w:r>
        <w:sym w:font="Symbol" w:char="F0B1"/>
      </w:r>
      <w:r>
        <w:t xml:space="preserve"> 0,69 тыс./мкл.</w:t>
      </w:r>
      <w:r w:rsidR="0047197F">
        <w:t xml:space="preserve"> </w:t>
      </w:r>
      <w:r>
        <w:t>У поросят 2-3 месячного возраста (1-ой группы) выявлены на</w:t>
      </w:r>
      <w:r>
        <w:t>и</w:t>
      </w:r>
      <w:r>
        <w:t xml:space="preserve">более высокие показатели Т – лимфоцитов – 3,07 </w:t>
      </w:r>
      <w:r>
        <w:sym w:font="Symbol" w:char="F0B1"/>
      </w:r>
      <w:r>
        <w:t xml:space="preserve"> 0,35 тыс./мкл. Также у животных этой группы отмечен наибольший  уровень В- лимфоцитов и АКЛ - 3,18</w:t>
      </w:r>
      <w:r>
        <w:sym w:font="Symbol" w:char="F0B1"/>
      </w:r>
      <w:r>
        <w:t>9,10 тыс./мкл и 11,48</w:t>
      </w:r>
      <w:r>
        <w:sym w:font="Symbol" w:char="F0B1"/>
      </w:r>
      <w:r>
        <w:t>0,58 тыс./мкл соответственно.</w:t>
      </w:r>
    </w:p>
    <w:p w:rsidR="00F4654E" w:rsidRDefault="00F4654E">
      <w:pPr>
        <w:pStyle w:val="a6"/>
      </w:pPr>
      <w:r>
        <w:t>Исследования показали, что до одного года иммунная система хара</w:t>
      </w:r>
      <w:r>
        <w:t>к</w:t>
      </w:r>
      <w:r>
        <w:t>теризуется нестабильностью, это выражается достоверными изменениями абсолютных показателей в возрастной динамике. Нашими исследованиями установлены количественные показатели иммунного статуса свиней ра</w:t>
      </w:r>
      <w:r>
        <w:t>з</w:t>
      </w:r>
      <w:r>
        <w:t>личных возрастных групп, которые можно условно принять за норму для данной популяции животных.</w:t>
      </w:r>
      <w:r w:rsidR="0047197F">
        <w:t xml:space="preserve"> </w:t>
      </w:r>
      <w:r>
        <w:t>Однако определение нормативных показат</w:t>
      </w:r>
      <w:r>
        <w:t>е</w:t>
      </w:r>
      <w:r>
        <w:t>лей иммунного статуса поголовья свиней в хозяйствах различных регионов требует дополнительных исследований и, главное, накопления статистич</w:t>
      </w:r>
      <w:r>
        <w:t>е</w:t>
      </w:r>
      <w:r>
        <w:t>ской базы. Это позволит повысить достоверность проводимых диагност</w:t>
      </w:r>
      <w:r>
        <w:t>и</w:t>
      </w:r>
      <w:r>
        <w:t>ческих исследований и эффективность профилактических и лечебных в</w:t>
      </w:r>
      <w:r>
        <w:t>е</w:t>
      </w:r>
      <w:r>
        <w:t>теринарных мероприятий.</w:t>
      </w:r>
    </w:p>
    <w:p w:rsidR="00F4654E" w:rsidRDefault="00F4654E">
      <w:pPr>
        <w:pStyle w:val="a4"/>
      </w:pPr>
      <w:r>
        <w:t>УДК 615.31:546.214.03 (048.8)</w:t>
      </w:r>
    </w:p>
    <w:p w:rsidR="00F4654E" w:rsidRDefault="00F4654E">
      <w:pPr>
        <w:pStyle w:val="1"/>
      </w:pPr>
      <w:bookmarkStart w:id="2113" w:name="_Toc518667504"/>
      <w:bookmarkStart w:id="2114" w:name="_Toc518669311"/>
      <w:bookmarkStart w:id="2115" w:name="_Toc518669460"/>
      <w:bookmarkStart w:id="2116" w:name="_Toc518669548"/>
      <w:bookmarkStart w:id="2117" w:name="_Toc518669752"/>
      <w:bookmarkStart w:id="2118" w:name="_Toc527351176"/>
      <w:bookmarkStart w:id="2119" w:name="_Toc530212507"/>
      <w:bookmarkStart w:id="2120" w:name="_Toc439800222"/>
      <w:bookmarkStart w:id="2121" w:name="_Toc10731292"/>
      <w:bookmarkStart w:id="2122" w:name="_Toc10731953"/>
      <w:bookmarkStart w:id="2123" w:name="_Toc10891799"/>
      <w:bookmarkStart w:id="2124" w:name="_Toc10892474"/>
      <w:bookmarkStart w:id="2125" w:name="_Toc11390337"/>
      <w:bookmarkStart w:id="2126" w:name="_Toc11840018"/>
      <w:bookmarkStart w:id="2127" w:name="_Toc11937554"/>
      <w:r>
        <w:t>МЕТОД ОпределениЯ стабильности КОНЦЕНТРАЦИИ озона в изотоническом растворе</w:t>
      </w:r>
      <w:bookmarkEnd w:id="2113"/>
      <w:bookmarkEnd w:id="2114"/>
      <w:bookmarkEnd w:id="2115"/>
      <w:bookmarkEnd w:id="2116"/>
      <w:bookmarkEnd w:id="2117"/>
      <w:r>
        <w:t xml:space="preserve"> хлорида натрия</w:t>
      </w:r>
      <w:bookmarkEnd w:id="2118"/>
      <w:bookmarkEnd w:id="2119"/>
      <w:bookmarkEnd w:id="2120"/>
      <w:bookmarkEnd w:id="2121"/>
      <w:bookmarkEnd w:id="2122"/>
      <w:bookmarkEnd w:id="2123"/>
      <w:bookmarkEnd w:id="2124"/>
      <w:bookmarkEnd w:id="2125"/>
      <w:bookmarkEnd w:id="2126"/>
      <w:bookmarkEnd w:id="2127"/>
    </w:p>
    <w:p w:rsidR="00F4654E" w:rsidRDefault="00F4654E">
      <w:pPr>
        <w:pStyle w:val="2"/>
      </w:pPr>
      <w:bookmarkStart w:id="2128" w:name="_Toc10731293"/>
      <w:bookmarkStart w:id="2129" w:name="_Toc10731954"/>
      <w:bookmarkStart w:id="2130" w:name="_Toc10891800"/>
      <w:bookmarkStart w:id="2131" w:name="_Toc10892475"/>
      <w:bookmarkStart w:id="2132" w:name="_Toc11390338"/>
      <w:bookmarkStart w:id="2133" w:name="_Toc11937555"/>
      <w:r>
        <w:t>Искусных О.Ю., Рецкий М.И.</w:t>
      </w:r>
      <w:bookmarkEnd w:id="2128"/>
      <w:bookmarkEnd w:id="2129"/>
      <w:bookmarkEnd w:id="2130"/>
      <w:bookmarkEnd w:id="2131"/>
      <w:bookmarkEnd w:id="2132"/>
      <w:bookmarkEnd w:id="2133"/>
    </w:p>
    <w:p w:rsidR="00F4654E" w:rsidRDefault="00F4654E">
      <w:pPr>
        <w:pStyle w:val="a5"/>
      </w:pPr>
      <w:r>
        <w:t>Всероссийский НИВИ патологии, фармакологии и терапии</w:t>
      </w:r>
    </w:p>
    <w:p w:rsidR="00F4654E" w:rsidRDefault="00F4654E">
      <w:pPr>
        <w:pStyle w:val="a6"/>
      </w:pPr>
      <w:r>
        <w:t>В настоящее время всё более широкое применение в практике ветер</w:t>
      </w:r>
      <w:r>
        <w:t>и</w:t>
      </w:r>
      <w:r>
        <w:t>нарной медицины находит озон, обладающий рядом уникальных свойств, позволяющих использовать его в терапии различных заболеваний живо</w:t>
      </w:r>
      <w:r>
        <w:t>т</w:t>
      </w:r>
      <w:r>
        <w:t>ных. При проведении озонотерапии биологический эффект действия озона существенным образом зависит от его концентрации в инфузионном ра</w:t>
      </w:r>
      <w:r>
        <w:t>с</w:t>
      </w:r>
      <w:r>
        <w:t>творе. В связи с тем, что в растворе озон достаточно быстро разрушается, нео</w:t>
      </w:r>
      <w:r>
        <w:t>б</w:t>
      </w:r>
      <w:r>
        <w:t xml:space="preserve">ходимо знать временные параметры применения раствора озона после его приготовления в озонаторе и осуществлять периодический контроль за </w:t>
      </w:r>
      <w:r>
        <w:lastRenderedPageBreak/>
        <w:t>ко</w:t>
      </w:r>
      <w:r>
        <w:t>н</w:t>
      </w:r>
      <w:r>
        <w:t>центрацией озона в растворе, который применяется животным. Нами разр</w:t>
      </w:r>
      <w:r>
        <w:t>а</w:t>
      </w:r>
      <w:r>
        <w:t>ботана модификация йодометри</w:t>
      </w:r>
      <w:r w:rsidR="0047197F">
        <w:t>-</w:t>
      </w:r>
      <w:r>
        <w:t>ческого метода определения озона в питьевой воде (ГОСТ № 030941) применительно к его раствору в изотон</w:t>
      </w:r>
      <w:r>
        <w:t>и</w:t>
      </w:r>
      <w:r>
        <w:t>ческом растворе хлорида натрия (далее физрастворе) наиболее часто и</w:t>
      </w:r>
      <w:r>
        <w:t>с</w:t>
      </w:r>
      <w:r>
        <w:t>пользуемого для парентерального применения и содержащим относител</w:t>
      </w:r>
      <w:r>
        <w:t>ь</w:t>
      </w:r>
      <w:r>
        <w:t>но высокие ко</w:t>
      </w:r>
      <w:r>
        <w:t>н</w:t>
      </w:r>
      <w:r>
        <w:t>центрации озона.</w:t>
      </w:r>
    </w:p>
    <w:p w:rsidR="00F4654E" w:rsidRDefault="00F4654E">
      <w:pPr>
        <w:pStyle w:val="a6"/>
      </w:pPr>
      <w:r>
        <w:t>Определение выполняется следующим образом. В колбу с притертой пробкой вносят 5 см</w:t>
      </w:r>
      <w:r>
        <w:rPr>
          <w:vertAlign w:val="superscript"/>
        </w:rPr>
        <w:t>3</w:t>
      </w:r>
      <w:r>
        <w:t xml:space="preserve"> насыщенного раствора KI. Затем добавляют 5 см</w:t>
      </w:r>
      <w:r>
        <w:rPr>
          <w:vertAlign w:val="superscript"/>
        </w:rPr>
        <w:t>3</w:t>
      </w:r>
      <w:r>
        <w:t xml:space="preserve"> </w:t>
      </w:r>
      <w:r>
        <w:br/>
        <w:t>4,5 Н раствора H</w:t>
      </w:r>
      <w:r>
        <w:rPr>
          <w:vertAlign w:val="subscript"/>
        </w:rPr>
        <w:t>2</w:t>
      </w:r>
      <w:r>
        <w:t>SO</w:t>
      </w:r>
      <w:r>
        <w:rPr>
          <w:vertAlign w:val="subscript"/>
        </w:rPr>
        <w:t>4</w:t>
      </w:r>
      <w:r>
        <w:t xml:space="preserve"> и 100 см</w:t>
      </w:r>
      <w:r>
        <w:rPr>
          <w:vertAlign w:val="superscript"/>
        </w:rPr>
        <w:t>3</w:t>
      </w:r>
      <w:r>
        <w:t xml:space="preserve"> озонированного физраствора. Смесь инк</w:t>
      </w:r>
      <w:r>
        <w:t>у</w:t>
      </w:r>
      <w:r>
        <w:t>бируют при комнатной температуре в течение 10 минут. Добавляют 2 см</w:t>
      </w:r>
      <w:r>
        <w:rPr>
          <w:vertAlign w:val="superscript"/>
        </w:rPr>
        <w:t>3</w:t>
      </w:r>
      <w:r>
        <w:t xml:space="preserve"> 5% раствора крахмала. Пользуясь микробюреткой, титруют 0,005 Н раст-вором серноватистокислого натрия до исчезновения синей окраски.  С</w:t>
      </w:r>
      <w:r>
        <w:t>о</w:t>
      </w:r>
      <w:r>
        <w:t>держание озона в физрастворе вычисляют по формуле:</w:t>
      </w:r>
    </w:p>
    <w:p w:rsidR="00F4654E" w:rsidRDefault="00F4654E">
      <w:pPr>
        <w:pStyle w:val="a6"/>
        <w:ind w:firstLine="0"/>
        <w:jc w:val="center"/>
      </w:pPr>
      <w:r>
        <w:object w:dxaOrig="2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28.5pt" o:ole="" fillcolor="window">
            <v:imagedata r:id="rId7" o:title="" gain="126031f"/>
          </v:shape>
          <o:OLEObject Type="Embed" ProgID="Equation.3" ShapeID="_x0000_i1025" DrawAspect="Content" ObjectID="_1616487234" r:id="rId8"/>
        </w:object>
      </w:r>
      <w:r>
        <w:t>, где</w:t>
      </w:r>
    </w:p>
    <w:p w:rsidR="00F4654E" w:rsidRPr="0047197F" w:rsidRDefault="00F4654E">
      <w:pPr>
        <w:pStyle w:val="a6"/>
        <w:ind w:firstLine="0"/>
        <w:rPr>
          <w:spacing w:val="-4"/>
        </w:rPr>
      </w:pPr>
      <w:r w:rsidRPr="0047197F">
        <w:rPr>
          <w:i/>
          <w:spacing w:val="-4"/>
        </w:rPr>
        <w:t>X</w:t>
      </w:r>
      <w:r w:rsidRPr="0047197F">
        <w:rPr>
          <w:spacing w:val="-4"/>
        </w:rPr>
        <w:t xml:space="preserve"> мг/л - содержание озона, </w:t>
      </w:r>
      <w:r w:rsidRPr="0047197F">
        <w:rPr>
          <w:i/>
          <w:spacing w:val="-4"/>
        </w:rPr>
        <w:t>а</w:t>
      </w:r>
      <w:r w:rsidRPr="0047197F">
        <w:rPr>
          <w:spacing w:val="-4"/>
        </w:rPr>
        <w:t xml:space="preserve"> - количество раствора серноватистокислого н</w:t>
      </w:r>
      <w:r w:rsidRPr="0047197F">
        <w:rPr>
          <w:spacing w:val="-4"/>
        </w:rPr>
        <w:t>а</w:t>
      </w:r>
      <w:r w:rsidRPr="0047197F">
        <w:rPr>
          <w:spacing w:val="-4"/>
        </w:rPr>
        <w:t>трия, израсходованного на титрование пробы в см</w:t>
      </w:r>
      <w:r w:rsidRPr="0047197F">
        <w:rPr>
          <w:spacing w:val="-4"/>
          <w:vertAlign w:val="superscript"/>
        </w:rPr>
        <w:t>3</w:t>
      </w:r>
      <w:r w:rsidRPr="0047197F">
        <w:rPr>
          <w:spacing w:val="-4"/>
        </w:rPr>
        <w:t xml:space="preserve">, </w:t>
      </w:r>
      <w:r w:rsidRPr="0047197F">
        <w:rPr>
          <w:i/>
          <w:spacing w:val="-4"/>
        </w:rPr>
        <w:t>b</w:t>
      </w:r>
      <w:r w:rsidRPr="0047197F">
        <w:rPr>
          <w:spacing w:val="-4"/>
        </w:rPr>
        <w:t xml:space="preserve"> - количество ра</w:t>
      </w:r>
      <w:r w:rsidRPr="0047197F">
        <w:rPr>
          <w:spacing w:val="-4"/>
        </w:rPr>
        <w:t>с</w:t>
      </w:r>
      <w:r w:rsidRPr="0047197F">
        <w:rPr>
          <w:spacing w:val="-4"/>
        </w:rPr>
        <w:t>твора серноватистокислого натрия, израсходованного на титрование холостой пр</w:t>
      </w:r>
      <w:r w:rsidRPr="0047197F">
        <w:rPr>
          <w:spacing w:val="-4"/>
        </w:rPr>
        <w:t>о</w:t>
      </w:r>
      <w:r w:rsidRPr="0047197F">
        <w:rPr>
          <w:spacing w:val="-4"/>
        </w:rPr>
        <w:t>бы в см</w:t>
      </w:r>
      <w:r w:rsidRPr="0047197F">
        <w:rPr>
          <w:spacing w:val="-4"/>
          <w:vertAlign w:val="superscript"/>
        </w:rPr>
        <w:t>3</w:t>
      </w:r>
      <w:r w:rsidRPr="0047197F">
        <w:rPr>
          <w:spacing w:val="-4"/>
        </w:rPr>
        <w:t xml:space="preserve">, </w:t>
      </w:r>
      <w:r w:rsidRPr="0047197F">
        <w:rPr>
          <w:i/>
          <w:spacing w:val="-4"/>
        </w:rPr>
        <w:t>K</w:t>
      </w:r>
      <w:r w:rsidRPr="0047197F">
        <w:rPr>
          <w:spacing w:val="-4"/>
        </w:rPr>
        <w:t xml:space="preserve"> - поправочный коэффициент к нормальности раствора серноват</w:t>
      </w:r>
      <w:r w:rsidRPr="0047197F">
        <w:rPr>
          <w:spacing w:val="-4"/>
        </w:rPr>
        <w:t>и</w:t>
      </w:r>
      <w:r w:rsidRPr="0047197F">
        <w:rPr>
          <w:spacing w:val="-4"/>
        </w:rPr>
        <w:t xml:space="preserve">стокислого натрия, </w:t>
      </w:r>
      <w:r w:rsidRPr="0047197F">
        <w:rPr>
          <w:i/>
          <w:spacing w:val="-4"/>
        </w:rPr>
        <w:t>N</w:t>
      </w:r>
      <w:r w:rsidRPr="0047197F">
        <w:rPr>
          <w:spacing w:val="-4"/>
        </w:rPr>
        <w:t xml:space="preserve"> - нормальность раствора серноватистоки</w:t>
      </w:r>
      <w:r w:rsidRPr="0047197F">
        <w:rPr>
          <w:spacing w:val="-4"/>
        </w:rPr>
        <w:t>с</w:t>
      </w:r>
      <w:r w:rsidRPr="0047197F">
        <w:rPr>
          <w:spacing w:val="-4"/>
        </w:rPr>
        <w:t>лого натрия, 24 - содержание озона, соответствующее 1 см</w:t>
      </w:r>
      <w:r w:rsidRPr="0047197F">
        <w:rPr>
          <w:spacing w:val="-4"/>
          <w:vertAlign w:val="superscript"/>
        </w:rPr>
        <w:t>3</w:t>
      </w:r>
      <w:r w:rsidRPr="0047197F">
        <w:rPr>
          <w:spacing w:val="-4"/>
        </w:rPr>
        <w:t xml:space="preserve"> 1,0 Н раствора серноватист</w:t>
      </w:r>
      <w:r w:rsidRPr="0047197F">
        <w:rPr>
          <w:spacing w:val="-4"/>
        </w:rPr>
        <w:t>о</w:t>
      </w:r>
      <w:r w:rsidRPr="0047197F">
        <w:rPr>
          <w:spacing w:val="-4"/>
        </w:rPr>
        <w:t xml:space="preserve">кислого натрия в мг, </w:t>
      </w:r>
      <w:r w:rsidRPr="0047197F">
        <w:rPr>
          <w:i/>
          <w:spacing w:val="-4"/>
        </w:rPr>
        <w:t>V</w:t>
      </w:r>
      <w:r w:rsidRPr="0047197F">
        <w:rPr>
          <w:spacing w:val="-4"/>
        </w:rPr>
        <w:t xml:space="preserve"> - объем пробы в см</w:t>
      </w:r>
      <w:r w:rsidRPr="0047197F">
        <w:rPr>
          <w:spacing w:val="-4"/>
          <w:vertAlign w:val="superscript"/>
        </w:rPr>
        <w:t>3</w:t>
      </w:r>
      <w:r w:rsidRPr="0047197F">
        <w:rPr>
          <w:spacing w:val="-4"/>
        </w:rPr>
        <w:t>, взятой для опр</w:t>
      </w:r>
      <w:r w:rsidRPr="0047197F">
        <w:rPr>
          <w:spacing w:val="-4"/>
        </w:rPr>
        <w:t>е</w:t>
      </w:r>
      <w:r w:rsidRPr="0047197F">
        <w:rPr>
          <w:spacing w:val="-4"/>
        </w:rPr>
        <w:t>деления.</w:t>
      </w:r>
    </w:p>
    <w:p w:rsidR="00F4654E" w:rsidRDefault="00F4654E">
      <w:pPr>
        <w:pStyle w:val="a6"/>
      </w:pPr>
      <w:r>
        <w:t xml:space="preserve">Для определения поправочного коэффициента </w:t>
      </w:r>
      <w:r>
        <w:rPr>
          <w:i/>
        </w:rPr>
        <w:t>К</w:t>
      </w:r>
      <w:r>
        <w:t xml:space="preserve"> в колбу с притертой пробкой всыпают 0,5 г кристаллического KJ и разбавляют 0,5 см</w:t>
      </w:r>
      <w:r>
        <w:rPr>
          <w:vertAlign w:val="superscript"/>
        </w:rPr>
        <w:t>3</w:t>
      </w:r>
      <w:r>
        <w:t xml:space="preserve"> воды. З</w:t>
      </w:r>
      <w:r>
        <w:t>а</w:t>
      </w:r>
      <w:r>
        <w:t>тем прибавляют 5 см</w:t>
      </w:r>
      <w:r>
        <w:rPr>
          <w:vertAlign w:val="superscript"/>
        </w:rPr>
        <w:t>3</w:t>
      </w:r>
      <w:r>
        <w:t xml:space="preserve"> 1,0 Н раствора серной кислоты, 10 см</w:t>
      </w:r>
      <w:r>
        <w:rPr>
          <w:vertAlign w:val="superscript"/>
        </w:rPr>
        <w:t>3</w:t>
      </w:r>
      <w:r>
        <w:t xml:space="preserve"> 0,005 Н раст-вора K</w:t>
      </w:r>
      <w:r>
        <w:rPr>
          <w:vertAlign w:val="subscript"/>
        </w:rPr>
        <w:t>2</w:t>
      </w:r>
      <w:r>
        <w:t>Cr</w:t>
      </w:r>
      <w:r>
        <w:rPr>
          <w:vertAlign w:val="subscript"/>
        </w:rPr>
        <w:t>2</w:t>
      </w:r>
      <w:r>
        <w:t>O</w:t>
      </w:r>
      <w:r>
        <w:rPr>
          <w:vertAlign w:val="subscript"/>
        </w:rPr>
        <w:t>7</w:t>
      </w:r>
      <w:r>
        <w:t xml:space="preserve"> и 50 см</w:t>
      </w:r>
      <w:r>
        <w:rPr>
          <w:vertAlign w:val="superscript"/>
        </w:rPr>
        <w:t>3</w:t>
      </w:r>
      <w:r>
        <w:t xml:space="preserve"> воды. Колбу оставляют в темном месте на 10 минут. Выделившийся йод титруют раствором серноватистокислого натрия соо</w:t>
      </w:r>
      <w:r>
        <w:t>т</w:t>
      </w:r>
      <w:r>
        <w:t>ветствующей нормальности в присутствии крахмала, прибавляемого под конец титрования, до исчезновения синей окраски. По количеству сернов</w:t>
      </w:r>
      <w:r>
        <w:t>а</w:t>
      </w:r>
      <w:r>
        <w:t>тистокислого натрия, пошедшему на титрование, рассчитывают коэфф</w:t>
      </w:r>
      <w:r>
        <w:t>и</w:t>
      </w:r>
      <w:r>
        <w:t xml:space="preserve">циент </w:t>
      </w:r>
      <w:r>
        <w:rPr>
          <w:i/>
        </w:rPr>
        <w:t>K</w:t>
      </w:r>
      <w:r>
        <w:t xml:space="preserve">. по формуле: </w:t>
      </w:r>
      <w:r>
        <w:rPr>
          <w:i/>
        </w:rPr>
        <w:t>К</w:t>
      </w:r>
      <w:r>
        <w:t xml:space="preserve"> = 10/</w:t>
      </w:r>
      <w:r>
        <w:rPr>
          <w:i/>
        </w:rPr>
        <w:t>а</w:t>
      </w:r>
      <w:r>
        <w:t xml:space="preserve">, где </w:t>
      </w:r>
      <w:r>
        <w:rPr>
          <w:i/>
        </w:rPr>
        <w:t>а</w:t>
      </w:r>
      <w:r>
        <w:t xml:space="preserve"> – кол-во раствора серноватистокисл</w:t>
      </w:r>
      <w:r>
        <w:t>о</w:t>
      </w:r>
      <w:r>
        <w:t>го натрия в см</w:t>
      </w:r>
      <w:r>
        <w:rPr>
          <w:vertAlign w:val="superscript"/>
        </w:rPr>
        <w:t>3</w:t>
      </w:r>
      <w:r>
        <w:t>, пошедшее на титрование.</w:t>
      </w:r>
    </w:p>
    <w:p w:rsidR="00F4654E" w:rsidRDefault="00F4654E">
      <w:pPr>
        <w:pStyle w:val="a6"/>
      </w:pPr>
      <w:r>
        <w:t>Для оценки приемлемости предлагаемой модификации проведено изучение изменения концентрации озона в физрастворе в зависимости от времени прошедшего после его приготовления в озонаторе ОЖК-1. В к</w:t>
      </w:r>
      <w:r>
        <w:t>а</w:t>
      </w:r>
      <w:r>
        <w:t>честве экспериментальных были выбраны концентрации озона 500, 1500 и 2000 мкг/л, которые наиболее часто используются для парентерального применения животным. Установлено, что с течением времени концентр</w:t>
      </w:r>
      <w:r>
        <w:t>а</w:t>
      </w:r>
      <w:r>
        <w:t>ция озона в растворах постепенно снижается. При этом скорость снижения зависит от исходной концентрации озона. Через 30 минут после пригото</w:t>
      </w:r>
      <w:r>
        <w:t>в</w:t>
      </w:r>
      <w:r>
        <w:t>ления его концентр</w:t>
      </w:r>
      <w:r>
        <w:t>а</w:t>
      </w:r>
      <w:r>
        <w:t xml:space="preserve">ция в растворе практически не изменялась. Через 1 час после окончания озонирования, при исходной концентрации озона 500 мкг/л снижение его количества в растворе составляло 10 %, при 1500 мкг/л </w:t>
      </w:r>
      <w:r>
        <w:lastRenderedPageBreak/>
        <w:t>- 40 %, а при 2000 мкг/л - 45 %. Через 2 часа концентрация озона в раств</w:t>
      </w:r>
      <w:r>
        <w:t>о</w:t>
      </w:r>
      <w:r>
        <w:t>ре снижается почти в 2 раза по сравнению с исходной, а через 2,5 часа, н</w:t>
      </w:r>
      <w:r>
        <w:t>е</w:t>
      </w:r>
      <w:r>
        <w:t>зависимо от начал</w:t>
      </w:r>
      <w:r>
        <w:t>ь</w:t>
      </w:r>
      <w:r>
        <w:t xml:space="preserve">ной, концентрация озона составляла всего около 20 % от исходной. </w:t>
      </w:r>
    </w:p>
    <w:p w:rsidR="00F4654E" w:rsidRDefault="00F4654E">
      <w:pPr>
        <w:pStyle w:val="a6"/>
      </w:pPr>
      <w:r>
        <w:t>Таким образом, предлагаемая модификация метода йодометрического титрования вполне пригодна для определения концентрации озона в из</w:t>
      </w:r>
      <w:r>
        <w:t>о</w:t>
      </w:r>
      <w:r>
        <w:t>тоническом растворе хлорида натрия, а его парентеральное применение следует проводить не позднее 30 минут после приготовления.</w:t>
      </w:r>
    </w:p>
    <w:p w:rsidR="00F4654E" w:rsidRDefault="00F4654E">
      <w:pPr>
        <w:pStyle w:val="a4"/>
      </w:pPr>
      <w:r>
        <w:t>УДК 619:615.015+615.218</w:t>
      </w:r>
    </w:p>
    <w:p w:rsidR="00F4654E" w:rsidRDefault="00F4654E">
      <w:pPr>
        <w:pStyle w:val="1"/>
      </w:pPr>
      <w:bookmarkStart w:id="2134" w:name="_Toc10731294"/>
      <w:bookmarkStart w:id="2135" w:name="_Toc10731955"/>
      <w:bookmarkStart w:id="2136" w:name="_Toc10891801"/>
      <w:bookmarkStart w:id="2137" w:name="_Toc10892476"/>
      <w:bookmarkStart w:id="2138" w:name="_Toc11390339"/>
      <w:bookmarkStart w:id="2139" w:name="_Toc11840020"/>
      <w:bookmarkStart w:id="2140" w:name="_Toc11937556"/>
      <w:r>
        <w:t>Разработка комплексного препарата левотил И ЕГО АНТИМИКРОБНАЯ АКТИВНОСТЬ</w:t>
      </w:r>
      <w:bookmarkEnd w:id="2134"/>
      <w:bookmarkEnd w:id="2135"/>
      <w:bookmarkEnd w:id="2136"/>
      <w:bookmarkEnd w:id="2137"/>
      <w:bookmarkEnd w:id="2138"/>
      <w:bookmarkEnd w:id="2139"/>
      <w:bookmarkEnd w:id="2140"/>
    </w:p>
    <w:p w:rsidR="00F4654E" w:rsidRDefault="00F4654E">
      <w:pPr>
        <w:pStyle w:val="2"/>
      </w:pPr>
      <w:bookmarkStart w:id="2141" w:name="_Toc10731295"/>
      <w:bookmarkStart w:id="2142" w:name="_Toc10731956"/>
      <w:bookmarkStart w:id="2143" w:name="_Toc10891802"/>
      <w:bookmarkStart w:id="2144" w:name="_Toc10892477"/>
      <w:bookmarkStart w:id="2145" w:name="_Toc11390340"/>
      <w:bookmarkStart w:id="2146" w:name="_Toc11937557"/>
      <w:r>
        <w:t>Казаков В.И., Сашнина Л.Ю.</w:t>
      </w:r>
      <w:bookmarkEnd w:id="2141"/>
      <w:bookmarkEnd w:id="2142"/>
      <w:bookmarkEnd w:id="2143"/>
      <w:bookmarkEnd w:id="2144"/>
      <w:bookmarkEnd w:id="2145"/>
      <w:bookmarkEnd w:id="2146"/>
    </w:p>
    <w:p w:rsidR="00F4654E" w:rsidRDefault="00F4654E">
      <w:pPr>
        <w:pStyle w:val="a5"/>
      </w:pPr>
      <w:r>
        <w:t>ООО «Ветеринарный диагностический центр», г. Воронеж</w:t>
      </w:r>
    </w:p>
    <w:p w:rsidR="00F4654E" w:rsidRDefault="00F4654E">
      <w:pPr>
        <w:pStyle w:val="a6"/>
      </w:pPr>
      <w:r>
        <w:t>Оптимальное соотношение левомицетина и тилозина, синергидность комбинации изучали определением активности препарата с различным с</w:t>
      </w:r>
      <w:r>
        <w:t>о</w:t>
      </w:r>
      <w:r>
        <w:t>отношением компонентов методом серийных разведений, вычислением фракциональной ингибирующей концентрации (ФИК) и суммы фракци</w:t>
      </w:r>
      <w:r>
        <w:t>о</w:t>
      </w:r>
      <w:r>
        <w:t>нальных ингибирующих концентраций (ФИК – индекс).</w:t>
      </w:r>
    </w:p>
    <w:p w:rsidR="00F4654E" w:rsidRDefault="00F4654E">
      <w:pPr>
        <w:pStyle w:val="a6"/>
      </w:pPr>
      <w:r>
        <w:t>Изучение различных соотношений левомицетина с тилозином в о</w:t>
      </w:r>
      <w:r>
        <w:t>т</w:t>
      </w:r>
      <w:r>
        <w:t>ношении кишечной палочки – Escherichia coli (08), сальмонеллы – Salmonella cholerae suis, пастереллы – Pasterella multocida, показало, что наиболее выраженным антимикробным действием в отношении изученных штаммов микроорганизмов обладает комбинация в соотношении: левом</w:t>
      </w:r>
      <w:r>
        <w:t>и</w:t>
      </w:r>
      <w:r>
        <w:t>цетин 1,0 тилозин 1,0.</w:t>
      </w:r>
      <w:r w:rsidR="0047197F">
        <w:t xml:space="preserve"> </w:t>
      </w:r>
      <w:r>
        <w:t>Минимальная бактериостатическая концентрация (МБсК) данной комбинации в отношении –Salmonella cholerae suis  и Pasterella multocida составила 3,1 мкг/мл, а в отношении Escherichia coli (08) – 6,25 мкг/мл и превосходила МБсК, как составных частей комбин</w:t>
      </w:r>
      <w:r>
        <w:t>а</w:t>
      </w:r>
      <w:r>
        <w:t>ции (левомицетина, тил</w:t>
      </w:r>
      <w:r>
        <w:t>о</w:t>
      </w:r>
      <w:r>
        <w:t>зина) так и комбинаций в других соотношениях компонентов.</w:t>
      </w:r>
      <w:r w:rsidR="0047197F">
        <w:t xml:space="preserve"> </w:t>
      </w:r>
      <w:r>
        <w:t>Фракциональная ингибирующая концентрация (ФИК) лев</w:t>
      </w:r>
      <w:r>
        <w:t>о</w:t>
      </w:r>
      <w:r>
        <w:t>мицетина оптимальной концентрации в опыте с Salmonella cholerae suis с</w:t>
      </w:r>
      <w:r>
        <w:t>о</w:t>
      </w:r>
      <w:r>
        <w:t>ставила 0,008, тилозина – 0,01, а сумма фракциональных концентраций (ФИК – индекс) – равнялся – 0,018, ФИК  левомицетина в опыте с культ</w:t>
      </w:r>
      <w:r>
        <w:t>у</w:t>
      </w:r>
      <w:r>
        <w:t>рой Escherichia coli (08) составил 0,008, тилозина – 0,011. ФИК-индекс комб</w:t>
      </w:r>
      <w:r>
        <w:t>и</w:t>
      </w:r>
      <w:r>
        <w:t>нации в опыте с культурой Escherichia coli (08) равнялся 0,019. ФИК левомицетина в опыте с культурой Pasterella multocida составила 0,04, т</w:t>
      </w:r>
      <w:r>
        <w:t>и</w:t>
      </w:r>
      <w:r>
        <w:t>лозина – 0,02; ФИК-индекс составил 0,024.</w:t>
      </w:r>
    </w:p>
    <w:p w:rsidR="00F4654E" w:rsidRDefault="00F4654E">
      <w:pPr>
        <w:pStyle w:val="a6"/>
      </w:pPr>
      <w:r>
        <w:t>Изучение оптимального соотношения левомицетина и тилозина пр</w:t>
      </w:r>
      <w:r>
        <w:t>о</w:t>
      </w:r>
      <w:r>
        <w:t>ведено в опытах in vivo по лечению колибактериоза у поросят.</w:t>
      </w:r>
    </w:p>
    <w:p w:rsidR="00F4654E" w:rsidRDefault="00F4654E">
      <w:pPr>
        <w:pStyle w:val="a6"/>
      </w:pPr>
      <w:r>
        <w:t xml:space="preserve">Диагноз на заболевание колибактериозом устанавливали на основании данных клинического обследования животных, патологоанатомического вскрытия, лабораторных исследований с учетом эпизоотической ситуации </w:t>
      </w:r>
      <w:r>
        <w:lastRenderedPageBreak/>
        <w:t>в хозяйстве.</w:t>
      </w:r>
      <w:r w:rsidR="0047197F">
        <w:t xml:space="preserve"> </w:t>
      </w:r>
      <w:r>
        <w:t>Для лечения больных колибактериозом поросят применяли левотил с различным соотношением компонентов в дозе 0,3-04 мл/кг ма</w:t>
      </w:r>
      <w:r>
        <w:t>с</w:t>
      </w:r>
      <w:r>
        <w:t>сы тела один раз в сутки до и в течение 2-3 дней после исчезновения кл</w:t>
      </w:r>
      <w:r>
        <w:t>и</w:t>
      </w:r>
      <w:r>
        <w:t>нических признаков заболевания: 1 группа: левомицетин 6,0 г тилозин 4,0 г, пол</w:t>
      </w:r>
      <w:r>
        <w:t>и</w:t>
      </w:r>
      <w:r>
        <w:t>этиленоксид-400 – 20 г, 1,2-пропиленгликоль до 100 мл.</w:t>
      </w:r>
      <w:r w:rsidR="0047197F">
        <w:t xml:space="preserve"> </w:t>
      </w:r>
      <w:r>
        <w:t>2 группа: левом</w:t>
      </w:r>
      <w:r>
        <w:t>и</w:t>
      </w:r>
      <w:r>
        <w:t>цетин – 5,0 г, тилозин 4,0 г, полиэтиленоксид-400 – 20 г, 1,2-пропиленгликоль до 100 мл.</w:t>
      </w:r>
      <w:r w:rsidR="0047197F">
        <w:t xml:space="preserve"> </w:t>
      </w:r>
      <w:r>
        <w:t>3 группа: левомицетин – 4,0 г, тилозин 6,0 г, полиэтиленоксид-400 – 20,0 г, 1,2-пропиленгликоль до 100 мл.</w:t>
      </w:r>
    </w:p>
    <w:p w:rsidR="00F4654E" w:rsidRDefault="00F4654E">
      <w:pPr>
        <w:pStyle w:val="a6"/>
      </w:pPr>
      <w:r>
        <w:t>Установлено, что наиболее оптимальным при лечении колибактериоза у поросят является препарат с соотношением компонентов: левомицетин – 5,0 г, тилозин – 5,0 г, полиэтиленоксид-400 – 20,0 г, 1,2-пропиленгликоль до 100 мл.</w:t>
      </w:r>
      <w:r w:rsidR="0047197F">
        <w:t xml:space="preserve"> </w:t>
      </w:r>
      <w:r>
        <w:t>Применение левотила с оптимальным соотношением компоне</w:t>
      </w:r>
      <w:r>
        <w:t>н</w:t>
      </w:r>
      <w:r>
        <w:t>тов уменьшает срок лечения животных больных колибактериозом на 2,1-2,4 дня по сравнению со сроком лечения левотилом с другими соотнош</w:t>
      </w:r>
      <w:r>
        <w:t>е</w:t>
      </w:r>
      <w:r>
        <w:t>ниями компонентов. В группе поросят, которым для лечения колибакт</w:t>
      </w:r>
      <w:r>
        <w:t>е</w:t>
      </w:r>
      <w:r>
        <w:t>риоза применяли левотил с оптимальным соотношением компонентов, в</w:t>
      </w:r>
      <w:r>
        <w:t>ы</w:t>
      </w:r>
      <w:r>
        <w:t>здоровело 91,6% животных, в тоже время в двух других группах лечебная эффективность препарата составила 84,9% и 85,6%, а падеж составил соо</w:t>
      </w:r>
      <w:r>
        <w:t>т</w:t>
      </w:r>
      <w:r>
        <w:t>ветственно 4,2% и 6,9%, 5,5%.</w:t>
      </w:r>
    </w:p>
    <w:p w:rsidR="0047197F" w:rsidRDefault="00F4654E">
      <w:pPr>
        <w:pStyle w:val="a6"/>
      </w:pPr>
      <w:r>
        <w:t>Изучение антимикробной активности проводили методом серийных разведений (Антонов В.И., 1986) в отношении референтных и полевых штаммов микроорганизмов, типированных по морфологическим, культ</w:t>
      </w:r>
      <w:r>
        <w:t>у</w:t>
      </w:r>
      <w:r>
        <w:t>ральным, биохимическим и серологическим свойствам.</w:t>
      </w:r>
      <w:r w:rsidR="0047197F">
        <w:t xml:space="preserve"> </w:t>
      </w:r>
      <w:r>
        <w:t>Левотил наиболее активен в отношении Staphilococсus aureus и Bordetella bronchiseptica (8346). МБсК в отношении данных микроорганизмов составила 31,2 мкг/мл. Минимальная бактериостатическая концентрация левотила в о</w:t>
      </w:r>
      <w:r>
        <w:t>т</w:t>
      </w:r>
      <w:r>
        <w:t>ношении Escherichia coli (08), Pasterella multocida, Bacillus subtilis  состав</w:t>
      </w:r>
      <w:r>
        <w:t>и</w:t>
      </w:r>
      <w:r>
        <w:t>ла 62,5 мкг/мл, наиболее устойчивыми к действию левотила оказались Salmonella cholerae suis и Pseudomonas aeruginosa. МБсК в отношении да</w:t>
      </w:r>
      <w:r>
        <w:t>н</w:t>
      </w:r>
      <w:r>
        <w:t>ных микроорганизмов составила 125 мкг/мл. Бактерицидные свойства л</w:t>
      </w:r>
      <w:r>
        <w:t>е</w:t>
      </w:r>
      <w:r>
        <w:t>вотила проявлялись в концентрациях в 2-4 раза превышающих МБсК.</w:t>
      </w:r>
      <w:r w:rsidR="0047197F">
        <w:t xml:space="preserve"> </w:t>
      </w:r>
    </w:p>
    <w:p w:rsidR="00F4654E" w:rsidRDefault="00F4654E">
      <w:pPr>
        <w:pStyle w:val="a6"/>
      </w:pPr>
      <w:r>
        <w:t>В результате проведенных исследований установлено, что выбранное соотношение компонентов в препарате является оптимальным.</w:t>
      </w:r>
    </w:p>
    <w:p w:rsidR="00F4654E" w:rsidRDefault="00F4654E">
      <w:pPr>
        <w:pStyle w:val="a4"/>
      </w:pPr>
      <w:r>
        <w:t>УДК 619:616.981.48:636.4+636.22/28</w:t>
      </w:r>
    </w:p>
    <w:p w:rsidR="00F4654E" w:rsidRDefault="00F4654E">
      <w:pPr>
        <w:pStyle w:val="1"/>
      </w:pPr>
      <w:bookmarkStart w:id="2147" w:name="_Toc10731300"/>
      <w:bookmarkStart w:id="2148" w:name="_Toc10731961"/>
      <w:bookmarkStart w:id="2149" w:name="_Toc10891807"/>
      <w:bookmarkStart w:id="2150" w:name="_Toc10892482"/>
      <w:bookmarkStart w:id="2151" w:name="_Toc11390345"/>
      <w:bookmarkStart w:id="2152" w:name="_Toc11840026"/>
      <w:bookmarkStart w:id="2153" w:name="_Toc11937558"/>
      <w:r>
        <w:t xml:space="preserve">ЭФФЕКТИВНОСТЬ ЛЕВОТИЛА ПРИ КОЛИБАКТЕРИОЗЕ ПОРОСЯТ </w:t>
      </w:r>
      <w:r>
        <w:br/>
        <w:t>И ТЕЛЯТ</w:t>
      </w:r>
      <w:bookmarkEnd w:id="2147"/>
      <w:bookmarkEnd w:id="2148"/>
      <w:bookmarkEnd w:id="2149"/>
      <w:bookmarkEnd w:id="2150"/>
      <w:bookmarkEnd w:id="2151"/>
      <w:bookmarkEnd w:id="2152"/>
      <w:bookmarkEnd w:id="2153"/>
    </w:p>
    <w:p w:rsidR="00F4654E" w:rsidRDefault="00F4654E">
      <w:pPr>
        <w:pStyle w:val="2"/>
      </w:pPr>
      <w:bookmarkStart w:id="2154" w:name="_Toc10731301"/>
      <w:bookmarkStart w:id="2155" w:name="_Toc10731962"/>
      <w:bookmarkStart w:id="2156" w:name="_Toc10891808"/>
      <w:bookmarkStart w:id="2157" w:name="_Toc10892483"/>
      <w:bookmarkStart w:id="2158" w:name="_Toc11390346"/>
      <w:bookmarkStart w:id="2159" w:name="_Toc11937559"/>
      <w:r>
        <w:t>Казаков В.И.</w:t>
      </w:r>
      <w:bookmarkEnd w:id="2154"/>
      <w:bookmarkEnd w:id="2155"/>
      <w:bookmarkEnd w:id="2156"/>
      <w:bookmarkEnd w:id="2157"/>
      <w:bookmarkEnd w:id="2158"/>
      <w:bookmarkEnd w:id="2159"/>
    </w:p>
    <w:p w:rsidR="00F4654E" w:rsidRDefault="00F4654E">
      <w:pPr>
        <w:pStyle w:val="a5"/>
      </w:pPr>
      <w:r>
        <w:t>ООО «Ветеринарный диагностический центр», г. Воронеж</w:t>
      </w:r>
    </w:p>
    <w:p w:rsidR="00F4654E" w:rsidRDefault="00F4654E">
      <w:pPr>
        <w:pStyle w:val="a6"/>
      </w:pPr>
      <w:r>
        <w:t>Опыт по изучению эффективности применения левотила для лечения колибактериоза у поросят и телят проведен в хозяйствах Воронежской о</w:t>
      </w:r>
      <w:r>
        <w:t>б</w:t>
      </w:r>
      <w:r>
        <w:t>ласти. Диагноз на заболевание колибактериозом устанавливали комплек</w:t>
      </w:r>
      <w:r>
        <w:t>с</w:t>
      </w:r>
      <w:r>
        <w:lastRenderedPageBreak/>
        <w:t>но на основании данных клинического обследования животных, лабор</w:t>
      </w:r>
      <w:r>
        <w:t>а</w:t>
      </w:r>
      <w:r>
        <w:t>торных исследований, патологоанатомического вскрытия, с учетом эпиз</w:t>
      </w:r>
      <w:r>
        <w:t>о</w:t>
      </w:r>
      <w:r>
        <w:t>отической ситуации в хозяйстве.</w:t>
      </w:r>
    </w:p>
    <w:p w:rsidR="00F4654E" w:rsidRDefault="00F4654E">
      <w:pPr>
        <w:pStyle w:val="a6"/>
      </w:pPr>
      <w:r>
        <w:t>Первый опыт проводился на двух группах поросят 5-6-дневного во</w:t>
      </w:r>
      <w:r>
        <w:t>з</w:t>
      </w:r>
      <w:r>
        <w:t>раста больных колибактериозом. Поросят контрольной группы (37 голов) лечили тетрахлоридом, который вводили внутримышечно в дозе 10 мг/кг массы тела два раза в день до и в течение 2-3 дней после исчезновения клинических признаков заболевания. Животным опытной группы (46 г</w:t>
      </w:r>
      <w:r>
        <w:t>о</w:t>
      </w:r>
      <w:r>
        <w:t>лов) для лечения применяли левотил внутримышечно в дозе 0,3-0,4 мг/кг живой массы тела один раз в сутки с интервалом в 48 часов. При тяжелом течении болезни препарат вводили трехкратно с интервалом между введ</w:t>
      </w:r>
      <w:r>
        <w:t>е</w:t>
      </w:r>
      <w:r>
        <w:t>ниями 48 часов. За животными вели ежедневное клиническое наблюдение в течение 10-15 дней, при этом учитывали общее состояние, падеж, ск</w:t>
      </w:r>
      <w:r>
        <w:t>о</w:t>
      </w:r>
      <w:r>
        <w:t>рость роста, сроки выздоровления.</w:t>
      </w:r>
    </w:p>
    <w:p w:rsidR="00F4654E" w:rsidRDefault="00F4654E">
      <w:pPr>
        <w:pStyle w:val="a6"/>
      </w:pPr>
      <w:r>
        <w:t>Как показали проведенные исследования, левотил обладает более в</w:t>
      </w:r>
      <w:r>
        <w:t>ы</w:t>
      </w:r>
      <w:r>
        <w:t>сокой терапевтической эффективностью по сравнению с тетрахлоридом. При его применении клиническое улучшение (прекращение поноса) и улучшении аппетита наступало чаше всего через 3-4 дня лечения. У 6 из 46 поросят исчезновение клинических признаков заболевания наблюдали п</w:t>
      </w:r>
      <w:r>
        <w:t>о</w:t>
      </w:r>
      <w:r>
        <w:t>сле трех введений левотила. В контрольной группе клинические признаки заболевания исчезали обычно на 5-6 день лечения. При применении лев</w:t>
      </w:r>
      <w:r>
        <w:t>о</w:t>
      </w:r>
      <w:r>
        <w:t>тила значительно снижался падеж поросят с 13,5% в контрольной группе до 2,2% в опытной.</w:t>
      </w:r>
    </w:p>
    <w:p w:rsidR="00F4654E" w:rsidRDefault="00F4654E">
      <w:pPr>
        <w:pStyle w:val="a6"/>
      </w:pPr>
      <w:r>
        <w:t>Во втором опыте по изучению эффективности левотила для лечения колибактериоза у телят были подобраны две группы животных. Телят ко</w:t>
      </w:r>
      <w:r>
        <w:t>н</w:t>
      </w:r>
      <w:r>
        <w:t>трольной группы (19 голов) лечили тетрахлоридом, который вводили внутримышечно в дозе 10 мг/кг массы тела два раза в день до и в течение 3-4 дней после исчезновения клинических признаков заболевания. Живо</w:t>
      </w:r>
      <w:r>
        <w:t>т</w:t>
      </w:r>
      <w:r>
        <w:t>ным опытный группы (25 голов) для лечения применяли левотил внутр</w:t>
      </w:r>
      <w:r>
        <w:t>и</w:t>
      </w:r>
      <w:r>
        <w:t>мышечно в дозе 0,3-0,4 мг/кг живой массы один раз в сутки с интервалом 48 часов. За животными вели ежедневное клиническое наблюдение в теч</w:t>
      </w:r>
      <w:r>
        <w:t>е</w:t>
      </w:r>
      <w:r>
        <w:t>ние 10-15 дней, при этом учитывали общее состояние, падеж, скорость роста, сроки выздоровления.</w:t>
      </w:r>
    </w:p>
    <w:p w:rsidR="00F4654E" w:rsidRDefault="00F4654E">
      <w:pPr>
        <w:pStyle w:val="a6"/>
      </w:pPr>
      <w:r>
        <w:t>Как показали проведенные исследования, левотил обладает более в</w:t>
      </w:r>
      <w:r>
        <w:t>ы</w:t>
      </w:r>
      <w:r>
        <w:t>сокой терапевтической эффективностью по сравнению с тетрахлоридом. При его применении клиническое улучшение (прекращение поноса) и улучшение аппетита наступало чаще всего через 3-4 дня лечения. В ко</w:t>
      </w:r>
      <w:r>
        <w:t>н</w:t>
      </w:r>
      <w:r>
        <w:t>трольной группе клинические признаки заболевания исчезали обычно на 5-6 день лечения. При применении левотила значительно снижался падеж телят с 26,3% в контрольной группе до 8,0% в опытной.</w:t>
      </w:r>
    </w:p>
    <w:p w:rsidR="00F4654E" w:rsidRDefault="00F4654E">
      <w:pPr>
        <w:pStyle w:val="a6"/>
      </w:pPr>
      <w:r>
        <w:t>Таким образом, левотил является эффективным средством для леч</w:t>
      </w:r>
      <w:r>
        <w:t>е</w:t>
      </w:r>
      <w:r>
        <w:t>ния колибактериоза у поросят и телят.</w:t>
      </w:r>
    </w:p>
    <w:p w:rsidR="00F4654E" w:rsidRDefault="00F4654E">
      <w:pPr>
        <w:pStyle w:val="a4"/>
      </w:pPr>
      <w:r>
        <w:lastRenderedPageBreak/>
        <w:t>УДК 619:615.015</w:t>
      </w:r>
    </w:p>
    <w:p w:rsidR="00F4654E" w:rsidRDefault="00F4654E">
      <w:pPr>
        <w:pStyle w:val="1"/>
      </w:pPr>
      <w:bookmarkStart w:id="2160" w:name="_Toc10731296"/>
      <w:bookmarkStart w:id="2161" w:name="_Toc10731957"/>
      <w:bookmarkStart w:id="2162" w:name="_Toc10891803"/>
      <w:bookmarkStart w:id="2163" w:name="_Toc10892478"/>
      <w:bookmarkStart w:id="2164" w:name="_Toc11390341"/>
      <w:bookmarkStart w:id="2165" w:name="_Toc11840022"/>
      <w:bookmarkStart w:id="2166" w:name="_Toc11937560"/>
      <w:r>
        <w:t>Фармакокинетика левотила</w:t>
      </w:r>
      <w:bookmarkEnd w:id="2160"/>
      <w:bookmarkEnd w:id="2161"/>
      <w:bookmarkEnd w:id="2162"/>
      <w:bookmarkEnd w:id="2163"/>
      <w:bookmarkEnd w:id="2164"/>
      <w:bookmarkEnd w:id="2165"/>
      <w:bookmarkEnd w:id="2166"/>
    </w:p>
    <w:p w:rsidR="00F4654E" w:rsidRDefault="00F4654E">
      <w:pPr>
        <w:pStyle w:val="2"/>
      </w:pPr>
      <w:bookmarkStart w:id="2167" w:name="_Toc10731297"/>
      <w:bookmarkStart w:id="2168" w:name="_Toc10731958"/>
      <w:bookmarkStart w:id="2169" w:name="_Toc10891804"/>
      <w:bookmarkStart w:id="2170" w:name="_Toc10892479"/>
      <w:bookmarkStart w:id="2171" w:name="_Toc11390342"/>
      <w:bookmarkStart w:id="2172" w:name="_Toc11937561"/>
      <w:r>
        <w:t>Казаков</w:t>
      </w:r>
      <w:r>
        <w:rPr>
          <w:caps/>
        </w:rPr>
        <w:t xml:space="preserve"> В.И., </w:t>
      </w:r>
      <w:r>
        <w:t>Востроилова Г.А., Паршин П.А.*</w:t>
      </w:r>
      <w:bookmarkEnd w:id="2167"/>
      <w:bookmarkEnd w:id="2168"/>
      <w:bookmarkEnd w:id="2169"/>
      <w:bookmarkEnd w:id="2170"/>
      <w:bookmarkEnd w:id="2171"/>
      <w:bookmarkEnd w:id="2172"/>
    </w:p>
    <w:p w:rsidR="00F4654E" w:rsidRDefault="00F4654E">
      <w:pPr>
        <w:pStyle w:val="a5"/>
      </w:pPr>
      <w:r>
        <w:t xml:space="preserve">ООО «Ветеринарный диагностический центр», г. Воронеж </w:t>
      </w:r>
      <w:r>
        <w:br/>
        <w:t>*Всероссийский НИВИ патологии, фармакологии и терапии</w:t>
      </w:r>
    </w:p>
    <w:p w:rsidR="0047197F" w:rsidRDefault="00F4654E">
      <w:pPr>
        <w:pStyle w:val="a6"/>
      </w:pPr>
      <w:r>
        <w:t>Изучение фармакокинетики левотила проведено по определению с</w:t>
      </w:r>
      <w:r>
        <w:t>о</w:t>
      </w:r>
      <w:r>
        <w:t>держания левомицетина и тилозина в органах, тканях и биологических жидкостях поросят и телят.</w:t>
      </w:r>
      <w:r w:rsidR="0047197F">
        <w:t xml:space="preserve"> </w:t>
      </w:r>
    </w:p>
    <w:p w:rsidR="0047197F" w:rsidRDefault="00F4654E">
      <w:pPr>
        <w:pStyle w:val="a6"/>
      </w:pPr>
      <w:r>
        <w:t>В первом опыте были подобраны 17 поросят массой тела 9-11 кг, к</w:t>
      </w:r>
      <w:r>
        <w:t>о</w:t>
      </w:r>
      <w:r>
        <w:t>торым вводили левотил внутримышечно в дозе 0,3 мл/кг однократно. Ч</w:t>
      </w:r>
      <w:r>
        <w:t>е</w:t>
      </w:r>
      <w:r>
        <w:t>рез 3, 6, 12, 24 часа после введения препарата убивали по 3 подопытных животных и по 1 контрольному поросенку через 3 и 24 часа. Содержание левомицетина и тилозина определяли в крови, моче, печени, почках, бе</w:t>
      </w:r>
      <w:r>
        <w:t>д</w:t>
      </w:r>
      <w:r>
        <w:t>ренной мышце и содержимом кишечника.</w:t>
      </w:r>
      <w:r w:rsidR="0047197F">
        <w:t xml:space="preserve"> </w:t>
      </w:r>
    </w:p>
    <w:p w:rsidR="0047197F" w:rsidRDefault="00F4654E">
      <w:pPr>
        <w:pStyle w:val="a6"/>
      </w:pPr>
      <w:r>
        <w:t>В опыте уст</w:t>
      </w:r>
      <w:r>
        <w:t>а</w:t>
      </w:r>
      <w:r>
        <w:t>новлено, что через 3 часа левомицетин обнаруживается в органах и тканях в разной степени. Бактериостатическая концентрация в крови сохраняется в течении 24 часов, достигая максимума через 3 часа после инъекции. Максимальная концентрация в почках и печени наблюд</w:t>
      </w:r>
      <w:r>
        <w:t>а</w:t>
      </w:r>
      <w:r>
        <w:t>лась через 6 часов.</w:t>
      </w:r>
      <w:r w:rsidR="0047197F">
        <w:t xml:space="preserve"> </w:t>
      </w:r>
    </w:p>
    <w:p w:rsidR="0047197F" w:rsidRDefault="00F4654E">
      <w:pPr>
        <w:pStyle w:val="a6"/>
      </w:pPr>
      <w:r>
        <w:t>Таким образом, терапевтическая концентрация левомицетина сохр</w:t>
      </w:r>
      <w:r>
        <w:t>а</w:t>
      </w:r>
      <w:r>
        <w:t>няется на протяжении 24 часов после однократного введения (в печени 2,41 мкг/г, в крови – 2,2 мкг/мл)</w:t>
      </w:r>
      <w:r w:rsidR="0047197F">
        <w:t xml:space="preserve">. </w:t>
      </w:r>
    </w:p>
    <w:p w:rsidR="0047197F" w:rsidRDefault="00F4654E">
      <w:pPr>
        <w:pStyle w:val="a6"/>
      </w:pPr>
      <w:r>
        <w:t>Бактериостатическая концентрация тилозина также сохраняется на протяжении 24 часов, достигая максимума через 3 часа после инъекции (4,67 и 5,70 мкг/г соответственно). Высокое содержание т</w:t>
      </w:r>
      <w:r>
        <w:t>и</w:t>
      </w:r>
      <w:r>
        <w:t>лозина в печени и почках свидетельствует о том, что основной путь выведения его из орг</w:t>
      </w:r>
      <w:r>
        <w:t>а</w:t>
      </w:r>
      <w:r>
        <w:t>низма с желчью и мочой.</w:t>
      </w:r>
      <w:r w:rsidR="0047197F">
        <w:t xml:space="preserve"> </w:t>
      </w:r>
    </w:p>
    <w:p w:rsidR="0047197F" w:rsidRDefault="00F4654E">
      <w:pPr>
        <w:pStyle w:val="a6"/>
      </w:pPr>
      <w:r>
        <w:t>Во втором опыте были подобраны 17 телят массой тела 60-80 кг, ж</w:t>
      </w:r>
      <w:r>
        <w:t>и</w:t>
      </w:r>
      <w:r>
        <w:t>вотным левотил вводили внутримышечно однократно в дозе 0,3 мл/кг</w:t>
      </w:r>
      <w:r w:rsidR="0047197F">
        <w:t xml:space="preserve">. </w:t>
      </w:r>
      <w:r>
        <w:t>Ч</w:t>
      </w:r>
      <w:r>
        <w:t>е</w:t>
      </w:r>
      <w:r>
        <w:t>рез 3, 6, 12, 24 часа после введ</w:t>
      </w:r>
      <w:r>
        <w:t>е</w:t>
      </w:r>
      <w:r>
        <w:t>ния препарата убивали по 3 подопытных и по 1 контрольному теленку через 3 и 24 часов. Соде</w:t>
      </w:r>
      <w:r>
        <w:t>р</w:t>
      </w:r>
      <w:r>
        <w:t>жание левомицетина и тилозина определяли в крови, моче, печени, почках, бедре</w:t>
      </w:r>
      <w:r>
        <w:t>н</w:t>
      </w:r>
      <w:r>
        <w:t>ной мышце и содержимом кишечника.</w:t>
      </w:r>
      <w:r w:rsidR="0047197F">
        <w:t xml:space="preserve"> </w:t>
      </w:r>
    </w:p>
    <w:p w:rsidR="00F4654E" w:rsidRDefault="00F4654E">
      <w:pPr>
        <w:pStyle w:val="a6"/>
      </w:pPr>
      <w:r>
        <w:t>Выведение компонентов л</w:t>
      </w:r>
      <w:r>
        <w:t>е</w:t>
      </w:r>
      <w:r>
        <w:t>вотила из организма телят имеет такую же динамику, как и в опытах на поросятах.</w:t>
      </w:r>
      <w:r w:rsidR="0047197F">
        <w:t xml:space="preserve"> </w:t>
      </w:r>
      <w:r>
        <w:t>Таким обр</w:t>
      </w:r>
      <w:r>
        <w:t>а</w:t>
      </w:r>
      <w:r>
        <w:t>зом, терапевтическая концентрация левотила при применении его в дозе 0,3 мл/кг массы тела однократно сохраняется до 24 часов.</w:t>
      </w:r>
    </w:p>
    <w:p w:rsidR="0047197F" w:rsidRDefault="0047197F">
      <w:pPr>
        <w:pStyle w:val="a4"/>
      </w:pPr>
    </w:p>
    <w:p w:rsidR="0047197F" w:rsidRDefault="0047197F">
      <w:pPr>
        <w:pStyle w:val="a4"/>
      </w:pPr>
    </w:p>
    <w:p w:rsidR="00F4654E" w:rsidRDefault="00F4654E">
      <w:pPr>
        <w:pStyle w:val="a4"/>
      </w:pPr>
      <w:r>
        <w:lastRenderedPageBreak/>
        <w:t>УДК 619:616-099-02:615.91</w:t>
      </w:r>
    </w:p>
    <w:p w:rsidR="00F4654E" w:rsidRDefault="00F4654E">
      <w:pPr>
        <w:pStyle w:val="1"/>
      </w:pPr>
      <w:bookmarkStart w:id="2173" w:name="_Toc10731298"/>
      <w:bookmarkStart w:id="2174" w:name="_Toc10731959"/>
      <w:bookmarkStart w:id="2175" w:name="_Toc10891805"/>
      <w:bookmarkStart w:id="2176" w:name="_Toc10892480"/>
      <w:bookmarkStart w:id="2177" w:name="_Toc11390343"/>
      <w:bookmarkStart w:id="2178" w:name="_Toc11840024"/>
      <w:bookmarkStart w:id="2179" w:name="_Toc11937562"/>
      <w:r>
        <w:t>Токсикометрическая характеристика комплексного антимикробного препарата левотил</w:t>
      </w:r>
      <w:bookmarkEnd w:id="2173"/>
      <w:bookmarkEnd w:id="2174"/>
      <w:bookmarkEnd w:id="2175"/>
      <w:bookmarkEnd w:id="2176"/>
      <w:bookmarkEnd w:id="2177"/>
      <w:bookmarkEnd w:id="2178"/>
      <w:bookmarkEnd w:id="2179"/>
    </w:p>
    <w:p w:rsidR="00F4654E" w:rsidRDefault="00F4654E">
      <w:pPr>
        <w:pStyle w:val="2"/>
      </w:pPr>
      <w:bookmarkStart w:id="2180" w:name="_Toc10731299"/>
      <w:bookmarkStart w:id="2181" w:name="_Toc10731960"/>
      <w:bookmarkStart w:id="2182" w:name="_Toc10891806"/>
      <w:bookmarkStart w:id="2183" w:name="_Toc10892481"/>
      <w:bookmarkStart w:id="2184" w:name="_Toc11390344"/>
      <w:bookmarkStart w:id="2185" w:name="_Toc11937563"/>
      <w:r>
        <w:t>Казаков В.И., Паршин П.А.*</w:t>
      </w:r>
      <w:bookmarkEnd w:id="2180"/>
      <w:bookmarkEnd w:id="2181"/>
      <w:bookmarkEnd w:id="2182"/>
      <w:bookmarkEnd w:id="2183"/>
      <w:bookmarkEnd w:id="2184"/>
      <w:bookmarkEnd w:id="2185"/>
    </w:p>
    <w:p w:rsidR="00F4654E" w:rsidRDefault="00F4654E">
      <w:pPr>
        <w:pStyle w:val="a5"/>
        <w:rPr>
          <w:caps/>
        </w:rPr>
      </w:pPr>
      <w:r>
        <w:rPr>
          <w:caps/>
        </w:rPr>
        <w:t>ООО «</w:t>
      </w:r>
      <w:r>
        <w:t>Ветеринарный</w:t>
      </w:r>
      <w:r>
        <w:rPr>
          <w:caps/>
        </w:rPr>
        <w:t xml:space="preserve"> </w:t>
      </w:r>
      <w:r>
        <w:t>диагностический</w:t>
      </w:r>
      <w:r>
        <w:rPr>
          <w:caps/>
        </w:rPr>
        <w:t xml:space="preserve"> </w:t>
      </w:r>
      <w:r>
        <w:t>центр</w:t>
      </w:r>
      <w:r>
        <w:rPr>
          <w:caps/>
        </w:rPr>
        <w:t>»,</w:t>
      </w:r>
      <w:r>
        <w:t xml:space="preserve"> г. Воронеж</w:t>
      </w:r>
      <w:r>
        <w:rPr>
          <w:caps/>
        </w:rPr>
        <w:t xml:space="preserve"> </w:t>
      </w:r>
      <w:r>
        <w:rPr>
          <w:caps/>
        </w:rPr>
        <w:br/>
      </w:r>
      <w:r>
        <w:t>*Всероссийский НИВИ патологии, фармакологии и терапии</w:t>
      </w:r>
      <w:r>
        <w:rPr>
          <w:caps/>
        </w:rPr>
        <w:t xml:space="preserve"> </w:t>
      </w:r>
    </w:p>
    <w:p w:rsidR="00F4654E" w:rsidRDefault="00F4654E">
      <w:pPr>
        <w:pStyle w:val="a6"/>
      </w:pPr>
      <w:r>
        <w:t>Определение параметров токсичности левотила в остром опыте при однократном подкожном введении выполнили на двух видах лаборато</w:t>
      </w:r>
      <w:r>
        <w:t>р</w:t>
      </w:r>
      <w:r>
        <w:t>ных животных: белых крысах и белых мышах. Одновременно на этих ж</w:t>
      </w:r>
      <w:r>
        <w:t>и</w:t>
      </w:r>
      <w:r>
        <w:t>вотных изучили симптомы острого экспериментального отравления лев</w:t>
      </w:r>
      <w:r>
        <w:t>о</w:t>
      </w:r>
      <w:r>
        <w:t>тилом. Павших животных, перенесших отравление препаратом, подверг</w:t>
      </w:r>
      <w:r>
        <w:t>а</w:t>
      </w:r>
      <w:r>
        <w:t>ли патологоанатомическому вскрытию. Среднюю дозу эффекта LD</w:t>
      </w:r>
      <w:r>
        <w:rPr>
          <w:vertAlign w:val="subscript"/>
        </w:rPr>
        <w:t>50</w:t>
      </w:r>
      <w:r>
        <w:t xml:space="preserve"> опр</w:t>
      </w:r>
      <w:r>
        <w:t>е</w:t>
      </w:r>
      <w:r>
        <w:t>деляли аналитическим способом Спирмена-Кербера (Лакин Г.Ф., 1990), величины LD</w:t>
      </w:r>
      <w:r>
        <w:rPr>
          <w:vertAlign w:val="subscript"/>
        </w:rPr>
        <w:t>16</w:t>
      </w:r>
      <w:r>
        <w:t xml:space="preserve"> и LD</w:t>
      </w:r>
      <w:r>
        <w:rPr>
          <w:vertAlign w:val="subscript"/>
        </w:rPr>
        <w:t>84</w:t>
      </w:r>
      <w:r>
        <w:t xml:space="preserve"> находили графически на основании пробитов и доз в мл/кг массы тела животных, показатель ошибки средней дозы эффекта SLD</w:t>
      </w:r>
      <w:r>
        <w:rPr>
          <w:vertAlign w:val="subscript"/>
        </w:rPr>
        <w:t>50</w:t>
      </w:r>
      <w:r>
        <w:t xml:space="preserve"> – аналитически и графически.</w:t>
      </w:r>
    </w:p>
    <w:p w:rsidR="00F4654E" w:rsidRDefault="00F4654E">
      <w:pPr>
        <w:pStyle w:val="a6"/>
      </w:pPr>
      <w:r>
        <w:t>В экспериментальных исследованиях установлено, что LD</w:t>
      </w:r>
      <w:r>
        <w:rPr>
          <w:vertAlign w:val="subscript"/>
        </w:rPr>
        <w:t>50</w:t>
      </w:r>
      <w:r>
        <w:t xml:space="preserve"> левотила при однократном подкожном введении для белых мышей составляет 6,19, а для белых крыс – 5,51 мл/кг массы тела.</w:t>
      </w:r>
    </w:p>
    <w:p w:rsidR="00F4654E" w:rsidRDefault="00F4654E">
      <w:pPr>
        <w:pStyle w:val="a6"/>
      </w:pPr>
      <w:r>
        <w:t>Клинические симптомы острого отравления белых крыс и белых м</w:t>
      </w:r>
      <w:r>
        <w:t>ы</w:t>
      </w:r>
      <w:r>
        <w:t>шей сопровождались непродолжительным периодом возбуждения с усил</w:t>
      </w:r>
      <w:r>
        <w:t>е</w:t>
      </w:r>
      <w:r>
        <w:t>нием двигательной активности у большинства особей, мыши издавали при этом писк. За непродолжительным периодом возбуждения развивалось резко выраженное угнетение, состояние глубокого сна, переходящее затем в кому. Развивалась синюшность кожи и слизистых оболочек. Смерть, как правило, наступала в состоянии глубокого угнетения.</w:t>
      </w:r>
    </w:p>
    <w:p w:rsidR="00F4654E" w:rsidRDefault="00F4654E">
      <w:pPr>
        <w:pStyle w:val="a6"/>
      </w:pPr>
      <w:r>
        <w:t>Патологоанатомические изменения острого отравления лабораторных животных (крыс и мышей) характеризовались гемодинамическими ра</w:t>
      </w:r>
      <w:r>
        <w:t>с</w:t>
      </w:r>
      <w:r>
        <w:t>стройствами, повсеместным застоем венозной крови в подкожной клетча</w:t>
      </w:r>
      <w:r>
        <w:t>т</w:t>
      </w:r>
      <w:r>
        <w:t>ке и внутренних органах.</w:t>
      </w:r>
    </w:p>
    <w:p w:rsidR="00F4654E" w:rsidRDefault="00F4654E">
      <w:pPr>
        <w:pStyle w:val="a6"/>
      </w:pPr>
      <w:r>
        <w:t>Для уточнения МПД левотила для белых мышей было сформировано 6 групп животных с массой тела 19-21 г по 5 голов в каждой. Мышам пяти опытных групп вводили подкожно левотил в дозах: 2,5; 2,6; 2,7; 2,8; 3,0. Животные шестой группы были контрольными. Наблюдение за ними вели в течении  10 дней. Установлено, что максимально переносимая доза лев</w:t>
      </w:r>
      <w:r>
        <w:t>о</w:t>
      </w:r>
      <w:r>
        <w:t>тила для белых мышей равна 2,7 мл/кг массы тела. При введении левотила в дозе 2,8 и 3,0 мл/кг массы тела отмечалась гибель по одной мыши в группе соответственно на 5-й и 2-й день после введения.</w:t>
      </w:r>
    </w:p>
    <w:p w:rsidR="00F4654E" w:rsidRDefault="00F4654E">
      <w:pPr>
        <w:pStyle w:val="a6"/>
      </w:pPr>
      <w:r>
        <w:t>Учитывая результаты изучения острой токсичности и результаты о</w:t>
      </w:r>
      <w:r>
        <w:t>п</w:t>
      </w:r>
      <w:r>
        <w:t>ределения МПД левотила для препарата установлена тест-доза на безвре</w:t>
      </w:r>
      <w:r>
        <w:t>д</w:t>
      </w:r>
      <w:r>
        <w:t>ность – 0,05 мл/ на мыщь с массой тела 19-21 г.</w:t>
      </w:r>
    </w:p>
    <w:p w:rsidR="00F4654E" w:rsidRDefault="00F4654E">
      <w:pPr>
        <w:pStyle w:val="a6"/>
      </w:pPr>
      <w:r>
        <w:lastRenderedPageBreak/>
        <w:t xml:space="preserve"> Изучение подострой токсичности левотила проводили на 40 белых крысах-самцах с массой тела 180-200 г при подкожном введении препарата в течении 20 дней.</w:t>
      </w:r>
    </w:p>
    <w:p w:rsidR="00F4654E" w:rsidRDefault="00F4654E">
      <w:pPr>
        <w:pStyle w:val="a6"/>
      </w:pPr>
      <w:r>
        <w:t>Проведенными исследованиям установлено, что многократное паре</w:t>
      </w:r>
      <w:r>
        <w:t>н</w:t>
      </w:r>
      <w:r>
        <w:t>теральное применение левотила в ориентировочно-терапевтической дозе (0,3 мл/кг массы тела животных), а также в дозах в 3 и 5 раз превышающих ориентировочно-терапевтическую не вызывает существенных изменений в клиническом состоянии животных: поведение аппетит, частота дыхания у всех животных опытных групп, как в период применения левотила, так и в течении двух недель после окончания применения левотила оставались в пределах нормы.</w:t>
      </w:r>
    </w:p>
    <w:p w:rsidR="00F4654E" w:rsidRDefault="00F4654E">
      <w:pPr>
        <w:pStyle w:val="a6"/>
      </w:pPr>
      <w:r>
        <w:t>При 20-дневном применении препарата в пятикратной терапевтич</w:t>
      </w:r>
      <w:r>
        <w:t>е</w:t>
      </w:r>
      <w:r>
        <w:t>ской дозе у крыс опытной группы достоверно возрастало содержание в с</w:t>
      </w:r>
      <w:r>
        <w:t>ы</w:t>
      </w:r>
      <w:r>
        <w:t>воротке крови мочевины в среднем на 40,5%, креатинина – на 26,0%, а</w:t>
      </w:r>
      <w:r>
        <w:t>к</w:t>
      </w:r>
      <w:r>
        <w:t>тивность АлАТ – на 64,3% и уровень билирубина – на 91,7%. Однако, среднее значение этих показателей у крыс опытной группы не выходило за верхние границы нормы для данного вида животных. С увеличением дозы левотила наблюдалось достоверное возрастание бактерицидной активн</w:t>
      </w:r>
      <w:r>
        <w:t>о</w:t>
      </w:r>
      <w:r>
        <w:t>сти сыворотки крови. С учетом полученных результатов при изучении п</w:t>
      </w:r>
      <w:r>
        <w:t>о</w:t>
      </w:r>
      <w:r>
        <w:t>дострой токсичности левотила и LD</w:t>
      </w:r>
      <w:r>
        <w:rPr>
          <w:vertAlign w:val="subscript"/>
        </w:rPr>
        <w:t>50</w:t>
      </w:r>
      <w:r>
        <w:t xml:space="preserve"> полученной при определении острой токсичности, рассчитывали коэффициент кумуляции. Левотил обладает слабовыраженной кумуляцией (Ккум=5,01).</w:t>
      </w:r>
    </w:p>
    <w:p w:rsidR="00F4654E" w:rsidRDefault="00F4654E">
      <w:pPr>
        <w:pStyle w:val="a6"/>
      </w:pPr>
      <w:r>
        <w:t>На основании полученных результатов изучения токсичности левотил относится к 4 классу токсичности.</w:t>
      </w:r>
    </w:p>
    <w:p w:rsidR="0047197F" w:rsidRDefault="0047197F">
      <w:pPr>
        <w:pStyle w:val="1"/>
      </w:pPr>
      <w:bookmarkStart w:id="2186" w:name="_Toc10731302"/>
      <w:bookmarkStart w:id="2187" w:name="_Toc10731963"/>
      <w:bookmarkStart w:id="2188" w:name="_Toc10891809"/>
      <w:bookmarkStart w:id="2189" w:name="_Toc10892484"/>
      <w:bookmarkStart w:id="2190" w:name="_Toc11390347"/>
      <w:bookmarkStart w:id="2191" w:name="_Toc11840028"/>
      <w:bookmarkStart w:id="2192" w:name="_Toc11937564"/>
    </w:p>
    <w:p w:rsidR="00F4654E" w:rsidRDefault="00F4654E">
      <w:pPr>
        <w:pStyle w:val="1"/>
      </w:pPr>
      <w:r>
        <w:t xml:space="preserve">Использование  бифацидобактерина  для  профилактики  </w:t>
      </w:r>
      <w:r>
        <w:br/>
        <w:t>и лечения колибактериоза</w:t>
      </w:r>
      <w:bookmarkEnd w:id="2186"/>
      <w:bookmarkEnd w:id="2187"/>
      <w:bookmarkEnd w:id="2188"/>
      <w:bookmarkEnd w:id="2189"/>
      <w:bookmarkEnd w:id="2190"/>
      <w:bookmarkEnd w:id="2191"/>
      <w:bookmarkEnd w:id="2192"/>
    </w:p>
    <w:p w:rsidR="00F4654E" w:rsidRDefault="00F4654E">
      <w:pPr>
        <w:pStyle w:val="2"/>
      </w:pPr>
      <w:bookmarkStart w:id="2193" w:name="_Toc10731303"/>
      <w:bookmarkStart w:id="2194" w:name="_Toc10731964"/>
      <w:bookmarkStart w:id="2195" w:name="_Toc10891810"/>
      <w:bookmarkStart w:id="2196" w:name="_Toc10892485"/>
      <w:bookmarkStart w:id="2197" w:name="_Toc11390348"/>
      <w:bookmarkStart w:id="2198" w:name="_Toc11937565"/>
      <w:r>
        <w:t>Кальницкая О.И.</w:t>
      </w:r>
      <w:bookmarkEnd w:id="2193"/>
      <w:bookmarkEnd w:id="2194"/>
      <w:bookmarkEnd w:id="2195"/>
      <w:bookmarkEnd w:id="2196"/>
      <w:bookmarkEnd w:id="2197"/>
      <w:bookmarkEnd w:id="2198"/>
    </w:p>
    <w:p w:rsidR="00F4654E" w:rsidRDefault="00F4654E">
      <w:pPr>
        <w:pStyle w:val="a5"/>
      </w:pPr>
      <w:r>
        <w:t>Московский государственный университет прикладной биотехнологии</w:t>
      </w:r>
    </w:p>
    <w:p w:rsidR="00F4654E" w:rsidRDefault="00F4654E">
      <w:pPr>
        <w:pStyle w:val="a6"/>
      </w:pPr>
      <w:r>
        <w:t>Среди инфекционных желудочно-кишечных болезней особое место занимает колибактериоз новорожденных телят, наносящий значительный экономический ущерб. Высокой заболеваемости телят способствует низкая резистентность их организма. Многие органы и системы еще не достигают функциональной зрелости, и до приема молозива в крови и тканевых жи</w:t>
      </w:r>
      <w:r>
        <w:t>д</w:t>
      </w:r>
      <w:r>
        <w:t>костях новорожденных отсутствуют основные защитные вещества. Непр</w:t>
      </w:r>
      <w:r>
        <w:t>а</w:t>
      </w:r>
      <w:r>
        <w:t>вильное содержание и кормление телят приводит к нарушению становл</w:t>
      </w:r>
      <w:r>
        <w:t>е</w:t>
      </w:r>
      <w:r>
        <w:t>ния нормальной микрофлоры, возникновению дисбактериоза. Это откр</w:t>
      </w:r>
      <w:r>
        <w:t>ы</w:t>
      </w:r>
      <w:r>
        <w:t>вает пути патогенным и условно-патогенным микроорганизмам. Мног</w:t>
      </w:r>
      <w:r>
        <w:t>о</w:t>
      </w:r>
      <w:r>
        <w:t>кратные пасс</w:t>
      </w:r>
      <w:r>
        <w:t>а</w:t>
      </w:r>
      <w:r>
        <w:t>жи патогенных и условно-патогеных микроорганизмов через организм новорожденного приводят к повышению их патогенности (М.А.Сидоров, 1980). Использование антибиотиков может привести к п</w:t>
      </w:r>
      <w:r>
        <w:t>о</w:t>
      </w:r>
      <w:r>
        <w:lastRenderedPageBreak/>
        <w:t>явлению штаммов микроорганизмов, устойчивых к антибиотикам, отст</w:t>
      </w:r>
      <w:r>
        <w:t>а</w:t>
      </w:r>
      <w:r>
        <w:t>ванию в росте и развитии телят, иммунодефициту и другим нарушениям.</w:t>
      </w:r>
    </w:p>
    <w:p w:rsidR="00F4654E" w:rsidRDefault="00F4654E">
      <w:pPr>
        <w:pStyle w:val="a6"/>
      </w:pPr>
      <w:r>
        <w:t>В настоящее время одним из перспективных направлений в области профилактики болезней телят, вызываемых условно-патогенной микр</w:t>
      </w:r>
      <w:r>
        <w:t>о</w:t>
      </w:r>
      <w:r>
        <w:t>флорой, является применение пробиотиков – препаратов, приготовленных из живых микробов-антагонистов – представителей нормальной кишечной микрофлоры (Ф.Л.Вильшанская,1970, М.Т.Коняев и др., 1982, А.Г. Мор</w:t>
      </w:r>
      <w:r>
        <w:t>о</w:t>
      </w:r>
      <w:r>
        <w:t>зов, 1983).</w:t>
      </w:r>
    </w:p>
    <w:p w:rsidR="00F4654E" w:rsidRDefault="00F4654E">
      <w:pPr>
        <w:pStyle w:val="a6"/>
      </w:pPr>
      <w:r>
        <w:t>Пробиотики обладают антибиотическим действием и стимулируют обменные процессы организма. Механизм действия этих препаратов осн</w:t>
      </w:r>
      <w:r>
        <w:t>о</w:t>
      </w:r>
      <w:r>
        <w:t>ван на заселении и регулировании нормальной кишечной микрофлоры. Основное преимущество пробиотиков перед антибиотиками – безвре</w:t>
      </w:r>
      <w:r>
        <w:t>д</w:t>
      </w:r>
      <w:r>
        <w:t>ность, возможность применения в любом возрасте, безопасность для окр</w:t>
      </w:r>
      <w:r>
        <w:t>у</w:t>
      </w:r>
      <w:r>
        <w:t>жающей среды.</w:t>
      </w:r>
    </w:p>
    <w:p w:rsidR="00F4654E" w:rsidRDefault="00F4654E">
      <w:pPr>
        <w:pStyle w:val="a6"/>
      </w:pPr>
      <w:r>
        <w:t>Препарат бифацидобактерин разработан на кафедре микробиологии МГУПБ. Рекомендуется с профилактической целью давать препарат нов</w:t>
      </w:r>
      <w:r>
        <w:t>о</w:t>
      </w:r>
      <w:r>
        <w:t>рожденным животным с кормом или кипяченой водой из расчета 0,2-0,3 г на 1 кг живой массы ежедневно в течение пяти дней после рождения и з</w:t>
      </w:r>
      <w:r>
        <w:t>а</w:t>
      </w:r>
      <w:r>
        <w:t>тем в той же дозе с 12-15-ти дневного возраста один раз в день пять дней подряд. С лечебной целью дозу препарата удваивают.</w:t>
      </w:r>
    </w:p>
    <w:p w:rsidR="00F4654E" w:rsidRDefault="00F4654E">
      <w:pPr>
        <w:pStyle w:val="a6"/>
      </w:pPr>
      <w:r>
        <w:t>Опыт проводился на новорожденных телятах хозяйства Хмельницкой области. В течение года в хозяйстве заболело 34% телят профилакторного возраста, из них у 65,7% зарегистрирован колибактериоз. За тот же период падеж телят профилакторного возраста составил 13,3% от приплода, из них на основании анализа результатов бактериологического исследования патматериала в 73,8% случаев установлен колибактериоз.</w:t>
      </w:r>
    </w:p>
    <w:p w:rsidR="00F4654E" w:rsidRDefault="00F4654E">
      <w:pPr>
        <w:pStyle w:val="a6"/>
      </w:pPr>
      <w:r>
        <w:t>Для изучения эффективности бифацидобактерина подопытных телят разделили на три группы. Телятам первой группы бифацидобактерин не давали, в случае заболевания колибактериозом их лечили по схеме, прин</w:t>
      </w:r>
      <w:r>
        <w:t>я</w:t>
      </w:r>
      <w:r>
        <w:t>той в хозяйстве. Телятам второй группы давали препарат с профилактич</w:t>
      </w:r>
      <w:r>
        <w:t>е</w:t>
      </w:r>
      <w:r>
        <w:t>ской целью, пользуясь инструкцией по применению препарата. Телят, у которых в первые дни жизни наблюдалось расстройство пищеварения, в</w:t>
      </w:r>
      <w:r>
        <w:t>ы</w:t>
      </w:r>
      <w:r>
        <w:t>делили в третью группу. Им давали удвоенную дозу препарата. Лечение никакими другими средствами не проводилось.</w:t>
      </w:r>
    </w:p>
    <w:p w:rsidR="00F4654E" w:rsidRDefault="00F4654E">
      <w:pPr>
        <w:pStyle w:val="a6"/>
      </w:pPr>
      <w:r>
        <w:t>Установлено, что в группе телят, которые не получали бифацидоба</w:t>
      </w:r>
      <w:r>
        <w:t>к</w:t>
      </w:r>
      <w:r>
        <w:t>терин, колибактериозом заболело 40% животных, 30% из них переболело легко с повышением температуры до 40,4 – 40,9С, с понижением аппетита, выделением кала желто-белого цвета жидкой консистенции, 10% телят п</w:t>
      </w:r>
      <w:r>
        <w:t>е</w:t>
      </w:r>
      <w:r>
        <w:t>реболело тяжело – с понижением температуры, учащенной дефекацией, выделением зловонного кала. К концу периода наблюдения падеж по группе составил 10%. По результатам бактериологического исследования патматериала во всех случаях установлен колибактериоз.</w:t>
      </w:r>
    </w:p>
    <w:p w:rsidR="00F4654E" w:rsidRDefault="00F4654E">
      <w:pPr>
        <w:pStyle w:val="a6"/>
      </w:pPr>
      <w:r>
        <w:lastRenderedPageBreak/>
        <w:t>В группе телят, получавших бифацидобактерин в профилактических дозах, не заболел ни один теленок. Случаев падежа также не было. Телята, которые получали бифацидобактерин в лечебных дозах, переболевали к</w:t>
      </w:r>
      <w:r>
        <w:t>о</w:t>
      </w:r>
      <w:r>
        <w:t>либактериозом в легкой форме, благоприятный исход заболевания набл</w:t>
      </w:r>
      <w:r>
        <w:t>ю</w:t>
      </w:r>
      <w:r>
        <w:t>дался в 100% случаев. При сравнении количества заболевших, павших и выздоровевших телят по дням исследования установлено, что диарея у т</w:t>
      </w:r>
      <w:r>
        <w:t>е</w:t>
      </w:r>
      <w:r>
        <w:t>лят контрольной группы проявлялась в основном в первые три дня жизни, падеж телят наблюдался на седьмой – девятый дни жизни, выздоровление – на восьмой – одиннадцатый дни.</w:t>
      </w:r>
    </w:p>
    <w:p w:rsidR="00F4654E" w:rsidRDefault="00F4654E">
      <w:pPr>
        <w:pStyle w:val="a6"/>
      </w:pPr>
      <w:r>
        <w:t>В группе телят, которым давали бифацидобактерин в лечебных дозах, случаев падежа не было, выздоровление начиналось с пятого дня жизни, пик выздоровления приходился на шестой – седьмой дни жизни. Средняя продолжительность заболевания в контрольной группе составила  6,05 дня, что на  2,29 дня больше, чем продолжительность болезни телят, получа</w:t>
      </w:r>
      <w:r>
        <w:t>в</w:t>
      </w:r>
      <w:r>
        <w:t>ших пробиотический препарат.</w:t>
      </w:r>
    </w:p>
    <w:p w:rsidR="00F4654E" w:rsidRDefault="00F4654E">
      <w:pPr>
        <w:pStyle w:val="a6"/>
      </w:pPr>
      <w:r>
        <w:t>Положительное влияние препарата на сохранность телят, на иммун</w:t>
      </w:r>
      <w:r>
        <w:t>о</w:t>
      </w:r>
      <w:r>
        <w:t>логическую реактивность и факторы неспецифической резистентности н</w:t>
      </w:r>
      <w:r>
        <w:t>о</w:t>
      </w:r>
      <w:r>
        <w:t>ворожденных телят, безвредность препарата и выраженные антагонист</w:t>
      </w:r>
      <w:r>
        <w:t>и</w:t>
      </w:r>
      <w:r>
        <w:t>ческие свойства, а также экономичность приготовления бакконцентрата, позволили рекомендовать бифацидобактерин для профилактики и лечения эшерихиозов новорожденных телят.</w:t>
      </w:r>
    </w:p>
    <w:p w:rsidR="00F4654E" w:rsidRDefault="00F4654E">
      <w:pPr>
        <w:pStyle w:val="a4"/>
      </w:pPr>
      <w:r>
        <w:t>УДК 619.9 – 085.37:636.082.35</w:t>
      </w:r>
    </w:p>
    <w:p w:rsidR="00F4654E" w:rsidRDefault="00F4654E">
      <w:pPr>
        <w:pStyle w:val="1"/>
      </w:pPr>
      <w:bookmarkStart w:id="2199" w:name="_Toc10731304"/>
      <w:bookmarkStart w:id="2200" w:name="_Toc10731965"/>
      <w:bookmarkStart w:id="2201" w:name="_Toc10891811"/>
      <w:bookmarkStart w:id="2202" w:name="_Toc10892486"/>
      <w:bookmarkStart w:id="2203" w:name="_Toc11390349"/>
      <w:bookmarkStart w:id="2204" w:name="_Toc11840030"/>
      <w:bookmarkStart w:id="2205" w:name="_Toc11937566"/>
      <w:r>
        <w:t>Профилактика  гипогаммаглобулинемии у новорожденных телят с использованием электроактивированных растворов</w:t>
      </w:r>
      <w:bookmarkEnd w:id="2199"/>
      <w:bookmarkEnd w:id="2200"/>
      <w:bookmarkEnd w:id="2201"/>
      <w:bookmarkEnd w:id="2202"/>
      <w:bookmarkEnd w:id="2203"/>
      <w:bookmarkEnd w:id="2204"/>
      <w:bookmarkEnd w:id="2205"/>
      <w:r>
        <w:t xml:space="preserve"> </w:t>
      </w:r>
    </w:p>
    <w:p w:rsidR="00F4654E" w:rsidRDefault="00F4654E">
      <w:pPr>
        <w:pStyle w:val="2"/>
      </w:pPr>
      <w:bookmarkStart w:id="2206" w:name="_Toc10731305"/>
      <w:bookmarkStart w:id="2207" w:name="_Toc10731966"/>
      <w:bookmarkStart w:id="2208" w:name="_Toc10891812"/>
      <w:bookmarkStart w:id="2209" w:name="_Toc10892487"/>
      <w:bookmarkStart w:id="2210" w:name="_Toc11390350"/>
      <w:bookmarkStart w:id="2211" w:name="_Toc11937567"/>
      <w:r>
        <w:t>Камошенков А.Р., Бычкова Т.К.</w:t>
      </w:r>
      <w:bookmarkEnd w:id="2206"/>
      <w:bookmarkEnd w:id="2207"/>
      <w:bookmarkEnd w:id="2208"/>
      <w:bookmarkEnd w:id="2209"/>
      <w:bookmarkEnd w:id="2210"/>
      <w:bookmarkEnd w:id="2211"/>
    </w:p>
    <w:p w:rsidR="00F4654E" w:rsidRDefault="00F4654E">
      <w:pPr>
        <w:pStyle w:val="a5"/>
      </w:pPr>
      <w:r>
        <w:t>Смоленский сельскохозяйственный институт</w:t>
      </w:r>
    </w:p>
    <w:p w:rsidR="00F4654E" w:rsidRDefault="00F4654E">
      <w:pPr>
        <w:pStyle w:val="a6"/>
      </w:pPr>
      <w:r>
        <w:t>Телята рождаются лишенными иммунологической защиты в первые дни жизни от условно-патогенных микроорганизмов. Их устойчивость обеспечивают иммуноглобулины. В хозяйствах Смоленской области до 57% телят имеет гипогаммаглобулинемию, т.е. низкий уровень в крови иммуноглобулинов.</w:t>
      </w:r>
    </w:p>
    <w:p w:rsidR="00F4654E" w:rsidRDefault="00F4654E">
      <w:pPr>
        <w:pStyle w:val="a6"/>
      </w:pPr>
      <w:r>
        <w:t>Известно, что иммуноглобулины  всасываются в кишечнике из мол</w:t>
      </w:r>
      <w:r>
        <w:t>о</w:t>
      </w:r>
      <w:r>
        <w:t>зива. Сразу после рождения их всасывается  50%, через 20 часов – 15%, а через 36 часов – ничтожное количество. Наиболее интенсивно всасывание происходит в первые 6 часов.</w:t>
      </w:r>
    </w:p>
    <w:p w:rsidR="00F4654E" w:rsidRDefault="00F4654E">
      <w:pPr>
        <w:pStyle w:val="a6"/>
      </w:pPr>
      <w:r>
        <w:t>При нарушении обмена веществ у коров матерей телята рождаются с нарушенным кислотно-щелочным равновесием, величиной рН ниже нормы (7,35). Даже небольшие изменения  величины рН неизбежно ведут к нар</w:t>
      </w:r>
      <w:r>
        <w:t>у</w:t>
      </w:r>
      <w:r>
        <w:t>шению физиологических процессов. Снижение рН на 0,1 обуславливает  выраженные нарушения со стороны дыхания, сердечно-сосудистой сист</w:t>
      </w:r>
      <w:r>
        <w:t>е</w:t>
      </w:r>
      <w:r>
        <w:t>мы и др.; на 0,3 – вызывает ацидозную кому, а на 0,4 вызывает гибель.</w:t>
      </w:r>
    </w:p>
    <w:p w:rsidR="00F4654E" w:rsidRDefault="00F4654E">
      <w:pPr>
        <w:pStyle w:val="a6"/>
      </w:pPr>
      <w:r>
        <w:lastRenderedPageBreak/>
        <w:t>Электроактивированные растворы (катодная фракция) имеют высокие рН и редокс-потенциал. Они способствуют повышению величины рН и проницаемости клеточных мембран. С их использованием разработан сп</w:t>
      </w:r>
      <w:r>
        <w:t>о</w:t>
      </w:r>
      <w:r>
        <w:t>соб выращивания новорожденных  животных, в том числе и телят. Прим</w:t>
      </w:r>
      <w:r>
        <w:t>е</w:t>
      </w:r>
      <w:r>
        <w:t>няют гидроактивит – электроактивированный 1% раствор хлорида натрия (патент № 1743532, от 11.08.89). Он оказывает положительное влияние на кислотно-щелочной баланс и повышает уровень в сыворотке крови имм</w:t>
      </w:r>
      <w:r>
        <w:t>у</w:t>
      </w:r>
      <w:r>
        <w:t>ноглобулинов. Гидроактивит выпаивают телятам в течение 3 дней за 20-30 минут перед выпойкой молозива, начиная со второй, в дозе 250-300 мл, т.е. позднее 6 часов после рождения, когда интенсивность всасывания уже снижается.</w:t>
      </w:r>
    </w:p>
    <w:p w:rsidR="00F4654E" w:rsidRDefault="00F4654E">
      <w:pPr>
        <w:pStyle w:val="a6"/>
      </w:pPr>
      <w:r>
        <w:t>С целью ранней нормализации кислотно-щелочного равновесия (рН крови), для повышения всасывания иммуноглобулинов молозива нами предлагается вводить электроактивированные растворы (гидроактивит, «живую» воду) в дозе 150-200 мл ректально спринцовкой теленку в первые 5 минут после рождения, что позволяет повысить величину рН крови и уровень иммуноглобулинов. Это подтверждают результаты опытов, пров</w:t>
      </w:r>
      <w:r>
        <w:t>е</w:t>
      </w:r>
      <w:r>
        <w:t>денных в хозяйствах Смоленской области.</w:t>
      </w:r>
    </w:p>
    <w:p w:rsidR="00F4654E" w:rsidRDefault="00F4654E">
      <w:pPr>
        <w:pStyle w:val="a6"/>
      </w:pPr>
      <w:r>
        <w:t>У телят, которым вводили гидроактивит ректально сразу после ро</w:t>
      </w:r>
      <w:r>
        <w:t>ж</w:t>
      </w:r>
      <w:r>
        <w:t>дения, кислотно-щелочное равновесие через 48 часов и через 7 дней жизни было в пределах нормы, содержание иммуноглобулинов в крови по сра</w:t>
      </w:r>
      <w:r>
        <w:t>в</w:t>
      </w:r>
      <w:r>
        <w:t>нению с уровнем этого показателя у телят контрольной группы, не пол</w:t>
      </w:r>
      <w:r>
        <w:t>у</w:t>
      </w:r>
      <w:r>
        <w:t>чавших гидроактивит, достоверно выше на 59% и 62% (Р&lt; 0,05) соответс</w:t>
      </w:r>
      <w:r>
        <w:t>т</w:t>
      </w:r>
      <w:r>
        <w:t>венно. Разница в содержании иммуноглобулинов в крови телят, получа</w:t>
      </w:r>
      <w:r>
        <w:t>в</w:t>
      </w:r>
      <w:r>
        <w:t>ших гидроактивит перед вторым кормлением, с данным показателем у контрольных – недостоверна.</w:t>
      </w:r>
    </w:p>
    <w:p w:rsidR="00F4654E" w:rsidRDefault="00F4654E">
      <w:pPr>
        <w:pStyle w:val="a6"/>
      </w:pPr>
      <w:r>
        <w:t>Получение гидроактивита связано с использованием сложного апп</w:t>
      </w:r>
      <w:r>
        <w:t>а</w:t>
      </w:r>
      <w:r>
        <w:t>рата ЭВР-01, в то время как  «живую» воду можно получить на простом аппарате ЭВР-02. Применение «живой» воды также способствует повыш</w:t>
      </w:r>
      <w:r>
        <w:t>е</w:t>
      </w:r>
      <w:r>
        <w:t>нию в крови уровня иммуноглобулинов.</w:t>
      </w:r>
    </w:p>
    <w:p w:rsidR="00F4654E" w:rsidRDefault="00F4654E">
      <w:pPr>
        <w:pStyle w:val="a6"/>
      </w:pPr>
      <w:r>
        <w:t>Так содержание иммуноглобулинов в крови через 48 часов у телят, которым вводили  ректально через 5 мин. после рождения гидроактивит и «живую» воду, достоверно выше (Р&lt;0,05) по сравнению с данным показ</w:t>
      </w:r>
      <w:r>
        <w:t>а</w:t>
      </w:r>
      <w:r>
        <w:t xml:space="preserve">телем у контрольных телят соответственно на 33% и 53%. При введении гидроактивита перед 2-й выпойкой за 20-30 мин. разница в содержании иммуноглобулинов в крови телят, по сравнению с данным показателем у контрольных животных недостоверна. </w:t>
      </w:r>
    </w:p>
    <w:p w:rsidR="00F4654E" w:rsidRDefault="00F4654E">
      <w:pPr>
        <w:pStyle w:val="a6"/>
      </w:pPr>
      <w:r>
        <w:t>Через 7 дней жизни содержание иммуноглобулинов в крови телят опытных групп, получавших гидроактивит и «живую» воду было дост</w:t>
      </w:r>
      <w:r>
        <w:t>о</w:t>
      </w:r>
      <w:r>
        <w:t>верно выше, чем у контрольных на 46 и 64% (Р&lt;0,01) соответственно. Ра</w:t>
      </w:r>
      <w:r>
        <w:t>з</w:t>
      </w:r>
      <w:r>
        <w:t>ница в содержании иммуноглобулинов в крови телят, которым задавали гидроактивит перед второй выпойкой и контрольными составила 32%, но была недостоверна.</w:t>
      </w:r>
    </w:p>
    <w:p w:rsidR="00F4654E" w:rsidRDefault="00F4654E">
      <w:pPr>
        <w:pStyle w:val="a6"/>
      </w:pPr>
      <w:r>
        <w:lastRenderedPageBreak/>
        <w:t>Таким образом, введение телятам электроактивированных растворов: гидроактивита и «живой» воды ректально в первые 5 минут после рожд</w:t>
      </w:r>
      <w:r>
        <w:t>е</w:t>
      </w:r>
      <w:r>
        <w:t>ния повышает уровень иммуноглобулинов в крови и профилактирует г</w:t>
      </w:r>
      <w:r>
        <w:t>и</w:t>
      </w:r>
      <w:r>
        <w:t>погаммаглобулинемию.</w:t>
      </w:r>
    </w:p>
    <w:p w:rsidR="00F4654E" w:rsidRDefault="00F4654E">
      <w:pPr>
        <w:pStyle w:val="a4"/>
      </w:pPr>
      <w:r>
        <w:t>УДК 619:616.98:579</w:t>
      </w:r>
    </w:p>
    <w:p w:rsidR="00F4654E" w:rsidRDefault="00F4654E">
      <w:pPr>
        <w:pStyle w:val="1"/>
      </w:pPr>
      <w:bookmarkStart w:id="2212" w:name="_Toc10731306"/>
      <w:bookmarkStart w:id="2213" w:name="_Toc10731967"/>
      <w:bookmarkStart w:id="2214" w:name="_Toc10891813"/>
      <w:bookmarkStart w:id="2215" w:name="_Toc10892488"/>
      <w:bookmarkStart w:id="2216" w:name="_Toc11390351"/>
      <w:bookmarkStart w:id="2217" w:name="_Toc11840032"/>
      <w:bookmarkStart w:id="2218" w:name="_Toc11937568"/>
      <w:r>
        <w:t>ЭТИОЛОГИЧЕСКАЯ СТРУКТУРА ЖЕЛУДОЧНО-КИШЕЧНЫХ БОЛЕЗНЕЙ ПОРОСЯТ</w:t>
      </w:r>
      <w:bookmarkEnd w:id="2212"/>
      <w:bookmarkEnd w:id="2213"/>
      <w:bookmarkEnd w:id="2214"/>
      <w:bookmarkEnd w:id="2215"/>
      <w:bookmarkEnd w:id="2216"/>
      <w:bookmarkEnd w:id="2217"/>
      <w:bookmarkEnd w:id="2218"/>
    </w:p>
    <w:p w:rsidR="00F4654E" w:rsidRDefault="00F4654E">
      <w:pPr>
        <w:pStyle w:val="2"/>
      </w:pPr>
      <w:bookmarkStart w:id="2219" w:name="_Toc10731307"/>
      <w:bookmarkStart w:id="2220" w:name="_Toc10731968"/>
      <w:bookmarkStart w:id="2221" w:name="_Toc10891814"/>
      <w:bookmarkStart w:id="2222" w:name="_Toc10892489"/>
      <w:bookmarkStart w:id="2223" w:name="_Toc11390352"/>
      <w:bookmarkStart w:id="2224" w:name="_Toc11937569"/>
      <w:r>
        <w:t>Карева Э.П., Ирский А.Г., Солдатенко Н.А., Зимина В.Н.</w:t>
      </w:r>
      <w:bookmarkEnd w:id="2219"/>
      <w:bookmarkEnd w:id="2220"/>
      <w:bookmarkEnd w:id="2221"/>
      <w:bookmarkEnd w:id="2222"/>
      <w:bookmarkEnd w:id="2223"/>
      <w:bookmarkEnd w:id="2224"/>
    </w:p>
    <w:p w:rsidR="00F4654E" w:rsidRDefault="00F4654E">
      <w:pPr>
        <w:pStyle w:val="a5"/>
      </w:pPr>
      <w:r>
        <w:t>Северо-Кавказский зональный научно-исследовательский ветеринарный институт</w:t>
      </w:r>
    </w:p>
    <w:p w:rsidR="00F4654E" w:rsidRDefault="00F4654E">
      <w:pPr>
        <w:pStyle w:val="a6"/>
      </w:pPr>
      <w:r>
        <w:t>Желудочно-кишечные заболевания молодняка широко распростран</w:t>
      </w:r>
      <w:r>
        <w:t>е</w:t>
      </w:r>
      <w:r>
        <w:t>ны не только в России, но и во многих странах мира. В настоящее время они представляют сложную биологическую и медико-ветеринарную пр</w:t>
      </w:r>
      <w:r>
        <w:t>о</w:t>
      </w:r>
      <w:r>
        <w:t>блему, от решения которой зависит качество продуктов питания и здоровье человека. Эти заболевания ежегодно приносят сюрпризы в мире – вспы</w:t>
      </w:r>
      <w:r>
        <w:t>ш</w:t>
      </w:r>
      <w:r>
        <w:t>ки среди людей и животных, пищевые и кормовые токсикоинфекции. Из</w:t>
      </w:r>
      <w:r>
        <w:t>у</w:t>
      </w:r>
      <w:r>
        <w:t>чению желудочно-кишечных болезней молодняка посвящены многочи</w:t>
      </w:r>
      <w:r>
        <w:t>с</w:t>
      </w:r>
      <w:r>
        <w:t>ленные работы отечественных и зарубежных исследователей нескольких поколений, создан огромный арсенал биологических и химиотерапевтич</w:t>
      </w:r>
      <w:r>
        <w:t>е</w:t>
      </w:r>
      <w:r>
        <w:t>ских препаратов, однако данная проблема далека от решения и требует п</w:t>
      </w:r>
      <w:r>
        <w:t>о</w:t>
      </w:r>
      <w:r>
        <w:t>стоянного внимания ветеринарной медицины.</w:t>
      </w:r>
    </w:p>
    <w:p w:rsidR="00F4654E" w:rsidRDefault="00F4654E">
      <w:pPr>
        <w:pStyle w:val="a6"/>
      </w:pPr>
      <w:r>
        <w:t>В результате многолетних бактериологических, вирусологических, серологических исследований материалов от свиней в хозяйствах Северо-Кавказского региона России, идентификации и антибиотикограммы пат</w:t>
      </w:r>
      <w:r>
        <w:t>о</w:t>
      </w:r>
      <w:r>
        <w:t>генов, биопробы на лабораторных моделях установили: в структуре пат</w:t>
      </w:r>
      <w:r>
        <w:t>о</w:t>
      </w:r>
      <w:r>
        <w:t>логии поросят от рождения до отъема и в послеотъемный период основное место занимают гастроэнтероколиты бактериальной и вирусной этиологии, клинически проявляющиеся диареей, резко выраженной дегидратацией  и интоксикацией, характеризующиеся высокой заболеваемостью и летальн</w:t>
      </w:r>
      <w:r>
        <w:t>о</w:t>
      </w:r>
      <w:r>
        <w:t>стью. Массовые вспышки трансмиссивного гастроэнтерита, ротавирусной инфекции,  анаэробной энтеротоксемии новорожденных поросят протек</w:t>
      </w:r>
      <w:r>
        <w:t>а</w:t>
      </w:r>
      <w:r>
        <w:t>ют волнообразно с интервалом 4-6 лет. Число эпизоотических очагов и з</w:t>
      </w:r>
      <w:r>
        <w:t>а</w:t>
      </w:r>
      <w:r>
        <w:t>болевших в них животных при колибактериозе, сальмонеллезе, дизентерии на протяжении последних 20 лет остаются постоянными.</w:t>
      </w:r>
    </w:p>
    <w:p w:rsidR="00F4654E" w:rsidRDefault="00F4654E">
      <w:pPr>
        <w:pStyle w:val="a6"/>
      </w:pPr>
      <w:r>
        <w:t>Результаты исследований показали, что желудочно-кишечные забол</w:t>
      </w:r>
      <w:r>
        <w:t>е</w:t>
      </w:r>
      <w:r>
        <w:t>вания поросят в разные периоды постнатальной жизни протекали как см</w:t>
      </w:r>
      <w:r>
        <w:t>е</w:t>
      </w:r>
      <w:r>
        <w:t>шанные инфекции (микст-инфекции) со сложной этиологической структ</w:t>
      </w:r>
      <w:r>
        <w:t>у</w:t>
      </w:r>
      <w:r>
        <w:t>рой. Новорожденные поросята были инфицированы Эшерихией коли до 83-94%, коронавирусом в пределах 9-16%, сальмонеллой до 10%, клостр</w:t>
      </w:r>
      <w:r>
        <w:t>и</w:t>
      </w:r>
      <w:r>
        <w:t>диум перфрингенс тип С - спорадические выделения. Инфекционный пр</w:t>
      </w:r>
      <w:r>
        <w:t>о</w:t>
      </w:r>
      <w:r>
        <w:t>цесс у поросят 1-3 недельного возраста был обусловлен Эшерихией коли, Сальмонеллой, Корона-Рота-вирусом и также выделяли бактерии из с</w:t>
      </w:r>
      <w:r>
        <w:t>е</w:t>
      </w:r>
      <w:r>
        <w:lastRenderedPageBreak/>
        <w:t>мейства Энтеробактериацее – Протеус, Энтеробактер, Цитробактер, Клеб-сиелла; стрептококки, Клостридиум перфрингенс. У поросят 1-, 2-, 3-, 4- месячного возраста, кроме перечисленных микроорганизмов, в инфекцион-ном процессе также участвовали возбудитель дизентерии Серпулина (Тр</w:t>
      </w:r>
      <w:r>
        <w:t>е</w:t>
      </w:r>
      <w:r>
        <w:t>по-нема) хиодизентерия и энтеровирусы.</w:t>
      </w:r>
    </w:p>
    <w:p w:rsidR="00F4654E" w:rsidRDefault="00F4654E">
      <w:pPr>
        <w:pStyle w:val="a6"/>
      </w:pPr>
      <w:r>
        <w:t>Таким образом, этиологическая структура желудочно-кишечных б</w:t>
      </w:r>
      <w:r>
        <w:t>о</w:t>
      </w:r>
      <w:r>
        <w:t>лезней поросят была представлена следующим образом: у новорожденных и 1-3 недельных сосунов эшерихиоз + вирусный гастроэнтерит + сальм</w:t>
      </w:r>
      <w:r>
        <w:t>о</w:t>
      </w:r>
      <w:r>
        <w:t>неллез; у поросят старшего возраста сальмонеллез + эшерихиоз + дизент</w:t>
      </w:r>
      <w:r>
        <w:t>е</w:t>
      </w:r>
      <w:r>
        <w:t>рия + энтеровирусный  гастроэнтерит. У поросят всех возрастов установ</w:t>
      </w:r>
      <w:r>
        <w:t>и</w:t>
      </w:r>
      <w:r>
        <w:t>ли циркуляцию энтеропатогенных эшерихий серогрупп 08, 09, 020, 035, 078, 0115, 0117, 0119, 0137, 0138, 0139, 0142, 0147, 0149; несущих адгези</w:t>
      </w:r>
      <w:r>
        <w:t>в</w:t>
      </w:r>
      <w:r>
        <w:t>ный антиген К88, К99, А20. У поросят всех возрастов выделили сальм</w:t>
      </w:r>
      <w:r>
        <w:t>о</w:t>
      </w:r>
      <w:r>
        <w:t>неллы: С.холересуис – 56,6%; С.тифимуриум – 23,4; С.дублин – 3,0; С.аризона – 9; сальмонеллы редких групп 8%. Смешанные инфекции ж</w:t>
      </w:r>
      <w:r>
        <w:t>е</w:t>
      </w:r>
      <w:r>
        <w:t>лудочно-кишечного тракта диагностировали у 73-85% исследованных п</w:t>
      </w:r>
      <w:r>
        <w:t>о</w:t>
      </w:r>
      <w:r>
        <w:t>росят. Также у свиней установили вирусоносительство (до 17%); сальм</w:t>
      </w:r>
      <w:r>
        <w:t>о</w:t>
      </w:r>
      <w:r>
        <w:t>неллоносительство у свиноматок до 22-46%; у переболевших поросят-отъемышей 25%; серпулиноносительство (возбудитель дизентерии) у св</w:t>
      </w:r>
      <w:r>
        <w:t>и</w:t>
      </w:r>
      <w:r>
        <w:t>номаток 42%, у переболевших поросят после лечения 45%.</w:t>
      </w:r>
    </w:p>
    <w:p w:rsidR="00F4654E" w:rsidRDefault="00F4654E">
      <w:pPr>
        <w:pStyle w:val="a6"/>
      </w:pPr>
      <w:r>
        <w:t>Анализируя материалы многолетних исследований, констатируем, что появлению желудочно-кишечных болезней поросят способствовали мн</w:t>
      </w:r>
      <w:r>
        <w:t>о</w:t>
      </w:r>
      <w:r>
        <w:t>гие факторы: 1) ослабление иммунной слизисто-секреторной системы, н</w:t>
      </w:r>
      <w:r>
        <w:t>а</w:t>
      </w:r>
      <w:r>
        <w:t>рушение синтеза иммуноглобулинов; 2) широко распространенное среди взрослых свиней бактерио- и вирусоносительство как скрытая форма и</w:t>
      </w:r>
      <w:r>
        <w:t>н</w:t>
      </w:r>
      <w:r>
        <w:t>фекции; завезенные в хозяйства племенные животные-носители возбуд</w:t>
      </w:r>
      <w:r>
        <w:t>и</w:t>
      </w:r>
      <w:r>
        <w:t>телей инфекций были причиной вспышки вирусного гастроэнтерита, сал</w:t>
      </w:r>
      <w:r>
        <w:t>ь</w:t>
      </w:r>
      <w:r>
        <w:t>монеллеза, дизентерии, эшерихиоза; 3) непрерывная система опоросов во многих хозяйствах создавала возможность пассажа патогенов через пор</w:t>
      </w:r>
      <w:r>
        <w:t>о</w:t>
      </w:r>
      <w:r>
        <w:t>сят и усиления вирулентности возбудителей; 4) отсутствие изоляции бол</w:t>
      </w:r>
      <w:r>
        <w:t>ь</w:t>
      </w:r>
      <w:r>
        <w:t>ных животных, выделяющих огромное количество патогенов в первые дни болезни во внешнюю среду; 5) неудовлетворительная санация свинарников или отсутствие таковой способствовала сохранению патогенов в навозе, на поверхности технологического оборудования до года и более; 6) бактер</w:t>
      </w:r>
      <w:r>
        <w:t>и</w:t>
      </w:r>
      <w:r>
        <w:t>альная контаминация кормов (особенно животного происхождения) и ко</w:t>
      </w:r>
      <w:r>
        <w:t>р</w:t>
      </w:r>
      <w:r>
        <w:t>мовых добавок способствовала заражению животных алиментарным п</w:t>
      </w:r>
      <w:r>
        <w:t>у</w:t>
      </w:r>
      <w:r>
        <w:t>тем; 7) бессистемное применение антибактериальных препаратов и недо</w:t>
      </w:r>
      <w:r>
        <w:t>с</w:t>
      </w:r>
      <w:r>
        <w:t>таточно иммуногенных вакцин привело к селекции штаммов эшерихий, сальмонелл и других бактерий со множественной лекарственной устойч</w:t>
      </w:r>
      <w:r>
        <w:t>и</w:t>
      </w:r>
      <w:r>
        <w:t>востью и изменению биологических свойств возбудителей.</w:t>
      </w:r>
    </w:p>
    <w:p w:rsidR="00F4654E" w:rsidRDefault="00F4654E">
      <w:pPr>
        <w:pStyle w:val="a6"/>
      </w:pPr>
      <w:r>
        <w:t xml:space="preserve">Разработанная нами программа оздоровления и профилактики при массовых желудочно-кишечных болезнях поросят включает следующие этапы: 1) диагностику и дифференциальную диагностику с изоляцией и </w:t>
      </w:r>
      <w:r>
        <w:lastRenderedPageBreak/>
        <w:t>идентификацией патогенов; 2) антибиотикограмму патогенов; 3) выявл</w:t>
      </w:r>
      <w:r>
        <w:t>е</w:t>
      </w:r>
      <w:r>
        <w:t>ние и санацию животных бактерио- и вирусоносителей; 4) санацию и д</w:t>
      </w:r>
      <w:r>
        <w:t>е</w:t>
      </w:r>
      <w:r>
        <w:t>зинфекцию свинарников; 5) иммунизацию супоросных свиноматок в о</w:t>
      </w:r>
      <w:r>
        <w:t>п</w:t>
      </w:r>
      <w:r>
        <w:t>тимальные сроки против вирусных гастроэнтеритов, сальмонеллеза, эш</w:t>
      </w:r>
      <w:r>
        <w:t>е</w:t>
      </w:r>
      <w:r>
        <w:t>рихиоза для создания колострального иммунитета; 6) соблюдение сан</w:t>
      </w:r>
      <w:r>
        <w:t>и</w:t>
      </w:r>
      <w:r>
        <w:t>тарных правил при опоросе, обеспечение новорожденным сосания молоз</w:t>
      </w:r>
      <w:r>
        <w:t>и</w:t>
      </w:r>
      <w:r>
        <w:t>ва не позднее 1-2 часов после рождения; 7) дополнительная защита нов</w:t>
      </w:r>
      <w:r>
        <w:t>о</w:t>
      </w:r>
      <w:r>
        <w:t>рожденных поросят применением иммунной сыворотки от собственных свиней-доноров; 8) использование антибактериальных препаратов с ра</w:t>
      </w:r>
      <w:r>
        <w:t>з</w:t>
      </w:r>
      <w:r>
        <w:t>личным механизмом действия на патогены и с учетом их фармакологич</w:t>
      </w:r>
      <w:r>
        <w:t>е</w:t>
      </w:r>
      <w:r>
        <w:t>ской совместимости; 9) применение препаратов, нормализующих биоценоз и пищеварение в желудочно-кишечном тракте поросят разного возраста; вакцинацию и ревакцинацию поросят в оптимальные сроки эффективными биопрепаратами; 10) технологические приемы кормления и содержания, направленные на оптимизацию здоровья животных; 11) применение пр</w:t>
      </w:r>
      <w:r>
        <w:t>е</w:t>
      </w:r>
      <w:r>
        <w:t>паратов, нейтрализующих токсины в кормах.</w:t>
      </w:r>
    </w:p>
    <w:p w:rsidR="00F4654E" w:rsidRDefault="00F4654E">
      <w:pPr>
        <w:pStyle w:val="a4"/>
      </w:pPr>
      <w:r>
        <w:t>УДК 619:616.98:579</w:t>
      </w:r>
    </w:p>
    <w:p w:rsidR="00F4654E" w:rsidRDefault="00F4654E">
      <w:pPr>
        <w:pStyle w:val="1"/>
      </w:pPr>
      <w:bookmarkStart w:id="2225" w:name="_Toc10731308"/>
      <w:bookmarkStart w:id="2226" w:name="_Toc10731969"/>
      <w:bookmarkStart w:id="2227" w:name="_Toc10891815"/>
      <w:bookmarkStart w:id="2228" w:name="_Toc10892490"/>
      <w:bookmarkStart w:id="2229" w:name="_Toc11390353"/>
      <w:bookmarkStart w:id="2230" w:name="_Toc11840034"/>
      <w:bookmarkStart w:id="2231" w:name="_Toc11937570"/>
      <w:r>
        <w:t>САЛЬМОНЕЛЛЕЗ ПОРОСЯТ В СОВРЕМЕННЫХ УСЛОВИЯХ</w:t>
      </w:r>
      <w:bookmarkEnd w:id="2225"/>
      <w:bookmarkEnd w:id="2226"/>
      <w:bookmarkEnd w:id="2227"/>
      <w:bookmarkEnd w:id="2228"/>
      <w:bookmarkEnd w:id="2229"/>
      <w:bookmarkEnd w:id="2230"/>
      <w:bookmarkEnd w:id="2231"/>
    </w:p>
    <w:p w:rsidR="00F4654E" w:rsidRDefault="00F4654E">
      <w:pPr>
        <w:pStyle w:val="2"/>
      </w:pPr>
      <w:bookmarkStart w:id="2232" w:name="_Toc10731309"/>
      <w:bookmarkStart w:id="2233" w:name="_Toc10731970"/>
      <w:bookmarkStart w:id="2234" w:name="_Toc10891816"/>
      <w:bookmarkStart w:id="2235" w:name="_Toc10892491"/>
      <w:bookmarkStart w:id="2236" w:name="_Toc11390354"/>
      <w:bookmarkStart w:id="2237" w:name="_Toc11937571"/>
      <w:r>
        <w:t>Карева Э.П., Солдатенко Н.А., Мандрыко В.А., Зимина В.Н.</w:t>
      </w:r>
      <w:bookmarkEnd w:id="2232"/>
      <w:bookmarkEnd w:id="2233"/>
      <w:bookmarkEnd w:id="2234"/>
      <w:bookmarkEnd w:id="2235"/>
      <w:bookmarkEnd w:id="2236"/>
      <w:bookmarkEnd w:id="2237"/>
    </w:p>
    <w:p w:rsidR="00F4654E" w:rsidRDefault="00F4654E">
      <w:pPr>
        <w:pStyle w:val="a5"/>
      </w:pPr>
      <w:r>
        <w:t>Северо-Кавказский зональный научно-исследовательский ветеринарный институт</w:t>
      </w:r>
    </w:p>
    <w:p w:rsidR="00F4654E" w:rsidRDefault="00F4654E">
      <w:pPr>
        <w:pStyle w:val="a6"/>
      </w:pPr>
      <w:r>
        <w:t>Современное свиноводство характеризуется: слабой экономической базой; разрушением разработанных ранее технологий кормления, соде</w:t>
      </w:r>
      <w:r>
        <w:t>р</w:t>
      </w:r>
      <w:r>
        <w:t>жания животных; выращивания молодняка; увеличением поголовья свиней в фермерских и индивидуальных хозяйствах; бесконтрольным передвиж</w:t>
      </w:r>
      <w:r>
        <w:t>е</w:t>
      </w:r>
      <w:r>
        <w:t>нием животных; резким увеличением завоза в Россию животноводческой продукции и кормов. В сложившихся условиях большую опасность пре</w:t>
      </w:r>
      <w:r>
        <w:t>д</w:t>
      </w:r>
      <w:r>
        <w:t>ставляют инфекционные болезни свиней. Одним из широко распростр</w:t>
      </w:r>
      <w:r>
        <w:t>а</w:t>
      </w:r>
      <w:r>
        <w:t>ненных заболеваний является сальмонеллез, влияющий на качество пр</w:t>
      </w:r>
      <w:r>
        <w:t>о</w:t>
      </w:r>
      <w:r>
        <w:t>дукции и здоровье человека. Сальмонеллез наносит свиноводству большие экономические потери – уменьшение продуктивности, аборты свиноматок, гибель молодняка, выбраковка, снижение качества мясной продукции, ра</w:t>
      </w:r>
      <w:r>
        <w:t>с</w:t>
      </w:r>
      <w:r>
        <w:t>ходы на оздоровительные мероприятия.</w:t>
      </w:r>
    </w:p>
    <w:p w:rsidR="00F4654E" w:rsidRDefault="00F4654E">
      <w:pPr>
        <w:pStyle w:val="a6"/>
      </w:pPr>
      <w:r>
        <w:t>В своей работе мы представили материалы многолетних исследований в хозяйствах Северо-Кавказского региона. Результаты исследований пок</w:t>
      </w:r>
      <w:r>
        <w:t>а</w:t>
      </w:r>
      <w:r>
        <w:t>зали, что сальмонеллез диагностировали у поросят всех возрастов – от р</w:t>
      </w:r>
      <w:r>
        <w:t>о</w:t>
      </w:r>
      <w:r>
        <w:t>ждения до отъема и на доращивании. Инфицирование сальмонеллами было высоким: новорожденных  - 19%; 2-3 недельных сосунов – 42,2; отъем</w:t>
      </w:r>
      <w:r>
        <w:t>ы</w:t>
      </w:r>
      <w:r>
        <w:t xml:space="preserve">шей – 66,3; поросят на доращивании – 48%. Переболевшие поросята до 25% оставались сальмонеллоносителями. Свиноматки и ремонтные свинки были бактерионосителями от 24,3 до 40%. Эти животные представляют большую эпизоотологическую опасность. Они способствуют заражению </w:t>
      </w:r>
      <w:r>
        <w:lastRenderedPageBreak/>
        <w:t>поросят на всех технологических позициях. Сальмонеллы у них локализ</w:t>
      </w:r>
      <w:r>
        <w:t>у</w:t>
      </w:r>
      <w:r>
        <w:t>ются в макрофагах печени, в желчном пузыре, лимфоузлах, пораженных тканях толстого кишечника. Персистенция возбудителя в организме ж</w:t>
      </w:r>
      <w:r>
        <w:t>и</w:t>
      </w:r>
      <w:r>
        <w:t xml:space="preserve">вотного осуществляется за счет способности патогена подавлять защитные механизмы хозяина. </w:t>
      </w:r>
    </w:p>
    <w:p w:rsidR="00F4654E" w:rsidRDefault="00F4654E">
      <w:pPr>
        <w:pStyle w:val="a6"/>
      </w:pPr>
      <w:r>
        <w:t xml:space="preserve">В результате серологической идентификации у свиней установили циркуляцию: Сальмонелла холересуис – 56,6%; С. тифимуриум – 23,4; С. дублин – 3,0; С.аризона – 9,0; С. редких групп – 7,0%. </w:t>
      </w:r>
    </w:p>
    <w:p w:rsidR="00F4654E" w:rsidRDefault="00F4654E">
      <w:pPr>
        <w:pStyle w:val="a6"/>
      </w:pPr>
      <w:r>
        <w:t>Возникновение и распространение сальмонеллеза среди свиней связ</w:t>
      </w:r>
      <w:r>
        <w:t>а</w:t>
      </w:r>
      <w:r>
        <w:t>но с широкой циркуляцией сальмонелл в природе; полидетерминантн</w:t>
      </w:r>
      <w:r>
        <w:t>о</w:t>
      </w:r>
      <w:r>
        <w:t>стью факторов вирулентности возбудителя (эндотоксинов, гемолитич</w:t>
      </w:r>
      <w:r>
        <w:t>е</w:t>
      </w:r>
      <w:r>
        <w:t>ской,  антилизоцимной, антикомплементарной активности и др.); селекц</w:t>
      </w:r>
      <w:r>
        <w:t>и</w:t>
      </w:r>
      <w:r>
        <w:t>ей штаммов с множественной лекарственной устойчивостью; длительным сохранением патогена (до года и более) в навозе, в продуктах, кормах ж</w:t>
      </w:r>
      <w:r>
        <w:t>и</w:t>
      </w:r>
      <w:r>
        <w:t>вотного происхождения и на различных объектах внешней среды.</w:t>
      </w:r>
    </w:p>
    <w:p w:rsidR="00F4654E" w:rsidRDefault="00F4654E">
      <w:pPr>
        <w:pStyle w:val="a6"/>
      </w:pPr>
      <w:r>
        <w:t>Анализируя заболеваемость поросят сальмонеллезом, констатировали, что как моноинфекцию его диагностировали очень редко – в пределах 10-12%. Чаще сальмонеллез протекал как смешанная инфекция: у новоро</w:t>
      </w:r>
      <w:r>
        <w:t>ж</w:t>
      </w:r>
      <w:r>
        <w:t>денных и 1-3 недельных сосунов – эшерихиоз + сальмонеллез; у поросят старшего возраста сальмонеллез + эшерихиоз + дизентерия. Смешанные инфекции диагностировали у 73-85%  исследованных поросят.</w:t>
      </w:r>
    </w:p>
    <w:p w:rsidR="00F4654E" w:rsidRDefault="00F4654E">
      <w:pPr>
        <w:pStyle w:val="a6"/>
      </w:pPr>
      <w:r>
        <w:t>При изучении  антибиотикограммы установили, что 60-65% штаммов сальмонелл – с множественной лекарственной устойчивостью; они показ</w:t>
      </w:r>
      <w:r>
        <w:t>а</w:t>
      </w:r>
      <w:r>
        <w:t>ли 100%-ную резистентность к пенициллину, стрептомицину, тетрацикл</w:t>
      </w:r>
      <w:r>
        <w:t>и</w:t>
      </w:r>
      <w:r>
        <w:t>нам, левомицетину, сульфаниламидам, нитрофуранам;  80% - к тилану. Наибольшей активностью в отношении сальмонелл обладал аминоглик</w:t>
      </w:r>
      <w:r>
        <w:t>о</w:t>
      </w:r>
      <w:r>
        <w:t>зидный антибиотик гентамицин, он показал высокую эффективность при острых, хронических и осложненных формах сальмонеллеза поросят. Х</w:t>
      </w:r>
      <w:r>
        <w:t>о</w:t>
      </w:r>
      <w:r>
        <w:t>рошие результаты дал новый отечественный препарат пролонгированного действия ривициклин, в состав которого входят рифампицин и окситетр</w:t>
      </w:r>
      <w:r>
        <w:t>а</w:t>
      </w:r>
      <w:r>
        <w:t>циклин. Особенностью гентамицина и ривициклина является их спосо</w:t>
      </w:r>
      <w:r>
        <w:t>б</w:t>
      </w:r>
      <w:r>
        <w:t>ность проникать внутрь клетки и подавлять жизнедеятельность сальм</w:t>
      </w:r>
      <w:r>
        <w:t>о</w:t>
      </w:r>
      <w:r>
        <w:t>нелл. Перспективными при сальмонеллезе были химиотерапевтические препараты из группы фторхинолонов – байтрил, энроксил, энрофлокс, э</w:t>
      </w:r>
      <w:r>
        <w:t>н</w:t>
      </w:r>
      <w:r>
        <w:t>рофлон и другие, активным веществом которых является энрофлоксацин. Эти препараты отличаются особым механизмом действия на бактериал</w:t>
      </w:r>
      <w:r>
        <w:t>ь</w:t>
      </w:r>
      <w:r>
        <w:t>ную клетку, что исключает возможность развития резистентности при уч</w:t>
      </w:r>
      <w:r>
        <w:t>а</w:t>
      </w:r>
      <w:r>
        <w:t>стии плазмид, не оказывают отрицательного влияния на формирование иммунитета у животных. Таким образом, при выборе препаратов необх</w:t>
      </w:r>
      <w:r>
        <w:t>о</w:t>
      </w:r>
      <w:r>
        <w:t>димо учитывать биологические особенности сальмонелл: способность их внутриклеточного персистирования в организме, постоянную селекцию штаммов со множественной лекарственной устойчивостью и их антиби</w:t>
      </w:r>
      <w:r>
        <w:t>о</w:t>
      </w:r>
      <w:r>
        <w:lastRenderedPageBreak/>
        <w:t>тикограмму. Также следует знать механизм действия препаратов и их фа</w:t>
      </w:r>
      <w:r>
        <w:t>р</w:t>
      </w:r>
      <w:r>
        <w:t>макологическую совместимость.</w:t>
      </w:r>
    </w:p>
    <w:p w:rsidR="00F4654E" w:rsidRDefault="00F4654E">
      <w:pPr>
        <w:pStyle w:val="a6"/>
      </w:pPr>
      <w:r>
        <w:t>Предложенная нами оздоровительная программа при сальмонеллезе включает комплекс мероприятий: создание оптимальных условий соде</w:t>
      </w:r>
      <w:r>
        <w:t>р</w:t>
      </w:r>
      <w:r>
        <w:t>жания животных на всех технологических позициях; санацию свинарников и прилегающей территории; удаление и обезвреживание навоза; полн</w:t>
      </w:r>
      <w:r>
        <w:t>о</w:t>
      </w:r>
      <w:r>
        <w:t>ценное кормление свиноматок и поросят с достаточным содержанием в рационе протеина, витаминов, макро- и микроэлементов для становления и нормального функционирования иммунной системы; иммунизацию суп</w:t>
      </w:r>
      <w:r>
        <w:t>о</w:t>
      </w:r>
      <w:r>
        <w:t>росных свиноматок и поросят в оптимальные сроки эффективными би</w:t>
      </w:r>
      <w:r>
        <w:t>о</w:t>
      </w:r>
      <w:r>
        <w:t xml:space="preserve">препаратами, этиотропную терапию и профилактику.  </w:t>
      </w:r>
    </w:p>
    <w:p w:rsidR="00F4654E" w:rsidRDefault="00F4654E">
      <w:pPr>
        <w:pStyle w:val="a4"/>
      </w:pPr>
      <w:r>
        <w:t>УДК 636.03+599.73:541.9</w:t>
      </w:r>
    </w:p>
    <w:p w:rsidR="00F4654E" w:rsidRDefault="00F4654E">
      <w:pPr>
        <w:pStyle w:val="1"/>
      </w:pPr>
      <w:bookmarkStart w:id="2238" w:name="_Toc10731312"/>
      <w:bookmarkStart w:id="2239" w:name="_Toc10731973"/>
      <w:bookmarkStart w:id="2240" w:name="_Toc10891819"/>
      <w:bookmarkStart w:id="2241" w:name="_Toc10892494"/>
      <w:bookmarkStart w:id="2242" w:name="_Toc11390357"/>
      <w:bookmarkStart w:id="2243" w:name="_Toc11840038"/>
      <w:bookmarkStart w:id="2244" w:name="_Toc11937572"/>
      <w:r>
        <w:t>соединения тяжелых металлов в продукции охотничьего промысла на территории алтайского края</w:t>
      </w:r>
      <w:bookmarkEnd w:id="2238"/>
      <w:bookmarkEnd w:id="2239"/>
      <w:bookmarkEnd w:id="2240"/>
      <w:bookmarkEnd w:id="2241"/>
      <w:bookmarkEnd w:id="2242"/>
      <w:bookmarkEnd w:id="2243"/>
      <w:bookmarkEnd w:id="2244"/>
    </w:p>
    <w:p w:rsidR="00F4654E" w:rsidRDefault="00F4654E">
      <w:pPr>
        <w:pStyle w:val="2"/>
      </w:pPr>
      <w:bookmarkStart w:id="2245" w:name="_Toc10731313"/>
      <w:bookmarkStart w:id="2246" w:name="_Toc10731974"/>
      <w:bookmarkStart w:id="2247" w:name="_Toc10891820"/>
      <w:bookmarkStart w:id="2248" w:name="_Toc10892495"/>
      <w:bookmarkStart w:id="2249" w:name="_Toc11390358"/>
      <w:bookmarkStart w:id="2250" w:name="_Toc11937573"/>
      <w:r>
        <w:t>Кашин А.С., Толкушкина Г.Д.*</w:t>
      </w:r>
      <w:bookmarkEnd w:id="2245"/>
      <w:bookmarkEnd w:id="2246"/>
      <w:bookmarkEnd w:id="2247"/>
      <w:bookmarkEnd w:id="2248"/>
      <w:bookmarkEnd w:id="2249"/>
      <w:bookmarkEnd w:id="2250"/>
    </w:p>
    <w:p w:rsidR="00F4654E" w:rsidRDefault="00F4654E">
      <w:pPr>
        <w:pStyle w:val="a5"/>
      </w:pPr>
      <w:r>
        <w:t xml:space="preserve">Всероссийский НИИ пантового оленеводства СО РАСХН </w:t>
      </w:r>
      <w:r>
        <w:br/>
        <w:t>*Алтайский государственный аграрный университет</w:t>
      </w:r>
    </w:p>
    <w:p w:rsidR="00F4654E" w:rsidRDefault="00F4654E">
      <w:pPr>
        <w:pStyle w:val="a6"/>
      </w:pPr>
      <w:r>
        <w:t>Реализации концепции охраны живой природы, созданию эффекти</w:t>
      </w:r>
      <w:r>
        <w:t>в</w:t>
      </w:r>
      <w:r>
        <w:t>ной системы экологического мониторинга и устойчивого развития (sustainable development) территориально-производственных систем сл</w:t>
      </w:r>
      <w:r>
        <w:t>у</w:t>
      </w:r>
      <w:r>
        <w:t>жит Международная конвенция о сохранении биологического разнообр</w:t>
      </w:r>
      <w:r>
        <w:t>а</w:t>
      </w:r>
      <w:r>
        <w:t>зия (Рио-де-Жанейро, 1992), подписанная ныне более чем 180 странами, в том числе Российской Федерацией. При решении этих задач одним из об</w:t>
      </w:r>
      <w:r>
        <w:t>я</w:t>
      </w:r>
      <w:r>
        <w:t>зательных объектов биомониторинга, на наш взгляд, должны являться д</w:t>
      </w:r>
      <w:r>
        <w:t>и</w:t>
      </w:r>
      <w:r>
        <w:t>кие млекопитающие (лось, косуля, кабан, зайцы, лисы, волки, мышеви</w:t>
      </w:r>
      <w:r>
        <w:t>д</w:t>
      </w:r>
      <w:r>
        <w:t>ные грызуны и др.), поскольку их сообщества обладают огромным такс</w:t>
      </w:r>
      <w:r>
        <w:t>о</w:t>
      </w:r>
      <w:r>
        <w:t>номическим и экологическим разнообразием. Они представляют собой удобный объект для наблюдения, хорошо изучена их биология, разработ</w:t>
      </w:r>
      <w:r>
        <w:t>а</w:t>
      </w:r>
      <w:r>
        <w:t>ны меры охраны и средства мониторинга.</w:t>
      </w:r>
      <w:r w:rsidR="0047197F">
        <w:t xml:space="preserve"> </w:t>
      </w:r>
      <w:r>
        <w:t>В решениях Международной комиссии по радиационной безопасн</w:t>
      </w:r>
      <w:r>
        <w:t>о</w:t>
      </w:r>
      <w:r>
        <w:t>сти в Вене (1996) указано о том, что именно популяционный уровень и</w:t>
      </w:r>
      <w:r>
        <w:t>с</w:t>
      </w:r>
      <w:r>
        <w:t>следования биоты в зонах техногенного загрязнения является наиболее м</w:t>
      </w:r>
      <w:r>
        <w:t>е</w:t>
      </w:r>
      <w:r>
        <w:t>тодически удобным, воспроизводимым и показательным при проведении наблюдений по биоиндикации, оценке к</w:t>
      </w:r>
      <w:r>
        <w:t>а</w:t>
      </w:r>
      <w:r>
        <w:t>чества окружающей природной среды и степени экологического риска.</w:t>
      </w:r>
    </w:p>
    <w:p w:rsidR="00F4654E" w:rsidRDefault="00F4654E">
      <w:pPr>
        <w:pStyle w:val="a6"/>
      </w:pPr>
      <w:r>
        <w:t>В этой связи нами был проведен отбор образцов органов и тканей от 16 черно-бурых лисиц (звероферма с. Урлапово Шипуновского района), 8 косуль и 20 зайцев из 11 районов Алтайского края, добытых в период осенне-зимней охоты 2001-2002 года. Для образцов использовали печень, почки, сердце, легкие, мышечную ткань и кровь. В ходе отбора пользов</w:t>
      </w:r>
      <w:r>
        <w:t>а</w:t>
      </w:r>
      <w:r>
        <w:t>лись только обсидиановыми инструментами. От каждого органа методом квартования отбирали 12-15 г навески, которую помещали в полиэтилен</w:t>
      </w:r>
      <w:r>
        <w:t>о</w:t>
      </w:r>
      <w:r>
        <w:lastRenderedPageBreak/>
        <w:t>вый контейнер-капсулу, фиксировали в 20 мл 48 % -го раствора этилового спирта и затем передавали в токсикологический отдел Алтайской краевой ветеринарной лаборатории (аккредитован, аттестат № РОСС RU 0001 21 ПТ 41). Общее содержание металлов определяли согласно методическим рекомендациям по атомно-абсорбционным спектрофотометрическим м</w:t>
      </w:r>
      <w:r>
        <w:t>е</w:t>
      </w:r>
      <w:r>
        <w:t>тодам определения токсических элементов в пищевых продуктах (1992).</w:t>
      </w:r>
    </w:p>
    <w:p w:rsidR="00F4654E" w:rsidRDefault="00F4654E">
      <w:pPr>
        <w:pStyle w:val="a6"/>
      </w:pPr>
      <w:r>
        <w:t>Установлено, что содержание Pb и Cd в 80 % обследованных образцах проб животных исследуемых районов не превышало МДУ. Отмечено с</w:t>
      </w:r>
      <w:r>
        <w:t>о</w:t>
      </w:r>
      <w:r>
        <w:t>держание Pb в печени зайцев из Косихинского и Первомайского районов в пределах МДУ (0,5 мг/кг) и Cd в печени зайцев  Завьяловского  района  (0,1 мг/кг). У особей косуль и зайцев Чарышского, Каменского, Троицкого, Волчихинского, Шелаболихинского, Романовского, Шипуновского ра</w:t>
      </w:r>
      <w:r>
        <w:t>й</w:t>
      </w:r>
      <w:r>
        <w:t>онов содержание свинца в печени колебалось от 0,45 до 0,01 мг/кг, что в среднем составляет  1/2   МДУ.  В  почках  зайцев  содержание  свинца с</w:t>
      </w:r>
      <w:r>
        <w:t>о</w:t>
      </w:r>
      <w:r>
        <w:t>ставило ~ 0,2 мг/кг. Видимо такое низкое содержание токсикоэлементов обусловлено с возрастом (косулям 1,5-2 года и зайцам – не более 1-1,5 лет). Например, в печени сородичей старших возрастов, обитающих в Че</w:t>
      </w:r>
      <w:r>
        <w:t>р</w:t>
      </w:r>
      <w:r>
        <w:t>нянском районе Белгородской области (типичный субрегион Центрального Черноземья), содержание свинца составило 0,68 мг/кг сырой массы (С.Ф. Тютиков, 2000). Д.А.Аббас также выявил четкую возрастную зависимость накопления тяжелых металлов в организме овец из различных регионов Ирака. У животных в возрасте 1 года токсикоэлементы накапливались в количествах значительно ниже МДУ, а у животных в возрасте 5 лет – пр</w:t>
      </w:r>
      <w:r>
        <w:t>е</w:t>
      </w:r>
      <w:r>
        <w:t>вышали МДУ в 1,5-7 раз (1991).</w:t>
      </w:r>
    </w:p>
    <w:p w:rsidR="00F4654E" w:rsidRDefault="00F4654E">
      <w:pPr>
        <w:pStyle w:val="a6"/>
      </w:pPr>
      <w:r>
        <w:t>Определенный интерес представляют данные по содержанию свинца в легких и сердце косуль Каменского, Романовского и Чарышского районов. У косуль из Чарышского района содержание Pb в легких составило 0,45 мг/кг, а в сердце 0,35 мг/кг. Подобное распределение Pb в организме мы наблюдали у новорожденных телят  Шелаболихинского, Тальменского и Ребрихинского районов (Кашин А.С., 1990). М.В. Бойченко (1999) отмечал у молодняка крупного рогатого скота из пригородной зоны г. Красноярска, когда содержание этого элемента в легких было соразмерно с концен-трацией его в печени и почках.</w:t>
      </w:r>
      <w:r w:rsidR="0047197F">
        <w:t xml:space="preserve"> </w:t>
      </w:r>
      <w:r>
        <w:t>Такое распределение в органах токсик</w:t>
      </w:r>
      <w:r>
        <w:t>о</w:t>
      </w:r>
      <w:r>
        <w:t>элемента объясняется поступлением в организм животных не только с р</w:t>
      </w:r>
      <w:r>
        <w:t>а</w:t>
      </w:r>
      <w:r>
        <w:t>ционом, но и через легкие. Территория Чарышского района находится во</w:t>
      </w:r>
      <w:r>
        <w:t>с</w:t>
      </w:r>
      <w:r>
        <w:t>точнее от крупной автомагистрали на Семипалатинск, откуда с выхлопн</w:t>
      </w:r>
      <w:r>
        <w:t>ы</w:t>
      </w:r>
      <w:r>
        <w:t>ми газами аэрозоли соединения свинца в соответствии с розой ветров яв</w:t>
      </w:r>
      <w:r>
        <w:t>и</w:t>
      </w:r>
      <w:r>
        <w:t>лись источниками загрязнения природной среды. Наибольшая концентр</w:t>
      </w:r>
      <w:r>
        <w:t>а</w:t>
      </w:r>
      <w:r>
        <w:t>ция кадмия в печени и почках у косуль обнаружена в пределах 1/2 МДУ.</w:t>
      </w:r>
    </w:p>
    <w:p w:rsidR="00F4654E" w:rsidRDefault="0047197F">
      <w:pPr>
        <w:pStyle w:val="a6"/>
      </w:pPr>
      <w:r>
        <w:t>Такие м</w:t>
      </w:r>
      <w:r w:rsidR="00F4654E">
        <w:t>икроэлементы, как медь и цинк необходимы для многих ва</w:t>
      </w:r>
      <w:r w:rsidR="00F4654E">
        <w:t>ж</w:t>
      </w:r>
      <w:r w:rsidR="00F4654E">
        <w:t>нейших биохимических процессов в организме так как входят в состав многих ферментов. Однако при избытке медь – один из высокотоксичных мета</w:t>
      </w:r>
      <w:r w:rsidR="00F4654E">
        <w:t>л</w:t>
      </w:r>
      <w:r w:rsidR="00F4654E">
        <w:t xml:space="preserve">лов. Токсичность цинка во многом зависит от синергизма с кадмием. </w:t>
      </w:r>
      <w:r w:rsidR="00F4654E">
        <w:lastRenderedPageBreak/>
        <w:t>В наших исследованиях, концентрация меди в печени косуль из Чары</w:t>
      </w:r>
      <w:r w:rsidR="00F4654E">
        <w:t>ш</w:t>
      </w:r>
      <w:r w:rsidR="00F4654E">
        <w:t>ского района достигала 13,6 мг/кг, в легких и сердце – значительно ниже физи</w:t>
      </w:r>
      <w:r w:rsidR="00F4654E">
        <w:t>о</w:t>
      </w:r>
      <w:r w:rsidR="00F4654E">
        <w:t>логической нормы (2,9:1,3 соответственно). Концентрация цинка в органах диких млекопитающих находили ниже пределов физиологических норм, только у отдельных индивидуумов обнаруживали его в печени до 24,1 мг/кг, почках – 18 мг/кг, в сердце и легком соо</w:t>
      </w:r>
      <w:r w:rsidR="00F4654E">
        <w:t>т</w:t>
      </w:r>
      <w:r w:rsidR="00F4654E">
        <w:t>ветственно ~ 9 мг/кг. Особенно низкое содержание цинка обнаружено в почках черно-бурых л</w:t>
      </w:r>
      <w:r w:rsidR="00F4654E">
        <w:t>и</w:t>
      </w:r>
      <w:r w:rsidR="00F4654E">
        <w:t>сиц со зверофермы (~5 мг/кг), что вероятнее связано с несбалансированн</w:t>
      </w:r>
      <w:r w:rsidR="00F4654E">
        <w:t>о</w:t>
      </w:r>
      <w:r w:rsidR="00F4654E">
        <w:t>стью кормового рациона животных.</w:t>
      </w:r>
      <w:r>
        <w:t xml:space="preserve"> </w:t>
      </w:r>
      <w:r w:rsidR="00F4654E">
        <w:t>Наблюдае</w:t>
      </w:r>
      <w:r w:rsidR="00F4654E">
        <w:t>т</w:t>
      </w:r>
      <w:r w:rsidR="00F4654E">
        <w:t>ся четкая корреляционная зависимость между содержанием Cu и Zn и концентрациями Pb и Cd в о</w:t>
      </w:r>
      <w:r w:rsidR="00F4654E">
        <w:t>р</w:t>
      </w:r>
      <w:r w:rsidR="00F4654E">
        <w:t>ганах косуль. Расчетами устано</w:t>
      </w:r>
      <w:r w:rsidR="00F4654E">
        <w:t>в</w:t>
      </w:r>
      <w:r w:rsidR="00F4654E">
        <w:t>лено, что чем ближе содержание Pb и Cd к пределам МДУ в органах к</w:t>
      </w:r>
      <w:r w:rsidR="00F4654E">
        <w:t>о</w:t>
      </w:r>
      <w:r w:rsidR="00F4654E">
        <w:t>суль, тем ниже уровни содержания в них Cu и Zn. Соотношение Pb в печени, почках, легких, сердце косуль составили 0,14:0,5:0,45:0,35 и Cd соответственно 0,02:0,2:0,04:0,01. Характерны ко</w:t>
      </w:r>
      <w:r w:rsidR="00F4654E">
        <w:t>н</w:t>
      </w:r>
      <w:r w:rsidR="00F4654E">
        <w:t>центрации соотношений для Cu и Zn – 13,6:5,1:1,3:2,9 и 21,6:13,1:8,9:7,3 в печени, почках, легких и сердце соответственно. Тяжелые металлы, обл</w:t>
      </w:r>
      <w:r w:rsidR="00F4654E">
        <w:t>а</w:t>
      </w:r>
      <w:r w:rsidR="00F4654E">
        <w:t>дая высокой кумулятивной способн</w:t>
      </w:r>
      <w:r w:rsidR="00F4654E">
        <w:t>о</w:t>
      </w:r>
      <w:r w:rsidR="00F4654E">
        <w:t>стью, при постоянном поступлении в организм с пищей, водой и вдыхаемым воздухом накапливаются в знач</w:t>
      </w:r>
      <w:r w:rsidR="00F4654E">
        <w:t>и</w:t>
      </w:r>
      <w:r w:rsidR="00F4654E">
        <w:t>тельных количествах у ж</w:t>
      </w:r>
      <w:r w:rsidR="00F4654E">
        <w:t>и</w:t>
      </w:r>
      <w:r w:rsidR="00F4654E">
        <w:t>вотных старших возрастных групп.</w:t>
      </w:r>
    </w:p>
    <w:p w:rsidR="00F4654E" w:rsidRDefault="00F4654E">
      <w:pPr>
        <w:pStyle w:val="a6"/>
      </w:pPr>
      <w:r>
        <w:t>Таким образом, продукцию охотничьего промысла и животноводства от животных в возрасте до 3 лет можно использовать в пищу без огранич</w:t>
      </w:r>
      <w:r>
        <w:t>е</w:t>
      </w:r>
      <w:r>
        <w:t>ний. Продукция от животных старших возрастных групп должна обяз</w:t>
      </w:r>
      <w:r>
        <w:t>а</w:t>
      </w:r>
      <w:r>
        <w:t>тельно проходить контроль на содержание токсических элементов.</w:t>
      </w:r>
      <w:r w:rsidR="0047197F">
        <w:t xml:space="preserve"> </w:t>
      </w:r>
      <w:r>
        <w:t>Кроме этого, токсикоэлементный анализ может быть использован как действе</w:t>
      </w:r>
      <w:r>
        <w:t>н</w:t>
      </w:r>
      <w:r>
        <w:t>ный метод для выявления видовых и территориальных особенностей х</w:t>
      </w:r>
      <w:r>
        <w:t>и</w:t>
      </w:r>
      <w:r>
        <w:t>мического состава диких млекопитающих и продуктивных живо</w:t>
      </w:r>
      <w:r>
        <w:t>т</w:t>
      </w:r>
      <w:r>
        <w:t>ных. Он обладает высокой точностью и достоверностью и представляется нам до</w:t>
      </w:r>
      <w:r>
        <w:t>с</w:t>
      </w:r>
      <w:r>
        <w:t>таточно перспективным в изучении микроэволюционных процессов, пр</w:t>
      </w:r>
      <w:r>
        <w:t>о</w:t>
      </w:r>
      <w:r>
        <w:t>текающих в популяциях, подвергающихся техногенному и хим</w:t>
      </w:r>
      <w:r>
        <w:t>и</w:t>
      </w:r>
      <w:r>
        <w:t>ческому загрязнению.</w:t>
      </w:r>
    </w:p>
    <w:p w:rsidR="00F4654E" w:rsidRDefault="00F4654E">
      <w:pPr>
        <w:pStyle w:val="a4"/>
      </w:pPr>
      <w:r>
        <w:t>УДК 619:631.95:528.9</w:t>
      </w:r>
    </w:p>
    <w:p w:rsidR="00F4654E" w:rsidRDefault="00F4654E">
      <w:pPr>
        <w:pStyle w:val="1"/>
      </w:pPr>
      <w:bookmarkStart w:id="2251" w:name="_Toc10731310"/>
      <w:bookmarkStart w:id="2252" w:name="_Toc10731971"/>
      <w:bookmarkStart w:id="2253" w:name="_Toc10891817"/>
      <w:bookmarkStart w:id="2254" w:name="_Toc10892492"/>
      <w:bookmarkStart w:id="2255" w:name="_Toc11390355"/>
      <w:bookmarkStart w:id="2256" w:name="_Toc11840036"/>
      <w:bookmarkStart w:id="2257" w:name="_Toc11937574"/>
      <w:r>
        <w:t>КОМПЛЕКСНАЯ ВЕТЕРИНАРНО-ЭКОЛОГИЧЕСКАЯ И КАРТОГРАФИЧЕСКАЯ ОЦЕНКА ТЕРРИТОРИИ АГРАРНОГО ПРИРОДОПОЛЬЗОВАНИЯ</w:t>
      </w:r>
      <w:bookmarkEnd w:id="2251"/>
      <w:bookmarkEnd w:id="2252"/>
      <w:bookmarkEnd w:id="2253"/>
      <w:bookmarkEnd w:id="2254"/>
      <w:bookmarkEnd w:id="2255"/>
      <w:bookmarkEnd w:id="2256"/>
      <w:bookmarkEnd w:id="2257"/>
    </w:p>
    <w:p w:rsidR="00F4654E" w:rsidRDefault="00F4654E">
      <w:pPr>
        <w:pStyle w:val="2"/>
      </w:pPr>
      <w:bookmarkStart w:id="2258" w:name="_Toc10731311"/>
      <w:bookmarkStart w:id="2259" w:name="_Toc10731972"/>
      <w:bookmarkStart w:id="2260" w:name="_Toc10891818"/>
      <w:bookmarkStart w:id="2261" w:name="_Toc10892493"/>
      <w:bookmarkStart w:id="2262" w:name="_Toc11390356"/>
      <w:bookmarkStart w:id="2263" w:name="_Toc11937575"/>
      <w:r>
        <w:t>Кашин А.С.</w:t>
      </w:r>
      <w:bookmarkEnd w:id="2258"/>
      <w:bookmarkEnd w:id="2259"/>
      <w:bookmarkEnd w:id="2260"/>
      <w:bookmarkEnd w:id="2261"/>
      <w:bookmarkEnd w:id="2262"/>
      <w:bookmarkEnd w:id="2263"/>
    </w:p>
    <w:p w:rsidR="00F4654E" w:rsidRDefault="00F4654E">
      <w:pPr>
        <w:pStyle w:val="a5"/>
      </w:pPr>
      <w:r>
        <w:t>Всероссийский НИИ пантового оленеводства СО РАСХН</w:t>
      </w:r>
    </w:p>
    <w:p w:rsidR="00F4654E" w:rsidRDefault="00F4654E">
      <w:pPr>
        <w:pStyle w:val="a6"/>
      </w:pPr>
      <w:r>
        <w:t>Ветеринарно-эколого-мониторинговые исследования и пространс</w:t>
      </w:r>
      <w:r>
        <w:t>т</w:t>
      </w:r>
      <w:r>
        <w:t>венный анализ территориально-производственных систем, а также исто</w:t>
      </w:r>
      <w:r>
        <w:t>ч</w:t>
      </w:r>
      <w:r>
        <w:t>ники литературы подтверждают, что на техногенно-биогенных загрязне</w:t>
      </w:r>
      <w:r>
        <w:t>н</w:t>
      </w:r>
      <w:r>
        <w:t>ных агробиоэкосистем регионов Якутии, Западной и Восточной Сибири, Среднего и Южного Урала, республик Татарстан и Башкортостан, Ниж</w:t>
      </w:r>
      <w:r>
        <w:t>е</w:t>
      </w:r>
      <w:r>
        <w:lastRenderedPageBreak/>
        <w:t>городской и Брянской областей в 1990-2002 годы наблюдалась тенденция усиления хронического трансплацентарного (внутриутробного) повре</w:t>
      </w:r>
      <w:r>
        <w:t>ж</w:t>
      </w:r>
      <w:r>
        <w:t>дающегося воздействия приоритетных экотоксикантов на плод в морф</w:t>
      </w:r>
      <w:r>
        <w:t>о</w:t>
      </w:r>
      <w:r>
        <w:t>функциональной системе "мать – плацента – плод – приплод" (И.М.Донник, 1997; М.Н.Аргунов и соавт., 1999; А.Г.Шахов, В.С.Бузлама, 2000; П.Н.Смирнов и соавт., 2000).</w:t>
      </w:r>
      <w:r w:rsidR="0047197F">
        <w:t xml:space="preserve"> </w:t>
      </w:r>
      <w:r>
        <w:t>Возникла настоятельная необходимость нового подхода к организации и внедрению экологически безопасной си</w:t>
      </w:r>
      <w:r>
        <w:t>с</w:t>
      </w:r>
      <w:r>
        <w:t>темы ветеринарной защиты здоровья молодняка сельскохозяйственных животных, от чего зависит б</w:t>
      </w:r>
      <w:r>
        <w:t>у</w:t>
      </w:r>
      <w:r>
        <w:t>дущее генофонда продуктивных животных с высоким потенциалом, качество и биологическая полноценность животн</w:t>
      </w:r>
      <w:r>
        <w:t>о</w:t>
      </w:r>
      <w:r>
        <w:t>водческой продукции, ос</w:t>
      </w:r>
      <w:r>
        <w:t>о</w:t>
      </w:r>
      <w:r>
        <w:t>бенно для диетического и детского питания, к которым предъявляются особые экологически обоснованные требования.</w:t>
      </w:r>
      <w:r w:rsidR="0047197F">
        <w:t xml:space="preserve"> </w:t>
      </w:r>
      <w:r>
        <w:t>Каждому региону, району, животноводческому предприятию присуща своя внутренняя структура экологической системы агробиоценоза, отлича</w:t>
      </w:r>
      <w:r>
        <w:t>ю</w:t>
      </w:r>
      <w:r>
        <w:t>щиеся уровнями антропогенных загрязнителей и предпосылками риска з</w:t>
      </w:r>
      <w:r>
        <w:t>а</w:t>
      </w:r>
      <w:r>
        <w:t>болеваемости молодняка. Динамика гибели молодняка крупного рогат</w:t>
      </w:r>
      <w:r>
        <w:t>о</w:t>
      </w:r>
      <w:r>
        <w:t>го скота для 60-ти районов Алтайского края в зависимости от напряженн</w:t>
      </w:r>
      <w:r>
        <w:t>о</w:t>
      </w:r>
      <w:r>
        <w:t>сти экологических показателей отражает тенденцию в сторону увеличения г</w:t>
      </w:r>
      <w:r>
        <w:t>и</w:t>
      </w:r>
      <w:r>
        <w:t>бели поголовья телят от заболеваний желудочно-кишечного тракта и ре</w:t>
      </w:r>
      <w:r>
        <w:t>с</w:t>
      </w:r>
      <w:r>
        <w:t>пираторными заболеваниями в зависимости от уровня интенсивности з</w:t>
      </w:r>
      <w:r>
        <w:t>а</w:t>
      </w:r>
      <w:r>
        <w:t>грязненности почвы и кормов тяжелыми металлами (Pb, Cd, Cr, As и др. до 8 МДУ) +</w:t>
      </w:r>
      <w:r>
        <w:rPr>
          <w:vertAlign w:val="superscript"/>
        </w:rPr>
        <w:t>137</w:t>
      </w:r>
      <w:r>
        <w:t xml:space="preserve">Cs  и </w:t>
      </w:r>
      <w:r>
        <w:rPr>
          <w:vertAlign w:val="superscript"/>
        </w:rPr>
        <w:t>90</w:t>
      </w:r>
      <w:r>
        <w:t>Sr и пестицидами (до 0,8 кг/га + минеральные удобр</w:t>
      </w:r>
      <w:r>
        <w:t>е</w:t>
      </w:r>
      <w:r>
        <w:t>ния до 1,5 т/га). Большой разброс в полученных данных отражает тот факт, что антропогенные загрязнения являются не единственным фактором г</w:t>
      </w:r>
      <w:r>
        <w:t>и</w:t>
      </w:r>
      <w:r>
        <w:t>бели животных.</w:t>
      </w:r>
    </w:p>
    <w:p w:rsidR="00F4654E" w:rsidRDefault="00F4654E">
      <w:pPr>
        <w:pStyle w:val="a6"/>
      </w:pPr>
      <w:r>
        <w:t>Пространственный анализ и ранжирование территории Алтайского края по совокупности антропогенных нагрузок с выделением их дом</w:t>
      </w:r>
      <w:r>
        <w:t>и</w:t>
      </w:r>
      <w:r>
        <w:t>нантных факторов позволили установить четкую пространственную вза</w:t>
      </w:r>
      <w:r>
        <w:t>и</w:t>
      </w:r>
      <w:r>
        <w:t>мосвязь между частотой проявления органопатологии и гибели молодняка продуктивных животных в той части региона, которая испытала на себе максимальные антропогенные нагрузки. Такая основа нами была испол</w:t>
      </w:r>
      <w:r>
        <w:t>ь</w:t>
      </w:r>
      <w:r>
        <w:t>зована при создании целостного ветеринарно-эколого-картографического произведения, базирующегося на интеграции базы данных о состоянии о</w:t>
      </w:r>
      <w:r>
        <w:t>к</w:t>
      </w:r>
      <w:r>
        <w:t>ружающей среды с выделением основного источника экологического ри</w:t>
      </w:r>
      <w:r>
        <w:t>с</w:t>
      </w:r>
      <w:r>
        <w:t>ка и предпосылок возникновения и распространения антропогенных эк</w:t>
      </w:r>
      <w:r>
        <w:t>о</w:t>
      </w:r>
      <w:r>
        <w:t>логических болезней (АЭБ) молодняка животных.</w:t>
      </w:r>
      <w:r w:rsidR="0047197F">
        <w:t xml:space="preserve"> </w:t>
      </w:r>
      <w:r>
        <w:t>Например, существе</w:t>
      </w:r>
      <w:r>
        <w:t>н</w:t>
      </w:r>
      <w:r>
        <w:t>ный вклад в антропогенное загрязнение агробиоэкосистемы Благовеще</w:t>
      </w:r>
      <w:r>
        <w:t>н</w:t>
      </w:r>
      <w:r>
        <w:t>ского района Алтайского края долгое время вносили Кучукский сульфа</w:t>
      </w:r>
      <w:r>
        <w:t>т</w:t>
      </w:r>
      <w:r>
        <w:t>ный комбинат (КСК) и военный полигон, расположенные в непосредс</w:t>
      </w:r>
      <w:r>
        <w:t>т</w:t>
      </w:r>
      <w:r>
        <w:t>венной близости от районного центра. Установлено, что роза ветров сп</w:t>
      </w:r>
      <w:r>
        <w:t>о</w:t>
      </w:r>
      <w:r>
        <w:t>собствовала хроническому загрязнению агроби</w:t>
      </w:r>
      <w:r>
        <w:t>о</w:t>
      </w:r>
      <w:r>
        <w:t>геоценоза с. Николаевки (СПК Николаевский) устойчивыми органическ</w:t>
      </w:r>
      <w:r>
        <w:t>и</w:t>
      </w:r>
      <w:r>
        <w:t xml:space="preserve">ми загрязнителями (ПХБ, ПАУ, диоксины) и токсикоэлементами (Cd, Pb, Hg, Cr, Ni, As и др.) малой </w:t>
      </w:r>
      <w:r>
        <w:lastRenderedPageBreak/>
        <w:t>интенсивности. Однако систематическое их поступление через корма и в</w:t>
      </w:r>
      <w:r>
        <w:t>о</w:t>
      </w:r>
      <w:r>
        <w:t>ду в организм коров-матерей привело к увеличению роста общей неспец</w:t>
      </w:r>
      <w:r>
        <w:t>и</w:t>
      </w:r>
      <w:r>
        <w:t>фической заболеваемости и массовой гибели среди нарождающегося м</w:t>
      </w:r>
      <w:r>
        <w:t>о</w:t>
      </w:r>
      <w:r>
        <w:t>лодняка. Об этом свидетельствует динамика п</w:t>
      </w:r>
      <w:r>
        <w:t>а</w:t>
      </w:r>
      <w:r>
        <w:t>дежа в СПК Николаевском, где в 1998 году гибель достигла почти 100 % родившихся телят. После з</w:t>
      </w:r>
      <w:r>
        <w:t>а</w:t>
      </w:r>
      <w:r>
        <w:t>крытия военного полигона и перепрофилирования КСК падеж среди м</w:t>
      </w:r>
      <w:r>
        <w:t>о</w:t>
      </w:r>
      <w:r>
        <w:t>лодняка в 2002 году снизился на 85 % от числа народившихся.</w:t>
      </w:r>
    </w:p>
    <w:p w:rsidR="00F4654E" w:rsidRDefault="00F4654E">
      <w:pPr>
        <w:pStyle w:val="a6"/>
      </w:pPr>
      <w:r>
        <w:t>Таким образом, ветеринарно-эколого-географическая карта раскрыв</w:t>
      </w:r>
      <w:r>
        <w:t>а</w:t>
      </w:r>
      <w:r>
        <w:t>ет потенциальную опасность по уровням риска природных и антропоге</w:t>
      </w:r>
      <w:r>
        <w:t>н</w:t>
      </w:r>
      <w:r>
        <w:t>ных факторов конкретных территорий на возможность возникновения и рас-пространения АЭБ молодняка сельскохозяйственных животных, что позволяет прогнозировать уровень напряженности ветеринарно-экологи</w:t>
      </w:r>
      <w:r w:rsidR="0047197F">
        <w:t>-</w:t>
      </w:r>
      <w:r>
        <w:t>ческой ситуации и разработать лечебно-профилактические и д</w:t>
      </w:r>
      <w:r>
        <w:t>е</w:t>
      </w:r>
      <w:r>
        <w:t>зинтокси</w:t>
      </w:r>
      <w:r w:rsidR="0047197F">
        <w:t>-</w:t>
      </w:r>
      <w:r>
        <w:t>кационные мероприятия по оздоровлению конкретного региона, района или животноводческого хозяйства. В конечном итоге, вся структура со</w:t>
      </w:r>
      <w:r>
        <w:t>з</w:t>
      </w:r>
      <w:r>
        <w:t>данных серий ветеринарно-эколого-географических карт и ко</w:t>
      </w:r>
      <w:r>
        <w:t>м</w:t>
      </w:r>
      <w:r>
        <w:t>плексного эколого-ветеринарного атласа региона направлена на выполн</w:t>
      </w:r>
      <w:r>
        <w:t>е</w:t>
      </w:r>
      <w:r>
        <w:t>ние главной цели – способствовать не только осуществлению объективной оценки в</w:t>
      </w:r>
      <w:r>
        <w:t>е</w:t>
      </w:r>
      <w:r>
        <w:t>теринарно-экологических ситуаций, но и решению важной проблемы, как устойчивое развитие (sustainable development) Алтайского региона.</w:t>
      </w:r>
    </w:p>
    <w:p w:rsidR="00F4654E" w:rsidRDefault="00F4654E">
      <w:pPr>
        <w:pStyle w:val="a4"/>
      </w:pPr>
      <w:r>
        <w:t>УДК 636.22/28.082.451</w:t>
      </w:r>
    </w:p>
    <w:p w:rsidR="00F4654E" w:rsidRDefault="00F4654E">
      <w:pPr>
        <w:pStyle w:val="1"/>
      </w:pPr>
      <w:bookmarkStart w:id="2264" w:name="_Toc11840040"/>
      <w:bookmarkStart w:id="2265" w:name="_Toc11937576"/>
      <w:r>
        <w:t>Этиология склероза яичников у коров на молочных фермах Дальнего Востока</w:t>
      </w:r>
      <w:bookmarkEnd w:id="2264"/>
      <w:bookmarkEnd w:id="2265"/>
    </w:p>
    <w:p w:rsidR="00F4654E" w:rsidRDefault="00F4654E">
      <w:pPr>
        <w:pStyle w:val="2"/>
      </w:pPr>
      <w:bookmarkStart w:id="2266" w:name="_Toc11937577"/>
      <w:r>
        <w:t>Ключников М.Т., Ключникова Н.Ф.</w:t>
      </w:r>
      <w:bookmarkEnd w:id="2266"/>
    </w:p>
    <w:p w:rsidR="00F4654E" w:rsidRDefault="00F4654E">
      <w:pPr>
        <w:pStyle w:val="a5"/>
      </w:pPr>
      <w:r>
        <w:t>Дальневосточный научно-исследовательский институт сельского хозяйства</w:t>
      </w:r>
    </w:p>
    <w:p w:rsidR="00F4654E" w:rsidRDefault="00F4654E">
      <w:pPr>
        <w:pStyle w:val="a6"/>
      </w:pPr>
      <w:r>
        <w:t>За 24 года наблюдений обследовано 49912 яловых коров. Ярко выр</w:t>
      </w:r>
      <w:r>
        <w:t>а</w:t>
      </w:r>
      <w:r>
        <w:t>женные признаки склероза яичников обнаружены у 48 животных. Встр</w:t>
      </w:r>
      <w:r>
        <w:t>е</w:t>
      </w:r>
      <w:r>
        <w:t>чаемость патологии имеет тенденцию к увеличению: с 0,06% в 1976-1988 гг. до 0,2% в 1997-1998 гг. Во всех случаях склероз яичников имел втори</w:t>
      </w:r>
      <w:r>
        <w:t>ч</w:t>
      </w:r>
      <w:r>
        <w:t>ную природу, как следствие хронически протекающих воспалительных процессов половых органов. В одном случае - после многократного разр</w:t>
      </w:r>
      <w:r>
        <w:t>у</w:t>
      </w:r>
      <w:r>
        <w:t>шения кисты яичника.</w:t>
      </w:r>
    </w:p>
    <w:p w:rsidR="00F4654E" w:rsidRDefault="00F4654E">
      <w:pPr>
        <w:pStyle w:val="a6"/>
      </w:pPr>
      <w:r>
        <w:t>Реальная картина распространения склероза яичников у коров на фермах региона выглядит иначе, ввиду особенностей патогенеза. Болезнь чаще всего имеет вялотекущий характер. В начальной стадии морфология и функция яичников не нарушаются. В 1973-1974 гг. на Уссурийском м</w:t>
      </w:r>
      <w:r>
        <w:t>я</w:t>
      </w:r>
      <w:r>
        <w:t>сокомбинате из 86 обследованных яичников 43 яловых коров - в 3 (3,5%) морфологически и 7 (8,1%) - гистологически выявлены признаки склероза. Разрастание соединительной ткани в ряде случаев носило разлитый хара</w:t>
      </w:r>
      <w:r>
        <w:t>к</w:t>
      </w:r>
      <w:r>
        <w:t>тер. Многолетние наблюдения (от 3 до 6 лет) за одними и теми же живо</w:t>
      </w:r>
      <w:r>
        <w:t>т</w:t>
      </w:r>
      <w:r>
        <w:t>ными показали, что патологический процесс может локализоваться, ост</w:t>
      </w:r>
      <w:r>
        <w:t>а</w:t>
      </w:r>
      <w:r>
        <w:lastRenderedPageBreak/>
        <w:t>ваясь неизменным.</w:t>
      </w:r>
      <w:r w:rsidR="0047197F">
        <w:t xml:space="preserve"> </w:t>
      </w:r>
      <w:r>
        <w:t>Во всех случаях данная патология зарегистрирована у коров 3 и старше лактации. Можно допустить, что малая встречаемость склероза у коров на Дальнем Востоке обусловлена коротким (2,8-3,2) ср</w:t>
      </w:r>
      <w:r>
        <w:t>о</w:t>
      </w:r>
      <w:r>
        <w:t>ком хозяйственного использования. По данным кафедры ветеринарии Приморского СХИ за 1960-1962 гг. в учебном хозяйстве из 15 коров со склерозом яичников - 12 были старше 7 лактации.</w:t>
      </w:r>
    </w:p>
    <w:p w:rsidR="00F4654E" w:rsidRDefault="00F4654E">
      <w:pPr>
        <w:pStyle w:val="a6"/>
      </w:pPr>
      <w:r>
        <w:t>По нашим наблюдениям при субклиническом отравлении глубок</w:t>
      </w:r>
      <w:r>
        <w:t>о</w:t>
      </w:r>
      <w:r>
        <w:t>стельных коров нитратами и повышенном содержании в крови метгемо</w:t>
      </w:r>
      <w:r>
        <w:t>г</w:t>
      </w:r>
      <w:r>
        <w:t>лобина (более 10%) отмечено увеличение количества больных склерозом. Однако и в данном случае эта патология развивалась на фоне задержания последа и эндометритов.</w:t>
      </w:r>
      <w:r w:rsidR="0047197F">
        <w:t xml:space="preserve"> </w:t>
      </w:r>
      <w:r>
        <w:t>Процент коров в стаде с признаками склероза яичников может сл</w:t>
      </w:r>
      <w:r>
        <w:t>у</w:t>
      </w:r>
      <w:r>
        <w:t>жить показателем технологического и ветеринарного благополучия фермы за ряд лет. Так как слабый и длительно действующий отрицательный фа</w:t>
      </w:r>
      <w:r>
        <w:t>к</w:t>
      </w:r>
      <w:r>
        <w:t>тор или их совокупность в конечном итоге приводят к необратимым изм</w:t>
      </w:r>
      <w:r>
        <w:t>е</w:t>
      </w:r>
      <w:r>
        <w:t>нениям в структуре тканей яичников.</w:t>
      </w:r>
    </w:p>
    <w:p w:rsidR="00F4654E" w:rsidRDefault="00F4654E">
      <w:pPr>
        <w:pStyle w:val="a4"/>
      </w:pPr>
      <w:r>
        <w:t>УДК 619:616.98:579.842.11</w:t>
      </w:r>
    </w:p>
    <w:p w:rsidR="00F4654E" w:rsidRDefault="00F4654E">
      <w:pPr>
        <w:pStyle w:val="1"/>
      </w:pPr>
      <w:bookmarkStart w:id="2267" w:name="_Toc10731314"/>
      <w:bookmarkStart w:id="2268" w:name="_Toc10731975"/>
      <w:bookmarkStart w:id="2269" w:name="_Toc10891821"/>
      <w:bookmarkStart w:id="2270" w:name="_Toc10892496"/>
      <w:bookmarkStart w:id="2271" w:name="_Toc11390359"/>
      <w:bookmarkStart w:id="2272" w:name="_Toc11840042"/>
      <w:bookmarkStart w:id="2273" w:name="_Toc11937578"/>
      <w:r>
        <w:t>МОНИТОРИНГ ОТЕЧНОЙ БОЛЕЗНИ СВИНЕЙ В БЕЛГОРОДСКОЙ ОБЛАСТИ</w:t>
      </w:r>
      <w:bookmarkEnd w:id="2267"/>
      <w:bookmarkEnd w:id="2268"/>
      <w:bookmarkEnd w:id="2269"/>
      <w:bookmarkEnd w:id="2270"/>
      <w:bookmarkEnd w:id="2271"/>
      <w:bookmarkEnd w:id="2272"/>
      <w:bookmarkEnd w:id="2273"/>
    </w:p>
    <w:p w:rsidR="00F4654E" w:rsidRDefault="00F4654E">
      <w:pPr>
        <w:pStyle w:val="2"/>
      </w:pPr>
      <w:bookmarkStart w:id="2274" w:name="_Toc10731315"/>
      <w:bookmarkStart w:id="2275" w:name="_Toc10731976"/>
      <w:bookmarkStart w:id="2276" w:name="_Toc10891822"/>
      <w:bookmarkStart w:id="2277" w:name="_Toc10892497"/>
      <w:bookmarkStart w:id="2278" w:name="_Toc11390360"/>
      <w:bookmarkStart w:id="2279" w:name="_Toc11937579"/>
      <w:r>
        <w:t xml:space="preserve">Коломыцев А.А., Дмитренко В.В., Лукьянов С.Б., Чевелева С.С., </w:t>
      </w:r>
      <w:r>
        <w:br/>
        <w:t>Носков С.Б.*, Новоточинов О.В.*, Хмельков Я.Т.**, Ключников Ю.А.***</w:t>
      </w:r>
      <w:bookmarkEnd w:id="2274"/>
      <w:bookmarkEnd w:id="2275"/>
      <w:bookmarkEnd w:id="2276"/>
      <w:bookmarkEnd w:id="2277"/>
      <w:bookmarkEnd w:id="2278"/>
      <w:bookmarkEnd w:id="2279"/>
    </w:p>
    <w:p w:rsidR="00F4654E" w:rsidRDefault="00F4654E">
      <w:pPr>
        <w:pStyle w:val="a5"/>
      </w:pPr>
      <w:r>
        <w:t>Всероссийский НИИ ветеринарной вирусологии и микробиологии</w:t>
      </w:r>
      <w:r>
        <w:br/>
        <w:t xml:space="preserve">*Белгородская областная ветлаборатория </w:t>
      </w:r>
      <w:r>
        <w:br/>
        <w:t xml:space="preserve">**Красногвардейская СББЖ, Белгородская область </w:t>
      </w:r>
      <w:r>
        <w:br/>
        <w:t>***Колхоз им. Фрунзе, Белгородская область</w:t>
      </w:r>
    </w:p>
    <w:p w:rsidR="00F4654E" w:rsidRDefault="00F4654E">
      <w:pPr>
        <w:pStyle w:val="a6"/>
      </w:pPr>
      <w:r>
        <w:t>Отечная болезнь  (ОБП) или энтеротоксемия поросят  распространена в Российской Федерации на значительной территории. Если в 1999 г. вспышки болезни отмечали в 24 субъектах России, то в 2000 г. ее   регис</w:t>
      </w:r>
      <w:r>
        <w:t>т</w:t>
      </w:r>
      <w:r>
        <w:t>рировали в 26 субъектах. Наиболее неблагополучными (от 13 до 110 вспышек в год) оказались Белгородская, Волгоградская, Курская, Липе</w:t>
      </w:r>
      <w:r>
        <w:t>ц</w:t>
      </w:r>
      <w:r>
        <w:t xml:space="preserve">кая и  Тамбовская области. </w:t>
      </w:r>
    </w:p>
    <w:p w:rsidR="00F4654E" w:rsidRDefault="00F4654E">
      <w:pPr>
        <w:pStyle w:val="a6"/>
      </w:pPr>
      <w:r>
        <w:t>В Белгородской области как одной из ведущих областей Центрально- Черноземной зоны страны, занимающей площадь более 3 млн. 362 тыс. га, свиноводство является  наиболее развитой отраслью животноводства - на 1 января 2002 г. в области насчитывалось около 506 тыс. свиней. Из этого числа свинопоголовья почти  половина приходится на долю мелкотова</w:t>
      </w:r>
      <w:r>
        <w:t>р</w:t>
      </w:r>
      <w:r>
        <w:t xml:space="preserve">ных ферм и частного сектора. </w:t>
      </w:r>
    </w:p>
    <w:p w:rsidR="00F4654E" w:rsidRDefault="00F4654E">
      <w:pPr>
        <w:pStyle w:val="a6"/>
      </w:pPr>
      <w:r>
        <w:t>По результатам нашего эпизоотологического мониторинга следует, что   Белгородская область находится на 5-ом месте среди субъектов Ро</w:t>
      </w:r>
      <w:r>
        <w:t>с</w:t>
      </w:r>
      <w:r>
        <w:t>сии, наиболее неблагополучных по этой болезни. В 1999 г. по данным, представленным   Департаментом  ветеринарии Минсельхоза России (Яр</w:t>
      </w:r>
      <w:r>
        <w:t>е</w:t>
      </w:r>
      <w:r>
        <w:t>менко Н.А.), в</w:t>
      </w:r>
      <w:r>
        <w:rPr>
          <w:i/>
        </w:rPr>
        <w:t xml:space="preserve"> </w:t>
      </w:r>
      <w:r>
        <w:t xml:space="preserve">Белгородской области было зарегистрировано 6 вспышек </w:t>
      </w:r>
      <w:r>
        <w:lastRenderedPageBreak/>
        <w:t>ОБП. Заболело 13 и пало 12 голов свиней. Количество заболевших на 1 н</w:t>
      </w:r>
      <w:r>
        <w:t>е</w:t>
      </w:r>
      <w:r>
        <w:t>благополучный пункт (коэффициент очаговости) составило 2,1, число павших животных по отношению к заболевшим свиньям (коэффициент л</w:t>
      </w:r>
      <w:r>
        <w:t>е</w:t>
      </w:r>
      <w:r>
        <w:t>тальности) составило 92,3%. Это свидетельствует о регистрации заболев</w:t>
      </w:r>
      <w:r>
        <w:t>а</w:t>
      </w:r>
      <w:r>
        <w:t>ния только в личных подворьях. В 2000 г. эпизоотическая напряженность по ОБП повысилась. Число неблагополучных пунктов увеличилось   до 13, коэффициенты очаговости и летальности составили 1,8 и  100% соответс</w:t>
      </w:r>
      <w:r>
        <w:t>т</w:t>
      </w:r>
      <w:r>
        <w:t xml:space="preserve">венно. Наибольшее число неблагополучных пунктов отмечено   во 2-ом квартале (5 вспышек или 38,3% от годового показателя), наименьшее в 4-ом квартале (2 вспышки или 15,3%).  </w:t>
      </w:r>
    </w:p>
    <w:p w:rsidR="00F4654E" w:rsidRDefault="00F4654E">
      <w:pPr>
        <w:pStyle w:val="a6"/>
      </w:pPr>
      <w:r>
        <w:t>Параллельно с данными, полученными на федеральном уровне,  пр</w:t>
      </w:r>
      <w:r>
        <w:t>о</w:t>
      </w:r>
      <w:r>
        <w:t>водился эпизоотологический анализ ОБП по результатам отчетов райо</w:t>
      </w:r>
      <w:r>
        <w:t>н</w:t>
      </w:r>
      <w:r>
        <w:t>ных ветеринарных лабораторий, представленных областной производной лабораторией (Носков С.Б.). В основу положены сведения по исследов</w:t>
      </w:r>
      <w:r>
        <w:t>а</w:t>
      </w:r>
      <w:r>
        <w:t xml:space="preserve">нию  патологического материала от павших поросят,  направлявшегося  в районные лаборатории  для исследования на отечную  болезнь. </w:t>
      </w:r>
      <w:r>
        <w:rPr>
          <w:color w:val="000000"/>
        </w:rPr>
        <w:t>Лаборато</w:t>
      </w:r>
      <w:r>
        <w:rPr>
          <w:color w:val="000000"/>
        </w:rPr>
        <w:t>р</w:t>
      </w:r>
      <w:r>
        <w:rPr>
          <w:color w:val="000000"/>
        </w:rPr>
        <w:t>ную диагностику осуществляли  преимущественно по выделению кише</w:t>
      </w:r>
      <w:r>
        <w:rPr>
          <w:color w:val="000000"/>
        </w:rPr>
        <w:t>ч</w:t>
      </w:r>
      <w:r>
        <w:t>ной палочки и ее гемолитических вариантов. Установлено, что число н</w:t>
      </w:r>
      <w:r>
        <w:t>а</w:t>
      </w:r>
      <w:r>
        <w:t>правляемых проб патологического материала в период с 1992 по 1999 гг. имело тенденцию к постоянному увеличению - с 26 до 285 проб в год. Только в 2000 и 2001 гг. этот показатель снизился до  уровня 161 и 169 проб в год. В целом, отмеченный рост показателей  происходил за счет расширения  числа районов, проводивших исследования на отечную б</w:t>
      </w:r>
      <w:r>
        <w:t>о</w:t>
      </w:r>
      <w:r>
        <w:t>лезнь.  В 1992 г. исследовали патматериал только в 5 районах (Ивнянском, Яковлевском, Красногвардейском, Алексеевском, Шебекинском) и г. Бе</w:t>
      </w:r>
      <w:r>
        <w:t>л</w:t>
      </w:r>
      <w:r>
        <w:t>городе. Далее, для  лабораторных  исследований на отечную болезнь мат</w:t>
      </w:r>
      <w:r>
        <w:t>е</w:t>
      </w:r>
      <w:r>
        <w:t xml:space="preserve">риал из хозяйств начали направлять  и  другие районы. В 1993 г. к числу районов, проводящих исследования на ОБП добавилось еще в 4 района, в 1995 г. только  1, в  1996 г. – 3, в 1997 г.– 1 (Ракитянский). В итоге на 2001 г. стало 15 районов, проводящих лабораторный контроль на ОБП. Далее увеличение числа районов, контролирующих ситуацию по этой болезни, прекратилось. </w:t>
      </w:r>
    </w:p>
    <w:p w:rsidR="00F4654E" w:rsidRDefault="00F4654E">
      <w:pPr>
        <w:pStyle w:val="a6"/>
      </w:pPr>
      <w:r>
        <w:t>Не оказалось сведений по исследованию патматериала в Прохоро</w:t>
      </w:r>
      <w:r>
        <w:t>в</w:t>
      </w:r>
      <w:r>
        <w:t>ском и других районах области. Эффективность результатов лабораторн</w:t>
      </w:r>
      <w:r>
        <w:t>о</w:t>
      </w:r>
      <w:r>
        <w:t>го подтверждения диагноза на отечную болезнь, определяемая по колич</w:t>
      </w:r>
      <w:r>
        <w:t>е</w:t>
      </w:r>
      <w:r>
        <w:t>ству положительных проб от всех подвергнутых исследованию, была ра</w:t>
      </w:r>
      <w:r>
        <w:t>з</w:t>
      </w:r>
      <w:r>
        <w:t>личная. Относительное число положительных проб  колебалось от 8 до 85%. Наибольшую озабоченность ветспециалистов по подтверждению ОБП отметили в Ивнянском, Чернянском, Губкинском, Корочанском и  Белгородском ра</w:t>
      </w:r>
      <w:r>
        <w:t>й</w:t>
      </w:r>
      <w:r>
        <w:t>онах. Ежегодно для исследований   направляли от 9 до 78 проб. Однако следует отметить, что в силу определенных обстоятельств, показатели лабораторных исследований не совпадали с данными, пода</w:t>
      </w:r>
      <w:r>
        <w:t>н</w:t>
      </w:r>
      <w:r>
        <w:t>ными Управлением ветеринарии области в Департамент ветеринарии Ро</w:t>
      </w:r>
      <w:r>
        <w:t>с</w:t>
      </w:r>
      <w:r>
        <w:lastRenderedPageBreak/>
        <w:t>сии. Еще большая разница в статистическом учете регистрации болезни могла  быть, если бы фиксировались  все   случаи гибели свиней от ОБП.</w:t>
      </w:r>
    </w:p>
    <w:p w:rsidR="00F4654E" w:rsidRDefault="00F4654E">
      <w:pPr>
        <w:pStyle w:val="a6"/>
      </w:pPr>
      <w:r>
        <w:t>Отечная болезнь в области распространена как в частном   секторе, так и на крупных свинофермах и свинокомплексах. В области среди св</w:t>
      </w:r>
      <w:r>
        <w:t>и</w:t>
      </w:r>
      <w:r>
        <w:t>нокомплексов, неблагополучных  по  ОБП, можно назвать «Губкинский»        одноименного района, построенный по итальянской и русской технолог</w:t>
      </w:r>
      <w:r>
        <w:t>и</w:t>
      </w:r>
      <w:r>
        <w:t>ям. Заболевание там возникло около  1990 г.,  за 3 года до возникновения чумы свиней. Однако сведения по исследованию на ОБП стали появляться  в отчетах с 1997 г. Также примерно с 1990 г. стали регистрировать забол</w:t>
      </w:r>
      <w:r>
        <w:t>е</w:t>
      </w:r>
      <w:r>
        <w:t>вание ОБП среди поросят на свинокомплексе в колхозе им. Фрунзе Белг</w:t>
      </w:r>
      <w:r>
        <w:t>о</w:t>
      </w:r>
      <w:r>
        <w:t>родского района производственной мощностью в 47 тыс. свиней. Помещ</w:t>
      </w:r>
      <w:r>
        <w:t>е</w:t>
      </w:r>
      <w:r>
        <w:t>ния для свиней, в отличие от предыдущего свинокомплекса,  здесь п</w:t>
      </w:r>
      <w:r>
        <w:t>о</w:t>
      </w:r>
      <w:r>
        <w:t>строены по павильо</w:t>
      </w:r>
      <w:r>
        <w:t>н</w:t>
      </w:r>
      <w:r>
        <w:t>ному типу и размещены в 5 населенных пунктах. На данный момент уровень падежа среди поросят отъемного возраста  дох</w:t>
      </w:r>
      <w:r>
        <w:t>о</w:t>
      </w:r>
      <w:r>
        <w:t>дит до 3 %, что оказ</w:t>
      </w:r>
      <w:r>
        <w:t>а</w:t>
      </w:r>
      <w:r>
        <w:t xml:space="preserve">лось связанным  со стрессовыми ситуациями.      </w:t>
      </w:r>
    </w:p>
    <w:p w:rsidR="0047197F" w:rsidRDefault="00F4654E">
      <w:pPr>
        <w:pStyle w:val="a6"/>
      </w:pPr>
      <w:r>
        <w:t>По результатам  эпизоотологического анализа установлено также ш</w:t>
      </w:r>
      <w:r>
        <w:t>и</w:t>
      </w:r>
      <w:r>
        <w:t>рокое распространение болезни во многих  населенных пунктах области.  В качестве одного из примеров можно назвать значительное распростран</w:t>
      </w:r>
      <w:r>
        <w:t>е</w:t>
      </w:r>
      <w:r>
        <w:t>ние ОБП в Прохоровском районе, хотя сведения о лабораторной диагн</w:t>
      </w:r>
      <w:r>
        <w:t>о</w:t>
      </w:r>
      <w:r>
        <w:t>стике там отсутствуют. Так, в  селе Радьковка по данным осмотра  и вскрытия  животных, ОБП диагностируют уже 14 лет, начиная с 1989 г. Проявлялась  она,  как правило, в  классической форме: отказом от корма, вялостью, парезами конечностей, отсутствием повышения температуры тела, кратковременным течением болезни – около суток (с обеда до сл</w:t>
      </w:r>
      <w:r>
        <w:t>е</w:t>
      </w:r>
      <w:r>
        <w:t>дующего утра) и  высокой летальностью. На вскрытии обнаруживали от</w:t>
      </w:r>
      <w:r>
        <w:t>е</w:t>
      </w:r>
      <w:r>
        <w:t>ки под кожей, на брыжейках толстого отдела кишечника. Заболевали пор</w:t>
      </w:r>
      <w:r>
        <w:t>о</w:t>
      </w:r>
      <w:r>
        <w:t>сята 2 месячного возраста, иногда и более раннего или старшего возраста, преимущественно купленные в том же населенном пункте у хозяев, соде</w:t>
      </w:r>
      <w:r>
        <w:t>р</w:t>
      </w:r>
      <w:r>
        <w:t xml:space="preserve">жащих свиноматок. Как следствие непрерывной гибели поросят, «свиней в селе практически перестали держать». </w:t>
      </w:r>
    </w:p>
    <w:p w:rsidR="00F4654E" w:rsidRDefault="00F4654E">
      <w:pPr>
        <w:pStyle w:val="a6"/>
      </w:pPr>
      <w:r>
        <w:t>Характерной чертой ведения свиноводства в частном секторе области, является пассивное отношение владельцев животных, к  извещению вет</w:t>
      </w:r>
      <w:r>
        <w:t>е</w:t>
      </w:r>
      <w:r>
        <w:t>ринарной службы района о всех случаях заболевания свиней ОБП. Почти всегда, случившаяся  гибель свиней, оставалась неизвестной ветспециал</w:t>
      </w:r>
      <w:r>
        <w:t>и</w:t>
      </w:r>
      <w:r>
        <w:t>стам. Одной из причин скрытия информации является скоропостижная г</w:t>
      </w:r>
      <w:r>
        <w:t>и</w:t>
      </w:r>
      <w:r>
        <w:t xml:space="preserve">бель свиней и отсутствие страхования животных.   </w:t>
      </w:r>
    </w:p>
    <w:p w:rsidR="00F4654E" w:rsidRDefault="00F4654E">
      <w:pPr>
        <w:pStyle w:val="a6"/>
      </w:pPr>
      <w:r>
        <w:t>Истинные масштабы, распространения заболевания по населенным пунктам района, можно лишь приблизительно рассмотреть на примере    Красногвардейского района, основываясь на результаты опроса местных жителей. Район неблагополучен по ОБП  с 1992 г. (срок наблюдения). И   50 населенных пунктов района только в 10-12 наблюдается стационарное проявление заболевания, в остальных болезнь может проявляться пери</w:t>
      </w:r>
      <w:r>
        <w:t>о</w:t>
      </w:r>
      <w:r>
        <w:t>дически. Летальность  среди заболевших поросят достигает  90-100 %. Б</w:t>
      </w:r>
      <w:r>
        <w:t>о</w:t>
      </w:r>
      <w:r>
        <w:lastRenderedPageBreak/>
        <w:t>лезнь появляется в основном в весеннее время. Но это, как нам кажется, зависит не от природно – климатических условий, а от того, что именно тогда  производится массовая закупка поросят для откорма и убоя их в зимний  сезон.</w:t>
      </w:r>
    </w:p>
    <w:p w:rsidR="00F4654E" w:rsidRDefault="00F4654E">
      <w:pPr>
        <w:pStyle w:val="a6"/>
      </w:pPr>
      <w:r>
        <w:t>Анализ литературной и собственной информации показывает, что факторы индуцирующие возникновение ОБП в Белгородской области как и в России сходны. Это комплекс таких причин  как однообразное белк</w:t>
      </w:r>
      <w:r>
        <w:t>о</w:t>
      </w:r>
      <w:r>
        <w:t>вое кормление, недостаток витаминов и микроэлементов, отсутствие м</w:t>
      </w:r>
      <w:r>
        <w:t>о</w:t>
      </w:r>
      <w:r>
        <w:t>циона, длительное и без контрольное применение антибиотиков. Также не мало важное значение имеют возникающие стрессы в организме (ранний отъем, резкая перемена кормов и т.д.), что приводит к изменению кише</w:t>
      </w:r>
      <w:r>
        <w:t>ч</w:t>
      </w:r>
      <w:r>
        <w:t>ной микрофлоры. В  период перестройки организма после отъема создаю</w:t>
      </w:r>
      <w:r>
        <w:t>т</w:t>
      </w:r>
      <w:r>
        <w:t>ся благоприятные условия для селекции  гемолитических штаммов кише</w:t>
      </w:r>
      <w:r>
        <w:t>ч</w:t>
      </w:r>
      <w:r>
        <w:t>ной палочки – патогенной для поросят.</w:t>
      </w:r>
    </w:p>
    <w:p w:rsidR="00F4654E" w:rsidRDefault="00F4654E">
      <w:pPr>
        <w:pStyle w:val="a6"/>
      </w:pPr>
      <w:r>
        <w:t>Для лечения и профилактики ОБП в области поросятам назначают а</w:t>
      </w:r>
      <w:r>
        <w:t>н</w:t>
      </w:r>
      <w:r>
        <w:t>тибиотики, противогистаминные лекарства, витаминные препараты, се</w:t>
      </w:r>
      <w:r>
        <w:t>н</w:t>
      </w:r>
      <w:r>
        <w:t>ную муку, а также вводят вакцины. Лечение и профилактику, применя</w:t>
      </w:r>
      <w:r>
        <w:t>е</w:t>
      </w:r>
      <w:r>
        <w:t>мую в Белгородской области можно дополнить примером деятельности ветспециалистов  колхоза имени Фрунзе Белгородского района. Для пр</w:t>
      </w:r>
      <w:r>
        <w:t>о</w:t>
      </w:r>
      <w:r>
        <w:t>филактики отечной болезни в хозяйстве применяют вакцину согласно «Н</w:t>
      </w:r>
      <w:r>
        <w:t>а</w:t>
      </w:r>
      <w:r>
        <w:t>ставления по применению вакцины против эшерихиоза животных (Коли- Вак К-88, К-99; 987Р, F 41, ТЛ- и ТС-анатоксины)», разработанную в  ВГНКИ ветпрепаратов и выпускаемую Армавирской биофабрикой.  Им</w:t>
      </w:r>
      <w:r>
        <w:t>е</w:t>
      </w:r>
      <w:r>
        <w:t>ются также сведения о производстве вакцины против отечной болезни п</w:t>
      </w:r>
      <w:r>
        <w:t>о</w:t>
      </w:r>
      <w:r>
        <w:t>росят из местных штаммов в Белгородской областной ветеринарной лаб</w:t>
      </w:r>
      <w:r>
        <w:t>о</w:t>
      </w:r>
      <w:r>
        <w:t>раторией.</w:t>
      </w:r>
      <w:r>
        <w:tab/>
      </w:r>
    </w:p>
    <w:p w:rsidR="00F4654E" w:rsidRDefault="00F4654E">
      <w:pPr>
        <w:pStyle w:val="a4"/>
      </w:pPr>
      <w:r>
        <w:t>УДК 619.616.995</w:t>
      </w:r>
    </w:p>
    <w:p w:rsidR="00F4654E" w:rsidRDefault="00F4654E">
      <w:pPr>
        <w:pStyle w:val="1"/>
      </w:pPr>
      <w:bookmarkStart w:id="2280" w:name="_Toc10731322"/>
      <w:bookmarkStart w:id="2281" w:name="_Toc10731983"/>
      <w:bookmarkStart w:id="2282" w:name="_Toc10891829"/>
      <w:bookmarkStart w:id="2283" w:name="_Toc10892504"/>
      <w:bookmarkStart w:id="2284" w:name="_Toc11390361"/>
      <w:bookmarkStart w:id="2285" w:name="_Toc11840044"/>
      <w:bookmarkStart w:id="2286" w:name="_Toc11937580"/>
      <w:r>
        <w:t>СПЕЦИФИЧЕСКАЯ ПРОФИЛАКТИКА ЛАРВАЛЬНЫХ ТЕНИИДОЗОВ</w:t>
      </w:r>
      <w:bookmarkEnd w:id="2280"/>
      <w:bookmarkEnd w:id="2281"/>
      <w:bookmarkEnd w:id="2282"/>
      <w:bookmarkEnd w:id="2283"/>
      <w:bookmarkEnd w:id="2284"/>
      <w:bookmarkEnd w:id="2285"/>
      <w:bookmarkEnd w:id="2286"/>
    </w:p>
    <w:p w:rsidR="00F4654E" w:rsidRDefault="00F4654E">
      <w:pPr>
        <w:pStyle w:val="2"/>
      </w:pPr>
      <w:bookmarkStart w:id="2287" w:name="_Toc10731323"/>
      <w:bookmarkStart w:id="2288" w:name="_Toc10731984"/>
      <w:bookmarkStart w:id="2289" w:name="_Toc10891830"/>
      <w:bookmarkStart w:id="2290" w:name="_Toc10892505"/>
      <w:bookmarkStart w:id="2291" w:name="_Toc11390362"/>
      <w:bookmarkStart w:id="2292" w:name="_Toc11937581"/>
      <w:r>
        <w:t>Косминков Н.Е., Верховская Г.Л., Лайпанов Б.К.</w:t>
      </w:r>
      <w:bookmarkEnd w:id="2287"/>
      <w:bookmarkEnd w:id="2288"/>
      <w:bookmarkEnd w:id="2289"/>
      <w:bookmarkEnd w:id="2290"/>
      <w:bookmarkEnd w:id="2291"/>
      <w:bookmarkEnd w:id="2292"/>
    </w:p>
    <w:p w:rsidR="00F4654E" w:rsidRDefault="00F4654E">
      <w:pPr>
        <w:pStyle w:val="a5"/>
      </w:pPr>
      <w:r>
        <w:t>Московский государственный университет прикладной биотехнологии</w:t>
      </w:r>
    </w:p>
    <w:p w:rsidR="00F4654E" w:rsidRDefault="00F4654E">
      <w:pPr>
        <w:pStyle w:val="a6"/>
      </w:pPr>
      <w:r>
        <w:t>Иммунопрофилактика гельминтозов, которая достигается иммуниз</w:t>
      </w:r>
      <w:r>
        <w:t>а</w:t>
      </w:r>
      <w:r>
        <w:t>цией животных специфическими препаратами, содержащими антигены гельминтов,  и сопровождается формированием защитной реакции к п</w:t>
      </w:r>
      <w:r>
        <w:t>о</w:t>
      </w:r>
      <w:r>
        <w:t>следующему заражению, является одним из перспективных направлений борьбы с гельминтозами.</w:t>
      </w:r>
    </w:p>
    <w:p w:rsidR="00F4654E" w:rsidRDefault="00F4654E">
      <w:pPr>
        <w:pStyle w:val="a6"/>
      </w:pPr>
      <w:r>
        <w:t>Наши исследования в этом направлении проводились при цистице</w:t>
      </w:r>
      <w:r>
        <w:t>р</w:t>
      </w:r>
      <w:r>
        <w:t>козах крупного рогатого скота, северных оленей и овец и ценурозе цере</w:t>
      </w:r>
      <w:r>
        <w:t>б</w:t>
      </w:r>
      <w:r>
        <w:t>ральном овец. Данные заболевания широко распространены среди сел</w:t>
      </w:r>
      <w:r>
        <w:t>ь</w:t>
      </w:r>
      <w:r>
        <w:t>скохозяйственных животных. Так, цистицеркоз крупного рогатого скота встречается на территории России в среднем в 1-2 % случаев, а в отдел</w:t>
      </w:r>
      <w:r>
        <w:t>ь</w:t>
      </w:r>
      <w:r>
        <w:t xml:space="preserve">ных партиях скота, поступающего на убой, регистрируется в пределах до </w:t>
      </w:r>
      <w:r>
        <w:lastRenderedPageBreak/>
        <w:t>15-20 % и более. Экстенсивность поражения северных оленей достигает в отдельных случаях 60-90 %. Ценуроз в овцеводческих регионах поражает от 5 до 15 % животных.</w:t>
      </w:r>
    </w:p>
    <w:p w:rsidR="00F4654E" w:rsidRDefault="00F4654E">
      <w:pPr>
        <w:pStyle w:val="a6"/>
      </w:pPr>
      <w:r>
        <w:t>Все вышесказанное настоятельно требует изыскания более соверше</w:t>
      </w:r>
      <w:r>
        <w:t>н</w:t>
      </w:r>
      <w:r>
        <w:t>ных средств борьбы и профилактики с данными заболеваниями животных. Таким средством, на наш взгляд, является специфическая иммунизация животных. Многочисленные сообщения об успешных опытах по  иммун</w:t>
      </w:r>
      <w:r>
        <w:t>и</w:t>
      </w:r>
      <w:r>
        <w:t>зации при ряде тканевых гельминтозах являются подтверждением этого мнения.</w:t>
      </w:r>
    </w:p>
    <w:p w:rsidR="00F4654E" w:rsidRDefault="00F4654E">
      <w:pPr>
        <w:pStyle w:val="a6"/>
      </w:pPr>
      <w:r>
        <w:t>Для выработки иммунитета к гельминтам используют различные вида антигенов.  Н.Е. Косминков (1986-2001) пришел к выводу, что наиболее иммуногенным субстратом при вакцинации животных против тканевых тениидозов следует считать мигрирующие онкосферы и начальные 2-3 с</w:t>
      </w:r>
      <w:r>
        <w:t>у</w:t>
      </w:r>
      <w:r>
        <w:t>точные стадии их развития. Малая дифференцировка тканей этой стадии паразита не перегружает иммунную систему хозяина лишним количеством антигенных структур и организму легче справиться именно с этой стадией, так как она не достигла еще места своей локализации и не превратилась в более мощный организм, от которого животному трудно избавиться. Им была получена вакцина, основу которой составляли онкосферы тений и продукты их жизнедеятельности после культивирования в течение двух суток в питательной среде.</w:t>
      </w:r>
    </w:p>
    <w:p w:rsidR="00F4654E" w:rsidRDefault="00F4654E">
      <w:pPr>
        <w:pStyle w:val="a6"/>
      </w:pPr>
      <w:r>
        <w:t>Результаты вакцинации крупного рогатого скота против цистицеркоза показали, что у животных развивается иммунитет, способный предохр</w:t>
      </w:r>
      <w:r>
        <w:t>а</w:t>
      </w:r>
      <w:r>
        <w:t>нить животных от заражения в течение одного года (период наблюдений).</w:t>
      </w:r>
    </w:p>
    <w:p w:rsidR="00F4654E" w:rsidRDefault="00F4654E">
      <w:pPr>
        <w:pStyle w:val="a6"/>
      </w:pPr>
      <w:r>
        <w:t>При однократной и двукратной (с интервалом 10 суток) иммунизации 77 северных оленей против возбудителя С. krabei установлено, что одн</w:t>
      </w:r>
      <w:r>
        <w:t>о</w:t>
      </w:r>
      <w:r>
        <w:t>кратная иммунизация предохраняет от заражения 34,4 % животных, а дв</w:t>
      </w:r>
      <w:r>
        <w:t>у</w:t>
      </w:r>
      <w:r>
        <w:t>кратная – 61,5 % поставленных в опыт оленят. При этом впервые было о</w:t>
      </w:r>
      <w:r>
        <w:t>т</w:t>
      </w:r>
      <w:r>
        <w:t>мечено, что у заразившихся животных в 46 % и 77 % случаях соответс</w:t>
      </w:r>
      <w:r>
        <w:t>т</w:t>
      </w:r>
      <w:r>
        <w:t>венно цистицерки оказались погибшими. У контрольных животных цист</w:t>
      </w:r>
      <w:r>
        <w:t>и</w:t>
      </w:r>
      <w:r>
        <w:t>церки во всех случаях оказались жизнеспособными.</w:t>
      </w:r>
    </w:p>
    <w:p w:rsidR="00F4654E" w:rsidRDefault="00F4654E">
      <w:pPr>
        <w:pStyle w:val="a6"/>
      </w:pPr>
      <w:r>
        <w:t>Исследования по специфической профилактике ценуроза овец пров</w:t>
      </w:r>
      <w:r>
        <w:t>о</w:t>
      </w:r>
      <w:r>
        <w:t>дились в разных регионах страны, в различных климатических зонах и  различной эпизоотической ситуацией по данному заболеванию и разли</w:t>
      </w:r>
      <w:r>
        <w:t>ч</w:t>
      </w:r>
      <w:r>
        <w:t>ной технологией содержания животных. Установлено, что иммунизация овец против ценуроза является эффективным методом борьбы с этим заб</w:t>
      </w:r>
      <w:r>
        <w:t>о</w:t>
      </w:r>
      <w:r>
        <w:t>леванием, позволяющим за короткий срок (2-3 года) снизить заболева</w:t>
      </w:r>
      <w:r>
        <w:t>е</w:t>
      </w:r>
      <w:r>
        <w:t xml:space="preserve">мость ценурозом до 1-2 %. В животноводческих хозяйствах Нечерноземья со стационарным содержанием овец с помощью вакцинации оздоровление от ценуроза достигалось  уже на второй год использования вакцины. Так, в племенном хозяйстве «Верхнетроицкое» Тверской области при ежегодной иммунизации ягнят текущего года рождения ценуроз регистрировали в первый год применения вакцины в 0,45 % случаев, на второй – в 0,47 % </w:t>
      </w:r>
      <w:r>
        <w:lastRenderedPageBreak/>
        <w:t>случаев, а в последующем ценуроз не регистрировали вообще. Аналоги</w:t>
      </w:r>
      <w:r>
        <w:t>ч</w:t>
      </w:r>
      <w:r>
        <w:t>ные результаты были получены при иммунизации ягнят против ценуроза и в других хозяйствах области. В предшествующие годы ценуроз в этих х</w:t>
      </w:r>
      <w:r>
        <w:t>о</w:t>
      </w:r>
      <w:r>
        <w:t>зяйствах регистрировался в пределах 15-20 % ежегодно.</w:t>
      </w:r>
    </w:p>
    <w:p w:rsidR="00F4654E" w:rsidRDefault="00F4654E">
      <w:pPr>
        <w:pStyle w:val="a6"/>
      </w:pPr>
      <w:r>
        <w:t>Иммунизация ягнят на Северном Кавказе при отгонной системе с</w:t>
      </w:r>
      <w:r>
        <w:t>о</w:t>
      </w:r>
      <w:r>
        <w:t>держания овец показала, что при вакцинации ягнят первого года жизни з</w:t>
      </w:r>
      <w:r>
        <w:t>а</w:t>
      </w:r>
      <w:r>
        <w:t>болеваемость ценурозом снижается с 8-10,5 % до 1,3 % .</w:t>
      </w:r>
    </w:p>
    <w:p w:rsidR="00F4654E" w:rsidRDefault="00F4654E">
      <w:pPr>
        <w:pStyle w:val="a6"/>
      </w:pPr>
      <w:r>
        <w:t>Проведенные широкие производственные  испытания вакцины против ценуроза в период 1992-1995 гг. в хозяйствах Восточно-Казахстанской о</w:t>
      </w:r>
      <w:r>
        <w:t>б</w:t>
      </w:r>
      <w:r>
        <w:t>ласти наглядно показали высокую профилактическую результативность специфической профилактики, при которой отмечено снижение забол</w:t>
      </w:r>
      <w:r>
        <w:t>е</w:t>
      </w:r>
      <w:r>
        <w:t>ваемости ценурозом с 10-15 % до 0,01 % без проведения каких-либо пр</w:t>
      </w:r>
      <w:r>
        <w:t>о</w:t>
      </w:r>
      <w:r>
        <w:t>тивоценурозных мероприятий, предусмотренных действующей инстру</w:t>
      </w:r>
      <w:r>
        <w:t>к</w:t>
      </w:r>
      <w:r>
        <w:t>цией по борьбе с этим заболеванием.</w:t>
      </w:r>
    </w:p>
    <w:p w:rsidR="00F4654E" w:rsidRDefault="00F4654E">
      <w:pPr>
        <w:pStyle w:val="a6"/>
      </w:pPr>
      <w:r>
        <w:t>Проведенные исследования по иммунизации ягнят первого года жи</w:t>
      </w:r>
      <w:r>
        <w:t>з</w:t>
      </w:r>
      <w:r>
        <w:t>ни  показали, что вакцинацию следует проводить не ранее, чем ягнята до</w:t>
      </w:r>
      <w:r>
        <w:t>с</w:t>
      </w:r>
      <w:r>
        <w:t>тигнут 1,5 месячного возраста, а ревакцинацию – через 10-15 дней после первого введения вакцины, за месяц до выгона животных на пастбище. Т</w:t>
      </w:r>
      <w:r>
        <w:t>а</w:t>
      </w:r>
      <w:r>
        <w:t>кая схема обработок животных приводила за 2-3 года к резкому снижению заболеваемости овец ценурозом, а в  последующие 1-2 года – к полной л</w:t>
      </w:r>
      <w:r>
        <w:t>и</w:t>
      </w:r>
      <w:r>
        <w:t>квидации инвазии в хозяйствах. При этом все старшие возрастные группы животных обработке не подвергались.</w:t>
      </w:r>
    </w:p>
    <w:p w:rsidR="00F4654E" w:rsidRDefault="00F4654E">
      <w:pPr>
        <w:pStyle w:val="a6"/>
      </w:pPr>
      <w:r>
        <w:t>В 1996 г. на основе разработанной ранее вакцины была создана  м</w:t>
      </w:r>
      <w:r>
        <w:t>о</w:t>
      </w:r>
      <w:r>
        <w:t>дифицированная вакцина против ценуроза, содержащая двухсуточную культуру проценурусов в 1 мл в количестве 1900-2100 экз. в среде 199 с добавлением 8 % от объема сыворотки крови крупного рогатого скота, 10 % геля гидроокиси алюминия и 0,2 % формалина в конечной концентрации к объему в качестве консерванта.</w:t>
      </w:r>
    </w:p>
    <w:p w:rsidR="00F4654E" w:rsidRDefault="00F4654E">
      <w:pPr>
        <w:pStyle w:val="a6"/>
      </w:pPr>
      <w:r>
        <w:t>Изучение сезонной и возрастной динамики гельминтозов овец в усл</w:t>
      </w:r>
      <w:r>
        <w:t>о</w:t>
      </w:r>
      <w:r>
        <w:t>виях отгонно-стойлового содержания овец в Мало-Дербетовском районе Республики Калмыкия, расположенного в зоне сухих степей и практику</w:t>
      </w:r>
      <w:r>
        <w:t>ю</w:t>
      </w:r>
      <w:r>
        <w:t>щего поздний (март-май) окот, показало, что ягнята текущего года рожд</w:t>
      </w:r>
      <w:r>
        <w:t>е</w:t>
      </w:r>
      <w:r>
        <w:t xml:space="preserve">ния заражаются желудочно-кишечными стронгилятами и мониезиями в первый месяц после выгона на пастбище. Основное, массовое заражение ценурозом происходит в осенне-зимний период, после отбивки от маток, что подтверждается данными сезонной заболеваемости овец. Второй пик заболеваемости связан с весенним заражением молодняка, ослабленного в период зимовки. </w:t>
      </w:r>
    </w:p>
    <w:p w:rsidR="00F4654E" w:rsidRDefault="00F4654E">
      <w:pPr>
        <w:pStyle w:val="a6"/>
      </w:pPr>
      <w:r>
        <w:t>Основными факторами, влияющим на экстенсивность заражения я</w:t>
      </w:r>
      <w:r>
        <w:t>г</w:t>
      </w:r>
      <w:r>
        <w:t>нят ценурозом, следует считать высокую инвазированность приотарных собак мультицепсами и систему ведения овцеводства (поздний окот).</w:t>
      </w:r>
    </w:p>
    <w:p w:rsidR="00F4654E" w:rsidRDefault="00F4654E">
      <w:pPr>
        <w:pStyle w:val="a6"/>
      </w:pPr>
      <w:r>
        <w:t>В 1997 г. нами было иммунизировано 3103 голов ягнят в возрасте 2-3 месяцев. Вакцинацию проводили в начале пастбищного сезона (июнь м</w:t>
      </w:r>
      <w:r>
        <w:t>е</w:t>
      </w:r>
      <w:r>
        <w:lastRenderedPageBreak/>
        <w:t>сяц). Заболело ценурозом 49 или 1,57 % от числа вакцинированных. И</w:t>
      </w:r>
      <w:r>
        <w:t>м</w:t>
      </w:r>
      <w:r>
        <w:t>мунизация 1245 голов ягнят 1997 г. рождения, проведенная в начале авг</w:t>
      </w:r>
      <w:r>
        <w:t>у</w:t>
      </w:r>
      <w:r>
        <w:t>ста, за 30 дней до отбивки от маток, позволила полностью предохранить животных от заражения. Среди невакцинированных животных ценуроз р</w:t>
      </w:r>
      <w:r>
        <w:t>е</w:t>
      </w:r>
      <w:r>
        <w:t>гистрировали в 5,69 % случаев.</w:t>
      </w:r>
    </w:p>
    <w:p w:rsidR="00F4654E" w:rsidRDefault="00F4654E">
      <w:pPr>
        <w:pStyle w:val="a6"/>
      </w:pPr>
      <w:r>
        <w:t>В 1998 г. было иммунизировано 3094 головы ягнят из общественного сектора района. Иммунизацию проводили в начале августа за месяц до о</w:t>
      </w:r>
      <w:r>
        <w:t>т</w:t>
      </w:r>
      <w:r>
        <w:t>бивки от маток. Среди вакцинированных ценурозом заболело 57 (1,84 % от числа вакцинированных или 0,98 % от общего количества ягнят). Из н</w:t>
      </w:r>
      <w:r>
        <w:t>е</w:t>
      </w:r>
      <w:r>
        <w:t xml:space="preserve">вакцинированных 2604 гол. ягнят частного сектора ценурозом заболело 180 или 6,9 % от числа невакцинированных. </w:t>
      </w:r>
    </w:p>
    <w:p w:rsidR="00F4654E" w:rsidRDefault="00F4654E">
      <w:pPr>
        <w:pStyle w:val="a6"/>
      </w:pPr>
      <w:r>
        <w:t>Иммунизация ягнят против ценуроза вызывала у животных развитие защитной реакции, сопровождающейся значительным повышением уровня лейкоцитов и фагоцитарной активности нейтрофилов, и позволила снизить интенсивность заражения другими видами гельминтов.</w:t>
      </w:r>
    </w:p>
    <w:p w:rsidR="00F4654E" w:rsidRDefault="00F4654E">
      <w:pPr>
        <w:pStyle w:val="a6"/>
      </w:pPr>
      <w:r>
        <w:t>Поствакцинальный иммунитет сохранялся в течение 6-7 месяцев, до достижения животными  12-15 месячного возраста. Учитывая, что при в</w:t>
      </w:r>
      <w:r>
        <w:t>ы</w:t>
      </w:r>
      <w:r>
        <w:t>пасе ягнят на пастбище, они постоянно могут реинвазироваться онкосф</w:t>
      </w:r>
      <w:r>
        <w:t>е</w:t>
      </w:r>
      <w:r>
        <w:t>рами мультицепсов, иммунизация против ценуроза  позволит защитить их от заражения осенью, в период отбивки от маток, а также ранней весной при выгоне на прикошарную территорию.</w:t>
      </w:r>
    </w:p>
    <w:p w:rsidR="00F4654E" w:rsidRDefault="00F4654E">
      <w:pPr>
        <w:pStyle w:val="a6"/>
      </w:pPr>
      <w:r>
        <w:t>Таким образом, наиболее оптимальным сроком иммунизации ягнят против ценуроза в данном регионе является вакцинация за месяц до отби</w:t>
      </w:r>
      <w:r>
        <w:t>в</w:t>
      </w:r>
      <w:r>
        <w:t>ки от маток. Проведенные нами исследования по специфической проф</w:t>
      </w:r>
      <w:r>
        <w:t>и</w:t>
      </w:r>
      <w:r>
        <w:t>лактике тканевых тениидозов еще раз показали перспективность данного направления в борьбе с ними. Иммунизация животных позволяет не только сохранить поголовье животных, но и снизить интенсивность заражения другими видами гельминтов, и тем самым получать животноводческую продукцию высокого качества.</w:t>
      </w:r>
    </w:p>
    <w:p w:rsidR="00F4654E" w:rsidRPr="0047197F" w:rsidRDefault="00F4654E">
      <w:pPr>
        <w:pStyle w:val="a4"/>
      </w:pPr>
      <w:r w:rsidRPr="0047197F">
        <w:t>УДК 619:616.34 – 002 – 84:636.22/.28</w:t>
      </w:r>
    </w:p>
    <w:p w:rsidR="00F4654E" w:rsidRPr="0047197F" w:rsidRDefault="00F4654E">
      <w:pPr>
        <w:pStyle w:val="1"/>
      </w:pPr>
      <w:bookmarkStart w:id="2293" w:name="_Toc10731324"/>
      <w:bookmarkStart w:id="2294" w:name="_Toc10731985"/>
      <w:bookmarkStart w:id="2295" w:name="_Toc10891831"/>
      <w:bookmarkStart w:id="2296" w:name="_Toc10892506"/>
      <w:bookmarkStart w:id="2297" w:name="_Toc11390363"/>
      <w:bookmarkStart w:id="2298" w:name="_Toc11840046"/>
      <w:bookmarkStart w:id="2299" w:name="_Toc11937582"/>
      <w:r w:rsidRPr="0047197F">
        <w:t>Положительные и отрицательные стороны основных направлений профилактики желудочно – кишечных болезней новорождённых телят</w:t>
      </w:r>
      <w:bookmarkEnd w:id="2293"/>
      <w:bookmarkEnd w:id="2294"/>
      <w:bookmarkEnd w:id="2295"/>
      <w:bookmarkEnd w:id="2296"/>
      <w:bookmarkEnd w:id="2297"/>
      <w:bookmarkEnd w:id="2298"/>
      <w:bookmarkEnd w:id="2299"/>
    </w:p>
    <w:p w:rsidR="00F4654E" w:rsidRPr="0047197F" w:rsidRDefault="00F4654E">
      <w:pPr>
        <w:pStyle w:val="2"/>
      </w:pPr>
      <w:bookmarkStart w:id="2300" w:name="_Toc10731325"/>
      <w:bookmarkStart w:id="2301" w:name="_Toc10731986"/>
      <w:bookmarkStart w:id="2302" w:name="_Toc10891832"/>
      <w:bookmarkStart w:id="2303" w:name="_Toc10892507"/>
      <w:bookmarkStart w:id="2304" w:name="_Toc11390364"/>
      <w:bookmarkStart w:id="2305" w:name="_Toc11937583"/>
      <w:r w:rsidRPr="0047197F">
        <w:t>Костына М.А.</w:t>
      </w:r>
      <w:bookmarkEnd w:id="2300"/>
      <w:bookmarkEnd w:id="2301"/>
      <w:bookmarkEnd w:id="2302"/>
      <w:bookmarkEnd w:id="2303"/>
      <w:bookmarkEnd w:id="2304"/>
      <w:bookmarkEnd w:id="2305"/>
    </w:p>
    <w:p w:rsidR="00F4654E" w:rsidRPr="0047197F" w:rsidRDefault="00F4654E">
      <w:pPr>
        <w:pStyle w:val="a5"/>
      </w:pPr>
      <w:r w:rsidRPr="0047197F">
        <w:t>Всероссийский НИВИ патологии, фармакологии и терапии</w:t>
      </w:r>
    </w:p>
    <w:p w:rsidR="00F4654E" w:rsidRPr="0047197F" w:rsidRDefault="00F4654E">
      <w:pPr>
        <w:pStyle w:val="a6"/>
      </w:pPr>
      <w:r w:rsidRPr="0047197F">
        <w:t>Проанализирована специальная литература и мероприятия по борьбе с желудочно-кишечными болезнями новорождённых телят в 22 хозяйствах разных областей Центрально – Черноземной зоны Российской Федерации в 1994 – 2002 годах с целью оценки положительных и отрицательных сторон основных направлений профилактики по этим болезням.</w:t>
      </w:r>
    </w:p>
    <w:p w:rsidR="00F4654E" w:rsidRPr="0047197F" w:rsidRDefault="00F4654E">
      <w:pPr>
        <w:pStyle w:val="a6"/>
      </w:pPr>
      <w:r w:rsidRPr="0047197F">
        <w:lastRenderedPageBreak/>
        <w:t>Основными направлениями профилактики массовых диарейных б</w:t>
      </w:r>
      <w:r w:rsidRPr="0047197F">
        <w:t>о</w:t>
      </w:r>
      <w:r w:rsidRPr="0047197F">
        <w:t>лезней телят раннего возраста является: технологическое, фармакологич</w:t>
      </w:r>
      <w:r w:rsidRPr="0047197F">
        <w:t>е</w:t>
      </w:r>
      <w:r w:rsidRPr="0047197F">
        <w:t>ское, селекционно – генетическое и комплексное.</w:t>
      </w:r>
    </w:p>
    <w:p w:rsidR="00F4654E" w:rsidRPr="0047197F" w:rsidRDefault="00F4654E">
      <w:pPr>
        <w:pStyle w:val="a6"/>
      </w:pPr>
      <w:r w:rsidRPr="0047197F">
        <w:t>Первое направление профилактики наиболее полно реализуется в племенных и экономически крепких хозяйствах. Оно наиболее экологич</w:t>
      </w:r>
      <w:r w:rsidRPr="0047197F">
        <w:t>е</w:t>
      </w:r>
      <w:r w:rsidRPr="0047197F">
        <w:t>ски чистое, так как не предусматривает широкого применения химиотер</w:t>
      </w:r>
      <w:r w:rsidRPr="0047197F">
        <w:t>а</w:t>
      </w:r>
      <w:r w:rsidRPr="0047197F">
        <w:t>певтических средств. Это направление позволяет радикально изменить п</w:t>
      </w:r>
      <w:r w:rsidRPr="0047197F">
        <w:t>о</w:t>
      </w:r>
      <w:r w:rsidRPr="0047197F">
        <w:t>ложение дел с сохранностью новорождённых телят, дает возможность п</w:t>
      </w:r>
      <w:r w:rsidRPr="0047197F">
        <w:t>о</w:t>
      </w:r>
      <w:r w:rsidRPr="0047197F">
        <w:t>лучать здоровых, крепких и высокопродуктивных животных, улучшить экономику хозяйства. Однако, практическая реализация этого направления профилактики связано со значительными затратами сил и средств, напра</w:t>
      </w:r>
      <w:r w:rsidRPr="0047197F">
        <w:t>в</w:t>
      </w:r>
      <w:r w:rsidRPr="0047197F">
        <w:t>ленных на реконструкцию родильных отделений и профилакториев, созд</w:t>
      </w:r>
      <w:r w:rsidRPr="0047197F">
        <w:t>а</w:t>
      </w:r>
      <w:r w:rsidRPr="0047197F">
        <w:t>ние полноценной кормовой базы, организации постоянного контроля за микроклиматом, качеством молозива и колостральным иммунитетом нов</w:t>
      </w:r>
      <w:r w:rsidRPr="0047197F">
        <w:t>о</w:t>
      </w:r>
      <w:r w:rsidRPr="0047197F">
        <w:t>рожденных, что большинству товарных хозяйств не под силу. Её выполн</w:t>
      </w:r>
      <w:r w:rsidRPr="0047197F">
        <w:t>е</w:t>
      </w:r>
      <w:r w:rsidRPr="0047197F">
        <w:t>ние связано с необходимостью менять привычно – традиционную технол</w:t>
      </w:r>
      <w:r w:rsidRPr="0047197F">
        <w:t>о</w:t>
      </w:r>
      <w:r w:rsidRPr="0047197F">
        <w:t>гию получения и выращивания молодняка, вести научный поиск желаемых решений, привлекать учёных, повышать квалификационный уровень рук</w:t>
      </w:r>
      <w:r w:rsidRPr="0047197F">
        <w:t>о</w:t>
      </w:r>
      <w:r w:rsidRPr="0047197F">
        <w:t>водителей, специалистов и животноводов, хорошо оплачивать их работу. В связи с затянувшимся экономическим кризисом в сельском хозяйстве, т</w:t>
      </w:r>
      <w:r w:rsidRPr="0047197F">
        <w:t>а</w:t>
      </w:r>
      <w:r w:rsidRPr="0047197F">
        <w:t>ких хозяйств в каждой области не много.</w:t>
      </w:r>
    </w:p>
    <w:p w:rsidR="00F4654E" w:rsidRPr="0047197F" w:rsidRDefault="00F4654E">
      <w:pPr>
        <w:pStyle w:val="a6"/>
      </w:pPr>
      <w:r w:rsidRPr="0047197F">
        <w:t>Второе направление позволяет путем искусственного повышения н</w:t>
      </w:r>
      <w:r w:rsidRPr="0047197F">
        <w:t>е</w:t>
      </w:r>
      <w:r w:rsidRPr="0047197F">
        <w:t>специфической и специфической резистентности животных добиваться хорошего профилактического эффекта, выращивать более – менее здор</w:t>
      </w:r>
      <w:r w:rsidRPr="0047197F">
        <w:t>о</w:t>
      </w:r>
      <w:r w:rsidRPr="0047197F">
        <w:t>вых телят и не менять устоявшуюся в хозяйстве технологию. Осуществл</w:t>
      </w:r>
      <w:r w:rsidRPr="0047197F">
        <w:t>е</w:t>
      </w:r>
      <w:r w:rsidRPr="0047197F">
        <w:t>ние этого направления сильно зависит от наличия необходимых фармак</w:t>
      </w:r>
      <w:r w:rsidRPr="0047197F">
        <w:t>о</w:t>
      </w:r>
      <w:r w:rsidRPr="0047197F">
        <w:t>логических средств, требует значительных трат на них, не дает на дл</w:t>
      </w:r>
      <w:r w:rsidRPr="0047197F">
        <w:t>и</w:t>
      </w:r>
      <w:r w:rsidRPr="0047197F">
        <w:t>тельное время стабильных результатов по сохранности животных. Прим</w:t>
      </w:r>
      <w:r w:rsidRPr="0047197F">
        <w:t>е</w:t>
      </w:r>
      <w:r w:rsidRPr="0047197F">
        <w:t>нение ряда биологически активных профилактических средств экологич</w:t>
      </w:r>
      <w:r w:rsidRPr="0047197F">
        <w:t>е</w:t>
      </w:r>
      <w:r w:rsidRPr="0047197F">
        <w:t>ски не безопасно и сильно увеличивает нагрузку на ветеринарных специ</w:t>
      </w:r>
      <w:r w:rsidRPr="0047197F">
        <w:t>а</w:t>
      </w:r>
      <w:r w:rsidRPr="0047197F">
        <w:t>листов. Это направление широко используется в товарных хозяйствах, где технология выращивания телят сильно упрощена и сведена к минимуму ухода за ними. Практика показывает, что ориентировка на фармакологич</w:t>
      </w:r>
      <w:r w:rsidRPr="0047197F">
        <w:t>е</w:t>
      </w:r>
      <w:r w:rsidRPr="0047197F">
        <w:t>скую профилактику массовых диарейных болезней окончательно не реш</w:t>
      </w:r>
      <w:r w:rsidRPr="0047197F">
        <w:t>а</w:t>
      </w:r>
      <w:r w:rsidRPr="0047197F">
        <w:t>ет проблемы их возникновения, проявления и ликвидации. Это направл</w:t>
      </w:r>
      <w:r w:rsidRPr="0047197F">
        <w:t>е</w:t>
      </w:r>
      <w:r w:rsidRPr="0047197F">
        <w:t>ние широко используется многими хозяйствами, на это направлены бол</w:t>
      </w:r>
      <w:r w:rsidRPr="0047197F">
        <w:t>ь</w:t>
      </w:r>
      <w:r w:rsidRPr="0047197F">
        <w:t>шинство научных изысканий, рекомендаций и внедрений.</w:t>
      </w:r>
    </w:p>
    <w:p w:rsidR="00F4654E" w:rsidRDefault="00F4654E">
      <w:pPr>
        <w:pStyle w:val="a6"/>
      </w:pPr>
      <w:r w:rsidRPr="0047197F">
        <w:t>Реализация третьего направления в борьбе с желудочно – кишечными болезнями позволяет отбирать на выращивание наиболее резистентных т</w:t>
      </w:r>
      <w:r w:rsidRPr="0047197F">
        <w:t>е</w:t>
      </w:r>
      <w:r w:rsidRPr="0047197F">
        <w:t>лят по внешним признакам и генетическим маркерам, связанных с не заб</w:t>
      </w:r>
      <w:r w:rsidRPr="0047197F">
        <w:t>о</w:t>
      </w:r>
      <w:r w:rsidRPr="0047197F">
        <w:t>леваемостью, обходиться без жестких технологических регламентов, эк</w:t>
      </w:r>
      <w:r w:rsidRPr="0047197F">
        <w:t>о</w:t>
      </w:r>
      <w:r>
        <w:t>номить на фармакологических средствах, не загрязнять окружающую ср</w:t>
      </w:r>
      <w:r>
        <w:t>е</w:t>
      </w:r>
      <w:r>
        <w:t xml:space="preserve">ду. Однако оно требует проведения работ по селекции на высоком уровне, </w:t>
      </w:r>
      <w:r>
        <w:lastRenderedPageBreak/>
        <w:t>проводить её в содружестве с селекционно – генетическими центрами, п</w:t>
      </w:r>
      <w:r>
        <w:t>о</w:t>
      </w:r>
      <w:r>
        <w:t xml:space="preserve">вышению квалификации зооинженерных кадров в этом направлении. Большинство хозяйств в настоящее время к такой работе не готовы из – за низкого ведения отрасли, сложных экономических условий, отсутствие надлежащего руководства специализированных НИУ, племпредприятий и отсутствия зооинженеров по селекции, в большинстве хозяйств. </w:t>
      </w:r>
    </w:p>
    <w:p w:rsidR="00F4654E" w:rsidRDefault="00F4654E">
      <w:pPr>
        <w:pStyle w:val="a6"/>
      </w:pPr>
      <w:r>
        <w:t>Четвертое основное направление – комплексное. Оно наиболее ра</w:t>
      </w:r>
      <w:r>
        <w:t>с</w:t>
      </w:r>
      <w:r>
        <w:t>пространено в хозяйствах, которые проводят борьбу с желудочно-кишечной патологией новорождённых, ибо оно дает большой диапазон возможностей в комбинации всех трех направлений, но более часто пе</w:t>
      </w:r>
      <w:r>
        <w:t>р</w:t>
      </w:r>
      <w:r>
        <w:t>вых двух, как наиболее оперативных и эффективных. Во многих хозяйс</w:t>
      </w:r>
      <w:r>
        <w:t>т</w:t>
      </w:r>
      <w:r>
        <w:t>вах разных форм собственности, занимающихся выращиванием телят, п</w:t>
      </w:r>
      <w:r>
        <w:t>е</w:t>
      </w:r>
      <w:r>
        <w:t>риодически возникают кризисные ситуации с сохранностью новорождё</w:t>
      </w:r>
      <w:r>
        <w:t>н</w:t>
      </w:r>
      <w:r>
        <w:t>ных. Тогда хозяйства заинтересованы в срочном выходе из них. Немедле</w:t>
      </w:r>
      <w:r>
        <w:t>н</w:t>
      </w:r>
      <w:r>
        <w:t>но идут в ход те технологические мероприятия и фармакологические пр</w:t>
      </w:r>
      <w:r>
        <w:t>е</w:t>
      </w:r>
      <w:r>
        <w:t>параты, которые можно выполнить или приобрести в срочном порядке, а также изыскать непосредственно в хозяйстве. Обычно это полумеры, да</w:t>
      </w:r>
      <w:r>
        <w:t>ю</w:t>
      </w:r>
      <w:r>
        <w:t>щие срочный, но непродолжительный эффект. На это идут нынче бол</w:t>
      </w:r>
      <w:r>
        <w:t>ь</w:t>
      </w:r>
      <w:r>
        <w:t xml:space="preserve">шинство хозяйств.       </w:t>
      </w:r>
    </w:p>
    <w:p w:rsidR="00F4654E" w:rsidRDefault="00F4654E">
      <w:pPr>
        <w:pStyle w:val="a4"/>
      </w:pPr>
      <w:r>
        <w:t>УДК 619</w:t>
      </w:r>
      <w:r>
        <w:sym w:font="Symbol" w:char="F03A"/>
      </w:r>
      <w:r>
        <w:t>616.1/.4</w:t>
      </w:r>
    </w:p>
    <w:p w:rsidR="00F4654E" w:rsidRDefault="00F4654E">
      <w:pPr>
        <w:pStyle w:val="1"/>
      </w:pPr>
      <w:bookmarkStart w:id="2306" w:name="_Toc10731326"/>
      <w:bookmarkStart w:id="2307" w:name="_Toc10731987"/>
      <w:bookmarkStart w:id="2308" w:name="_Toc10891833"/>
      <w:bookmarkStart w:id="2309" w:name="_Toc10892508"/>
      <w:bookmarkStart w:id="2310" w:name="_Toc11390365"/>
      <w:bookmarkStart w:id="2311" w:name="_Toc11840048"/>
      <w:bookmarkStart w:id="2312" w:name="_Toc11937584"/>
      <w:r>
        <w:t xml:space="preserve">денозологизация в борьбе с болезнями животных – от идеи </w:t>
      </w:r>
      <w:r>
        <w:br/>
        <w:t>к практике</w:t>
      </w:r>
      <w:bookmarkEnd w:id="2306"/>
      <w:bookmarkEnd w:id="2307"/>
      <w:bookmarkEnd w:id="2308"/>
      <w:bookmarkEnd w:id="2309"/>
      <w:bookmarkEnd w:id="2310"/>
      <w:bookmarkEnd w:id="2311"/>
      <w:bookmarkEnd w:id="2312"/>
    </w:p>
    <w:p w:rsidR="00F4654E" w:rsidRDefault="00F4654E">
      <w:pPr>
        <w:pStyle w:val="2"/>
      </w:pPr>
      <w:bookmarkStart w:id="2313" w:name="_Toc10731327"/>
      <w:bookmarkStart w:id="2314" w:name="_Toc10731988"/>
      <w:bookmarkStart w:id="2315" w:name="_Toc10891834"/>
      <w:bookmarkStart w:id="2316" w:name="_Toc10892509"/>
      <w:bookmarkStart w:id="2317" w:name="_Toc11390366"/>
      <w:bookmarkStart w:id="2318" w:name="_Toc11937585"/>
      <w:r>
        <w:t>Костына М.А.</w:t>
      </w:r>
      <w:bookmarkEnd w:id="2313"/>
      <w:bookmarkEnd w:id="2314"/>
      <w:bookmarkEnd w:id="2315"/>
      <w:bookmarkEnd w:id="2316"/>
      <w:bookmarkEnd w:id="2317"/>
      <w:bookmarkEnd w:id="2318"/>
    </w:p>
    <w:p w:rsidR="00F4654E" w:rsidRDefault="00F4654E">
      <w:pPr>
        <w:pStyle w:val="a5"/>
      </w:pPr>
      <w:r>
        <w:t xml:space="preserve">Всероссийский НИВИ патологии, фармакологии и терапии </w:t>
      </w:r>
    </w:p>
    <w:p w:rsidR="00F4654E" w:rsidRDefault="00F4654E">
      <w:pPr>
        <w:pStyle w:val="a6"/>
      </w:pPr>
      <w:r>
        <w:t>В настоящее время трудовая деятельность ветеринарных работников на фермах хозяйств направлена на поддержание здоровья стад продукти</w:t>
      </w:r>
      <w:r>
        <w:t>в</w:t>
      </w:r>
      <w:r>
        <w:t>ных животных. Она сводится, в основном, к выявлению клинически бол</w:t>
      </w:r>
      <w:r>
        <w:t>ь</w:t>
      </w:r>
      <w:r>
        <w:t>ных животных, их лечению и устранению тех причинных факторов, кот</w:t>
      </w:r>
      <w:r>
        <w:t>о</w:t>
      </w:r>
      <w:r>
        <w:t>рые вызывают те или иные болезни. Таким образом, ветработники факт</w:t>
      </w:r>
      <w:r>
        <w:t>и</w:t>
      </w:r>
      <w:r>
        <w:t>чески определяют два состояния – здоровые или больные животные. Мы считаем, что на сегодняшний день это слишком упрощено и примитивно. Диагностика клинических форм патологий – это очень запоздалая реакция ветспециалистов на положение дел в животноводстве, так как исправить положение к лучшему бывает крайне трудно и стоит больших сил и средств, а зачастую заканчивается потерей животных. Но таковы реалии товарных хозяйств.</w:t>
      </w:r>
    </w:p>
    <w:p w:rsidR="00F4654E" w:rsidRDefault="00F4654E">
      <w:pPr>
        <w:pStyle w:val="a6"/>
      </w:pPr>
      <w:r>
        <w:t>Здоровые животные – это те, у которых этологические, физические, гомеостатические и продуктивные показатели соответствуют определе</w:t>
      </w:r>
      <w:r>
        <w:t>н</w:t>
      </w:r>
      <w:r>
        <w:t>ным параметрам. У клинически больных животных часть этих показателей не соответствует нормативам, кроме того у них появляются новые призн</w:t>
      </w:r>
      <w:r>
        <w:t>а</w:t>
      </w:r>
      <w:r>
        <w:t xml:space="preserve">ки, не характерные для здоровых животных. Появление больных животных </w:t>
      </w:r>
      <w:r>
        <w:lastRenderedPageBreak/>
        <w:t>на ферме свидетельствует о несоответствии условий их эксплуатации, с</w:t>
      </w:r>
      <w:r>
        <w:t>о</w:t>
      </w:r>
      <w:r>
        <w:t>держания, ухода и кормления их физиологическим потребностям, в р</w:t>
      </w:r>
      <w:r>
        <w:t>е</w:t>
      </w:r>
      <w:r>
        <w:t>зультате чего возникает генетически детерминированная реакция на эти неадекватные условия, которая считается патологией. В зависимости от силы, продолжительности и сочетанности этиологических факторов, а также особенности животных организмов (возраст, резистентность) фо</w:t>
      </w:r>
      <w:r>
        <w:t>р</w:t>
      </w:r>
      <w:r>
        <w:t>мируются определенные нозологические формы патологии, которые ко</w:t>
      </w:r>
      <w:r>
        <w:t>н</w:t>
      </w:r>
      <w:r>
        <w:t>кретизируются в виде диагноза.</w:t>
      </w:r>
    </w:p>
    <w:p w:rsidR="00F4654E" w:rsidRDefault="00F4654E">
      <w:pPr>
        <w:pStyle w:val="a6"/>
      </w:pPr>
      <w:r>
        <w:t>Путь к болезни, если он не связан с экстремальным воздействием, растянут во времени. Здоровые животные – это адаптированные животные к определенным условиям существования, а больные – это дезадаптир</w:t>
      </w:r>
      <w:r>
        <w:t>о</w:t>
      </w:r>
      <w:r>
        <w:t>ванные к этим условиям. Поэтому, чтобы возникла болезнь, животное должно пройти какой – то период дезадаптации, т.е. потерять свой поте</w:t>
      </w:r>
      <w:r>
        <w:t>н</w:t>
      </w:r>
      <w:r>
        <w:t>циал устойчивости. И эта потеря происходит быстро или медленно, в зав</w:t>
      </w:r>
      <w:r>
        <w:t>и</w:t>
      </w:r>
      <w:r>
        <w:t>симости от взаимодействия организма и среды. Но главное то, что эта п</w:t>
      </w:r>
      <w:r>
        <w:t>о</w:t>
      </w:r>
      <w:r>
        <w:t>теря адаптации на пути к болезни происходит по ниспадающей кривой.</w:t>
      </w:r>
    </w:p>
    <w:p w:rsidR="00F4654E" w:rsidRDefault="00F4654E">
      <w:pPr>
        <w:pStyle w:val="a6"/>
      </w:pPr>
      <w:r>
        <w:t>Изучая ряд общих и частных реакций у животных, мы получаем в</w:t>
      </w:r>
      <w:r>
        <w:t>ы</w:t>
      </w:r>
      <w:r>
        <w:t>сокие, средние и низкие показатели. Их величины являются отражением уровня обмена веществ, состояния центральной, вегетативной нервной и гуморальной систем по регуляции как отдельными органами, системами, так и организмом в целом. Чем указанные показатели выше, тем знач</w:t>
      </w:r>
      <w:r>
        <w:t>и</w:t>
      </w:r>
      <w:r>
        <w:t>тельнее функциональное напряжение организма и более высокая степень адаптации к условиям окружающей среды и наоборот. Другими словами, животные наиболее устойчивые к болезням характеризуются в исходном состоянии выраженной функциональной активностью и более высокой деятельностью его регуляторных механизмов. Переход от здоровья к б</w:t>
      </w:r>
      <w:r>
        <w:t>о</w:t>
      </w:r>
      <w:r>
        <w:t>лезни происходит не внезапно, а через ряд последовательных стадий общ</w:t>
      </w:r>
      <w:r>
        <w:t>е</w:t>
      </w:r>
      <w:r>
        <w:t>го адаптационного синдрома и представляет собой результат длительного или короткого воздействия стрессовых факторов на организм.</w:t>
      </w:r>
    </w:p>
    <w:p w:rsidR="00F4654E" w:rsidRDefault="00F4654E">
      <w:pPr>
        <w:pStyle w:val="a6"/>
      </w:pPr>
      <w:r>
        <w:t>Современная ветеринарная наука способна определить состояние ж</w:t>
      </w:r>
      <w:r>
        <w:t>и</w:t>
      </w:r>
      <w:r>
        <w:t>вотного на любой фазе его жизни, физиологического и патологического состояния, степень его адаптации и дезадаптации. Поэтому в настоящее время можно вести животноводство без клинических форм проявления б</w:t>
      </w:r>
      <w:r>
        <w:t>о</w:t>
      </w:r>
      <w:r>
        <w:t>лезней. Клиническая патология свидетельствует о значительной потери животными адаптации, это значительные морфологические изменения о</w:t>
      </w:r>
      <w:r>
        <w:t>р</w:t>
      </w:r>
      <w:r>
        <w:t>ганов, тканей и функциональные потери, порой безвозвратные. Лечить и восстанавливать таких животных весьма хлопотно и дорого. Но, тем не менее, формирование ветспециалиста в настоящее время происходит на базе знаний как лечить заболевшее животное. Нам кажется, что эту поз</w:t>
      </w:r>
      <w:r>
        <w:t>и</w:t>
      </w:r>
      <w:r>
        <w:t>цию необходимо пересмотреть. Необходимо взять курс на денозологиз</w:t>
      </w:r>
      <w:r>
        <w:t>а</w:t>
      </w:r>
      <w:r>
        <w:t>цию в животноводстве, т.е. на систему по обслуживанию животноводства, не допускающую возникновение клинических форм болезней путем орг</w:t>
      </w:r>
      <w:r>
        <w:t>а</w:t>
      </w:r>
      <w:r>
        <w:t xml:space="preserve">низации и интенсификации профилактической работы. Основную работу </w:t>
      </w:r>
      <w:r>
        <w:lastRenderedPageBreak/>
        <w:t>по предотвращению клинической патологии проводить на донозологич</w:t>
      </w:r>
      <w:r>
        <w:t>е</w:t>
      </w:r>
      <w:r>
        <w:t>ском уровне путем определения степени потери адаптации животным. Как уже было сказано, эта потеря представляется как непрерывно нисходящая кривая, но можно эту кривую разделить на 4 части, где потеря адаптации будет составлять 25, 50, 75 и 100%. За последней фазой начинается клин</w:t>
      </w:r>
      <w:r>
        <w:t>и</w:t>
      </w:r>
      <w:r>
        <w:t>ческая патология. Она является переходной между донозологическим и нозологическим состоянием. Врачебную работу с животными проводить на различных фазах их дезадаптации. Нужно будет диагностировать эти степени дезадаптации и проводить технологическую или фармакологич</w:t>
      </w:r>
      <w:r>
        <w:t>е</w:t>
      </w:r>
      <w:r>
        <w:t>скую коррекцию этих форм дезадаптации. Это и составит основное соде</w:t>
      </w:r>
      <w:r>
        <w:t>р</w:t>
      </w:r>
      <w:r>
        <w:t>жание ветеринарной деятельности в этом направлении.</w:t>
      </w:r>
    </w:p>
    <w:p w:rsidR="00F4654E" w:rsidRDefault="00F4654E">
      <w:pPr>
        <w:pStyle w:val="a6"/>
      </w:pPr>
      <w:r>
        <w:t>В 70-е годы группой отечественных ученых для нужд постоянного и систематического контроля за состоянием здоровья животных, своевр</w:t>
      </w:r>
      <w:r>
        <w:t>е</w:t>
      </w:r>
      <w:r>
        <w:t>менного проведения комплекса ветеринарно-профилактических и зооте</w:t>
      </w:r>
      <w:r>
        <w:t>х</w:t>
      </w:r>
      <w:r>
        <w:t>нических мероприятий, предупреждающих возникновение заболеваний животных и обеспечивающих высокую их продуктивность, была разраб</w:t>
      </w:r>
      <w:r>
        <w:t>о</w:t>
      </w:r>
      <w:r>
        <w:t>тана диспансеризация. Она представляла собой систему плановых диагн</w:t>
      </w:r>
      <w:r>
        <w:t>о</w:t>
      </w:r>
      <w:r>
        <w:t>стических и л</w:t>
      </w:r>
      <w:r>
        <w:t>е</w:t>
      </w:r>
      <w:r>
        <w:t>чебно – профилактических мероприятий, направленных на своевременное выявление ранних субклинических и клинических призн</w:t>
      </w:r>
      <w:r>
        <w:t>а</w:t>
      </w:r>
      <w:r>
        <w:t>ков болезней и лечение заболевших. Эта система рассматривалась как о</w:t>
      </w:r>
      <w:r>
        <w:t>с</w:t>
      </w:r>
      <w:r>
        <w:t>новное звено работы ветеринарных специалистов по профилактике вну</w:t>
      </w:r>
      <w:r>
        <w:t>т</w:t>
      </w:r>
      <w:r>
        <w:t>ренних незаразных боле</w:t>
      </w:r>
      <w:r>
        <w:t>з</w:t>
      </w:r>
      <w:r>
        <w:t>ней. При проведении такой работы ветеринарные специалисты и организаторы животноводства получали необходимые св</w:t>
      </w:r>
      <w:r>
        <w:t>е</w:t>
      </w:r>
      <w:r>
        <w:t>дения о состоянии здоровья, об уровне обмена веществ, как у отдельных животных, так и в целом по стаду, выявлялись причины, способствова</w:t>
      </w:r>
      <w:r>
        <w:t>в</w:t>
      </w:r>
      <w:r>
        <w:t>шие возникновению различной патологии. Это давало основание для пр</w:t>
      </w:r>
      <w:r>
        <w:t>о</w:t>
      </w:r>
      <w:r>
        <w:t>ведения комплекса мер по поддержанию здоровья стада, уменьшению з</w:t>
      </w:r>
      <w:r>
        <w:t>а</w:t>
      </w:r>
      <w:r>
        <w:t>болеваемости и отхода животных. Диспансеризация хорошо себя зарек</w:t>
      </w:r>
      <w:r>
        <w:t>о</w:t>
      </w:r>
      <w:r>
        <w:t>мендовала в производстве и не снята с него. Однако о ней в литературе уже не пишут, а на практике уже не применяют. Считаем, что она неопра</w:t>
      </w:r>
      <w:r>
        <w:t>в</w:t>
      </w:r>
      <w:r>
        <w:t>данно забывается. Однако в ней нацеливались м</w:t>
      </w:r>
      <w:r>
        <w:t>е</w:t>
      </w:r>
      <w:r>
        <w:t>роприятия на выявление субклинических и клинических форм болезней, а это уже развивающаяся и развившаяся патология. В ней не было ориентира на выявление степени дезадаптации животных к условиям их содержания, что обедняло ее как систему.</w:t>
      </w:r>
    </w:p>
    <w:p w:rsidR="00F4654E" w:rsidRDefault="00F4654E">
      <w:pPr>
        <w:pStyle w:val="a6"/>
      </w:pPr>
      <w:r>
        <w:t>Технологическая коррекция различных форм дезадаптации животных заключается в улучшении кормления животных, назначении им диетич</w:t>
      </w:r>
      <w:r>
        <w:t>е</w:t>
      </w:r>
      <w:r>
        <w:t>ских кормов, дачи кормов богатых витаминами. Технологическая корре</w:t>
      </w:r>
      <w:r>
        <w:t>к</w:t>
      </w:r>
      <w:r>
        <w:t>ция предполагает улучшение условий содержания животных и ухода за ними. Путем технологических решений можно повысить функциональное состояние организма и его адаптационные возможности, повысить его р</w:t>
      </w:r>
      <w:r>
        <w:t>е</w:t>
      </w:r>
      <w:r>
        <w:t>зистентность к неблагоприятным факторам окружающей среды, т.е. пер</w:t>
      </w:r>
      <w:r>
        <w:t>е</w:t>
      </w:r>
      <w:r>
        <w:t xml:space="preserve">вести животное состояния дезадаптации в состояние полной адаптации, </w:t>
      </w:r>
      <w:r>
        <w:lastRenderedPageBreak/>
        <w:t>когда опасность возникновения какого – либо заболевания будет отодв</w:t>
      </w:r>
      <w:r>
        <w:t>и</w:t>
      </w:r>
      <w:r>
        <w:t>нута или устранена совсем.</w:t>
      </w:r>
    </w:p>
    <w:p w:rsidR="00F4654E" w:rsidRDefault="00F4654E">
      <w:pPr>
        <w:pStyle w:val="a6"/>
      </w:pPr>
      <w:r>
        <w:t>В настоящее время на фермах многих хозяйств есть часть ослабле</w:t>
      </w:r>
      <w:r>
        <w:t>н</w:t>
      </w:r>
      <w:r>
        <w:t>ных животных, особенно молодняка. Клинических признаков патологии у них нет, но они выглядят исхудавшими, плохо растут и развиваются. Те</w:t>
      </w:r>
      <w:r>
        <w:t>х</w:t>
      </w:r>
      <w:r>
        <w:t>нологий выращивания, которые приемлемы для основной массы живо</w:t>
      </w:r>
      <w:r>
        <w:t>т</w:t>
      </w:r>
      <w:r>
        <w:t xml:space="preserve">ных, им недостаточно. Им нужна более </w:t>
      </w:r>
      <w:r>
        <w:sym w:font="Symbol" w:char="F0B2"/>
      </w:r>
      <w:r>
        <w:t>мягкая</w:t>
      </w:r>
      <w:r>
        <w:sym w:font="Symbol" w:char="F0B2"/>
      </w:r>
      <w:r>
        <w:t xml:space="preserve"> технология, но создать ее в экономически слабых хозяйствах трудно, поэтому они рано или поздно заболевают и гибнут. В случаях, когда трудно осуществить технологич</w:t>
      </w:r>
      <w:r>
        <w:t>е</w:t>
      </w:r>
      <w:r>
        <w:t>ские решения по повышению степени адаптации животных, можно пр</w:t>
      </w:r>
      <w:r>
        <w:t>и</w:t>
      </w:r>
      <w:r>
        <w:t>бегнуть к фармакологическим средствам, выбор которых в настоящее вр</w:t>
      </w:r>
      <w:r>
        <w:t>е</w:t>
      </w:r>
      <w:r>
        <w:t>мя не малый. Восполнение дефицита недостающих в организме веществ значительно повышает степень адаптированных реакций организма, а с</w:t>
      </w:r>
      <w:r>
        <w:t>о</w:t>
      </w:r>
      <w:r>
        <w:t>ответственно и резерв здоровья. В этом направлении действуют также биологически активные вещества. Стимулируя препаратами различные о</w:t>
      </w:r>
      <w:r>
        <w:t>р</w:t>
      </w:r>
      <w:r>
        <w:t>ганы, системы или весь организм в целом, мы добиваемся повышения уровня адаптации животных к определенной среде обитания на ферме и предотвращаем возникновение болезней у животных.</w:t>
      </w:r>
    </w:p>
    <w:p w:rsidR="00F4654E" w:rsidRDefault="00F4654E">
      <w:pPr>
        <w:pStyle w:val="a6"/>
      </w:pPr>
      <w:r>
        <w:t>Указанная идея о ведении животноводства на донозологическом уровне встала среди ученых и практиков давно. Она была предметом ди</w:t>
      </w:r>
      <w:r>
        <w:t>с</w:t>
      </w:r>
      <w:r>
        <w:t>куссий на совещаниях и конференциях, семинарах и практических разб</w:t>
      </w:r>
      <w:r>
        <w:t>о</w:t>
      </w:r>
      <w:r>
        <w:t>ров положения дел на фермах. Со временем она будет разрабатываться как в теоретическом, так и в практическом плане, дополняться работами др</w:t>
      </w:r>
      <w:r>
        <w:t>у</w:t>
      </w:r>
      <w:r>
        <w:t>гих авторов. А пока мы приглашаем оппонентов, хозяйственников и спо</w:t>
      </w:r>
      <w:r>
        <w:t>н</w:t>
      </w:r>
      <w:r>
        <w:t>соров к участию в разработке нового направления в ветеринарии – доноз</w:t>
      </w:r>
      <w:r>
        <w:t>о</w:t>
      </w:r>
      <w:r>
        <w:t>логического. Ветврач, имеющий возможность предотвратить появление клинических форм патологии и допустивших ее – это не ветврач, а убийца животных. Сейчас начало 21 века. Научный прогресс развивается стрем</w:t>
      </w:r>
      <w:r>
        <w:t>и</w:t>
      </w:r>
      <w:r>
        <w:t xml:space="preserve">тельно. Он затрагивает все сферы человеческой деятельности, в том числе и ветеринарную. Хотелось бы, чтобы клинические формы патологии не долго живущих сельскохозяйственных животных осталось в прошлом, а флагом, идеей ветеринарии 21 века должна быть борьба с болезнями этих животных на субклиническом уровне.   </w:t>
      </w:r>
    </w:p>
    <w:p w:rsidR="00F4654E" w:rsidRDefault="00F4654E">
      <w:pPr>
        <w:pStyle w:val="a4"/>
      </w:pPr>
      <w:r>
        <w:t>УДК 612.017</w:t>
      </w:r>
      <w:r>
        <w:sym w:font="Symbol" w:char="F03A"/>
      </w:r>
      <w:r>
        <w:t>616 – 07</w:t>
      </w:r>
    </w:p>
    <w:p w:rsidR="00F4654E" w:rsidRDefault="00F4654E">
      <w:pPr>
        <w:pStyle w:val="1"/>
      </w:pPr>
      <w:bookmarkStart w:id="2319" w:name="_Toc10731328"/>
      <w:bookmarkStart w:id="2320" w:name="_Toc10731989"/>
      <w:bookmarkStart w:id="2321" w:name="_Toc10891835"/>
      <w:bookmarkStart w:id="2322" w:name="_Toc10892510"/>
      <w:bookmarkStart w:id="2323" w:name="_Toc11390367"/>
      <w:bookmarkStart w:id="2324" w:name="_Toc11840050"/>
      <w:bookmarkStart w:id="2325" w:name="_Toc11937586"/>
      <w:r>
        <w:t>естественный ингибирующий фактор (еиф) крови животных и методические особенности по его определению</w:t>
      </w:r>
      <w:bookmarkEnd w:id="2319"/>
      <w:bookmarkEnd w:id="2320"/>
      <w:bookmarkEnd w:id="2321"/>
      <w:bookmarkEnd w:id="2322"/>
      <w:bookmarkEnd w:id="2323"/>
      <w:bookmarkEnd w:id="2324"/>
      <w:bookmarkEnd w:id="2325"/>
    </w:p>
    <w:p w:rsidR="00F4654E" w:rsidRDefault="00F4654E">
      <w:pPr>
        <w:pStyle w:val="2"/>
      </w:pPr>
      <w:bookmarkStart w:id="2326" w:name="_Toc10731329"/>
      <w:bookmarkStart w:id="2327" w:name="_Toc10731990"/>
      <w:bookmarkStart w:id="2328" w:name="_Toc10891836"/>
      <w:bookmarkStart w:id="2329" w:name="_Toc10892511"/>
      <w:bookmarkStart w:id="2330" w:name="_Toc11390368"/>
      <w:bookmarkStart w:id="2331" w:name="_Toc11937587"/>
      <w:r>
        <w:t>Костына М.А.</w:t>
      </w:r>
      <w:bookmarkEnd w:id="2326"/>
      <w:bookmarkEnd w:id="2327"/>
      <w:bookmarkEnd w:id="2328"/>
      <w:bookmarkEnd w:id="2329"/>
      <w:bookmarkEnd w:id="2330"/>
      <w:bookmarkEnd w:id="2331"/>
    </w:p>
    <w:p w:rsidR="00F4654E" w:rsidRDefault="00F4654E">
      <w:pPr>
        <w:pStyle w:val="a5"/>
      </w:pPr>
      <w:r>
        <w:t>Всероссийский НИВИ патологии, фармакологии и терапии</w:t>
      </w:r>
    </w:p>
    <w:p w:rsidR="00F4654E" w:rsidRDefault="00F4654E">
      <w:pPr>
        <w:pStyle w:val="a6"/>
      </w:pPr>
      <w:r>
        <w:t xml:space="preserve">Животный организм постоянно испытывает воздействие различных чужеродных веществ, которые попадают в него из внешней среды. От вторжения чужеродных ему веществ в свой гомеостаз, он защищается с </w:t>
      </w:r>
      <w:r>
        <w:lastRenderedPageBreak/>
        <w:t>помощью антител различной сложности по строению и функциям, которых только в крови имеется от 25 до 40 г/л. Антигены стимулируют образов</w:t>
      </w:r>
      <w:r>
        <w:t>а</w:t>
      </w:r>
      <w:r>
        <w:t>ние антител и их активность. Но процесс этот не бесконтрольный, а строго регламентированный, т.е. иммунообразование идет до определенного пр</w:t>
      </w:r>
      <w:r>
        <w:t>е</w:t>
      </w:r>
      <w:r>
        <w:t>дела и в зависимости от возможностей организма. Степень активности и</w:t>
      </w:r>
      <w:r>
        <w:t>м</w:t>
      </w:r>
      <w:r>
        <w:t>мунитета сдерживают различные процессы ингибирования, которые шир</w:t>
      </w:r>
      <w:r>
        <w:t>о</w:t>
      </w:r>
      <w:r>
        <w:t>ко представлены в животном организме. Один из таких факторов был в</w:t>
      </w:r>
      <w:r>
        <w:t>ы</w:t>
      </w:r>
      <w:r>
        <w:t>явлен воронежскими учеными Н.В. Журавлевой и М.В. Земсковым (1985). Работы в этом направлении активно продолжает Н.К. Родосская (1986, 1989, 1992, 1998, 2001). Естественный ингибирующий фактор (ЕИФ) при электрофорезе белков сыворотки мигрирует с альбуминами. Фактор у</w:t>
      </w:r>
      <w:r>
        <w:t>с</w:t>
      </w:r>
      <w:r>
        <w:t>тойчив к нагреванию до 60</w:t>
      </w:r>
      <w:r>
        <w:sym w:font="Symbol" w:char="F0B0"/>
      </w:r>
      <w:r>
        <w:t>С, видовонеспецифичен. Он является одним из механизмов поздно действующей супрессии. ЕИФ противодействует трансформации антигенреактивного В – лимфоцита в плазмобластпрод</w:t>
      </w:r>
      <w:r>
        <w:t>у</w:t>
      </w:r>
      <w:r>
        <w:t>цент антител. Кроме того, он подавляет активность одного из самого мо</w:t>
      </w:r>
      <w:r>
        <w:t>щ</w:t>
      </w:r>
      <w:r>
        <w:t>ного класса иммуноглобулинов – М, который имеет 10 антиген связыва</w:t>
      </w:r>
      <w:r>
        <w:t>ю</w:t>
      </w:r>
      <w:r>
        <w:t>щих центров и принимает участие в большом количестве реакций по св</w:t>
      </w:r>
      <w:r>
        <w:t>я</w:t>
      </w:r>
      <w:r>
        <w:t>зыванию чужеродных веществ в организме. Неспецифичность ЕИФ, а так же нестойкость при хранении сывороток объясняется зависимостью ЕИФ от концентрации тиоловых групп крови и аминокислоты цистеина. Введ</w:t>
      </w:r>
      <w:r>
        <w:t>е</w:t>
      </w:r>
      <w:r>
        <w:t>ние указанных веществ в кровь активизирует образование ингибирующего фактора. По данным выше приведенных авторов ЕИФ сыворотки крови – это комплексный фактор, представляющий собой дисульфид альбумина и низкомолекулярного тиола цистеина, образуемый в результате закономе</w:t>
      </w:r>
      <w:r>
        <w:t>р</w:t>
      </w:r>
      <w:r>
        <w:t>ностей тиолдисульфидного обмена.</w:t>
      </w:r>
    </w:p>
    <w:p w:rsidR="00F4654E" w:rsidRDefault="00F4654E">
      <w:pPr>
        <w:pStyle w:val="a6"/>
      </w:pPr>
      <w:r>
        <w:t>Интерес исследователей к ЕИФ связан с тем, что он включается при различных нагрузках на животный организм</w:t>
      </w:r>
      <w:r>
        <w:sym w:font="Symbol" w:char="F03A"/>
      </w:r>
      <w:r>
        <w:t xml:space="preserve"> беременности, стрессах, ра</w:t>
      </w:r>
      <w:r>
        <w:t>з</w:t>
      </w:r>
      <w:r>
        <w:t>личных патологических процессах и формах их тяжести. От его функци</w:t>
      </w:r>
      <w:r>
        <w:t>о</w:t>
      </w:r>
      <w:r>
        <w:t>нирования зависит уровень антителообразования и активность антител, продолжительность и тяжесть болезней, сроки выздоровления. Имея пр</w:t>
      </w:r>
      <w:r>
        <w:t>я</w:t>
      </w:r>
      <w:r>
        <w:t>мое влияние на уровень и активность иммунитета ЕИФ расценивается как фактор иммунологической недостаточности, имеющей среди животных широкое распространение и различную степень выраженности. Он опред</w:t>
      </w:r>
      <w:r>
        <w:t>е</w:t>
      </w:r>
      <w:r>
        <w:t>ляется в сыворотке крови с помощью реакции ингибирования агглютин</w:t>
      </w:r>
      <w:r>
        <w:t>а</w:t>
      </w:r>
      <w:r>
        <w:t>ции, особенностям пр</w:t>
      </w:r>
      <w:r>
        <w:t>о</w:t>
      </w:r>
      <w:r>
        <w:t>ведения которой у животных и посвящена данная работа.</w:t>
      </w:r>
    </w:p>
    <w:p w:rsidR="00F4654E" w:rsidRDefault="00F4654E">
      <w:pPr>
        <w:pStyle w:val="a6"/>
      </w:pPr>
      <w:r>
        <w:t>Для производства реакции необходим эритроцитарный антигенный шигиллезный диагностикум, который выпускает государственное унита</w:t>
      </w:r>
      <w:r>
        <w:t>р</w:t>
      </w:r>
      <w:r>
        <w:t>ное предприятие по производству бактериальных препаратов им Г.Н. Га</w:t>
      </w:r>
      <w:r>
        <w:t>б</w:t>
      </w:r>
      <w:r>
        <w:t>ричевского (г.Москва) и применяют в реакции пассивной (РПГА) и непр</w:t>
      </w:r>
      <w:r>
        <w:t>я</w:t>
      </w:r>
      <w:r>
        <w:t>мой (РНГА) гемагглютинации с целью выявления в биоматериале антител к шигеллам. В нем имеется 4 ампулы по 20 мл эритроцитов барана, сенс</w:t>
      </w:r>
      <w:r>
        <w:t>и</w:t>
      </w:r>
      <w:r>
        <w:t xml:space="preserve">билизированных к шигеллам и 1 ампула стандартной сыворотки (тест – </w:t>
      </w:r>
      <w:r>
        <w:lastRenderedPageBreak/>
        <w:t>сыворотки) с титром 1</w:t>
      </w:r>
      <w:r>
        <w:sym w:font="Symbol" w:char="F03A"/>
      </w:r>
      <w:r>
        <w:t>12800 или 1</w:t>
      </w:r>
      <w:r>
        <w:sym w:font="Symbol" w:char="F03A"/>
      </w:r>
      <w:r>
        <w:t>25600, полученных от иммунизирова</w:t>
      </w:r>
      <w:r>
        <w:t>н</w:t>
      </w:r>
      <w:r>
        <w:t>ных шигеллами животных.</w:t>
      </w:r>
    </w:p>
    <w:p w:rsidR="00F4654E" w:rsidRDefault="00F4654E">
      <w:pPr>
        <w:pStyle w:val="a6"/>
      </w:pPr>
      <w:r>
        <w:t>При выполнении данной методики можно использовать и другие д</w:t>
      </w:r>
      <w:r>
        <w:t>и</w:t>
      </w:r>
      <w:r>
        <w:t>агностикумы, имеющиеся в любой серологической лаборатории.</w:t>
      </w:r>
    </w:p>
    <w:p w:rsidR="00F4654E" w:rsidRDefault="00F4654E">
      <w:pPr>
        <w:pStyle w:val="a6"/>
      </w:pPr>
      <w:r>
        <w:t>В начале готовится рабочий раствор исследуемой сыворотки живо</w:t>
      </w:r>
      <w:r>
        <w:t>т</w:t>
      </w:r>
      <w:r>
        <w:t>ного. Для этого сыворотку крови предварительно разводят изотоническим раствором натрия хлорида 1</w:t>
      </w:r>
      <w:r>
        <w:sym w:font="Symbol" w:char="F03A"/>
      </w:r>
      <w:r>
        <w:t>40, т.е. к 3,9 мл физиологического раствора добавляет 0,1 мл свежевзятой сыворотки животного.</w:t>
      </w:r>
    </w:p>
    <w:p w:rsidR="00F4654E" w:rsidRDefault="00F4654E">
      <w:pPr>
        <w:pStyle w:val="a6"/>
      </w:pPr>
      <w:r>
        <w:t>В ампулу стандартной сыворотки вливают 1мл дистиллированной в</w:t>
      </w:r>
      <w:r>
        <w:t>о</w:t>
      </w:r>
      <w:r>
        <w:t>ды и переводят ее из сухого (лиофилизированного) состояния в жидкое. Затем готовят рабочий раствор этой тест – сыворотки. Для этого ее разв</w:t>
      </w:r>
      <w:r>
        <w:t>о</w:t>
      </w:r>
      <w:r>
        <w:t>дят 1</w:t>
      </w:r>
      <w:r>
        <w:sym w:font="Symbol" w:char="F03A"/>
      </w:r>
      <w:r>
        <w:t>20, т.е. к 1,9 мл физраствора добавляют 0,1 мл сыворотки. Если и</w:t>
      </w:r>
      <w:r>
        <w:t>с</w:t>
      </w:r>
      <w:r>
        <w:t>следуется на ЕИФ не одна, а несколько сывороток крови от животных, то соответственно увеличивается количество взятых компонентов. Одной а</w:t>
      </w:r>
      <w:r>
        <w:t>м</w:t>
      </w:r>
      <w:r>
        <w:t>пулы тест – сыворотки хватает на 20 анализов. Здесь следует указать, что вскрытие ампулы, разбавление ее содержимого и переливание в гермети</w:t>
      </w:r>
      <w:r>
        <w:t>ч</w:t>
      </w:r>
      <w:r>
        <w:t>ную посуду осуществляют в стерильных условиях. Это самый дефицитный компонент диагностического набора. В случае ее не использования в день вскрытия она может храниться в условиях холодильника не менее двух н</w:t>
      </w:r>
      <w:r>
        <w:t>е</w:t>
      </w:r>
      <w:r>
        <w:t>дель без снижения ее активности.</w:t>
      </w:r>
    </w:p>
    <w:p w:rsidR="00F4654E" w:rsidRDefault="00F4654E">
      <w:pPr>
        <w:pStyle w:val="a6"/>
      </w:pPr>
      <w:r>
        <w:t>Готовят опытную пробу. Для этого 1 мл рабочего раствора тест – с</w:t>
      </w:r>
      <w:r>
        <w:t>ы</w:t>
      </w:r>
      <w:r>
        <w:t>воротки 1</w:t>
      </w:r>
      <w:r>
        <w:sym w:font="Symbol" w:char="F03A"/>
      </w:r>
      <w:r>
        <w:t>20 смешивают с 1 мл рабочего раствора 1</w:t>
      </w:r>
      <w:r>
        <w:sym w:font="Symbol" w:char="F03A"/>
      </w:r>
      <w:r>
        <w:t>40 исследуемой сыв</w:t>
      </w:r>
      <w:r>
        <w:t>о</w:t>
      </w:r>
      <w:r>
        <w:t>ротки животного в отдельной пробирке и смесь закрывают резиновой пробкой. Параллельно готовят контрольную пробу путем смешивания 1 мл рабочего раствора тест – сыворотки 1</w:t>
      </w:r>
      <w:r>
        <w:sym w:font="Symbol" w:char="F03A"/>
      </w:r>
      <w:r>
        <w:t>20 с 1 мл физиологического раствора и смесь также закрывают пробкой. Обе пробирки помещают в термостат при 37</w:t>
      </w:r>
      <w:r>
        <w:sym w:font="Symbol" w:char="F0B0"/>
      </w:r>
      <w:r>
        <w:t>С на 3 часа, где в случае наличия ингибирующего фактора прои</w:t>
      </w:r>
      <w:r>
        <w:t>с</w:t>
      </w:r>
      <w:r>
        <w:t>ходит его соединение с макромолекулярными антителами (иммуноглоб</w:t>
      </w:r>
      <w:r>
        <w:t>у</w:t>
      </w:r>
      <w:r>
        <w:t>линами класса М) тест – сыворотки. При этом происходит блокирование их агглютинационной способности, в зависимости от количества иммун</w:t>
      </w:r>
      <w:r>
        <w:t>о</w:t>
      </w:r>
      <w:r>
        <w:t>супрессора. От этого реакция агглютинации слабеет, а титр ее реализации уменьшается. Эту трех часовую паузу используют для подготовки дал</w:t>
      </w:r>
      <w:r>
        <w:t>ь</w:t>
      </w:r>
      <w:r>
        <w:t>нейшего хода реакции. Лунки полистирольного планшета заливают по 1 мл физиологического раствора. Заполняют столько рядов по 12 лунок в каждом, сколько было опытных проб и дополнительно еще один ряд для контроля. Эту работу быстрее и удобнее выполнить при помощи автом</w:t>
      </w:r>
      <w:r>
        <w:t>а</w:t>
      </w:r>
      <w:r>
        <w:t>тической п</w:t>
      </w:r>
      <w:r>
        <w:t>и</w:t>
      </w:r>
      <w:r>
        <w:t>петки на такую емкость.</w:t>
      </w:r>
    </w:p>
    <w:p w:rsidR="00F4654E" w:rsidRDefault="00F4654E">
      <w:pPr>
        <w:pStyle w:val="a6"/>
      </w:pPr>
      <w:r>
        <w:t>По истечении 3 часового инкубационного времени на планшете ст</w:t>
      </w:r>
      <w:r>
        <w:t>а</w:t>
      </w:r>
      <w:r>
        <w:t>вится реакция агглютинации методом серийных разведений в объеме 1 мл. Для этого берут 1 мл смеси реагентов опытной пробирки и разбавляют физраствором до 12 лунки, где лишний 1 мл выливают в раковину. Так п</w:t>
      </w:r>
      <w:r>
        <w:t>о</w:t>
      </w:r>
      <w:r>
        <w:t xml:space="preserve">ступают и с контрольной пробиркой. Затем во все залитые реагентами </w:t>
      </w:r>
      <w:r>
        <w:lastRenderedPageBreak/>
        <w:t>лунки планшета добавляют по 0,1 мл автоматической или по 3-4 капли пастеровской пипеткой, предварительно взмученные в ампуле эритроциты. Планшет слегка встряхивают и ставят в термостат на 2 часа. Если работа по постановке реакции подошла до 16-17 часов реального времени, то планшет обворачивают тонкой полиэтиленовой пленкой и ставят в терм</w:t>
      </w:r>
      <w:r>
        <w:t>о</w:t>
      </w:r>
      <w:r>
        <w:t>стат до следующего дня, т.е. на 16-20 часов без ущерба для результатов.</w:t>
      </w:r>
    </w:p>
    <w:p w:rsidR="00F4654E" w:rsidRDefault="00F4654E">
      <w:pPr>
        <w:pStyle w:val="a6"/>
      </w:pPr>
      <w:r>
        <w:t>После этого осуществляют учет реакции агглютинации в каждой лу</w:t>
      </w:r>
      <w:r>
        <w:t>н</w:t>
      </w:r>
      <w:r>
        <w:t>ке по общеизвестной в серологии 4 – крестовой системе (4+, 3+, 2+, 1+). Читать реакцию лучше всего на бумаге для ксерокопирования со степенью белизны 96 – 98%. Положительная реакция в четыре креста характеризуе</w:t>
      </w:r>
      <w:r>
        <w:t>т</w:t>
      </w:r>
      <w:r>
        <w:t>ся тем, что эритроциты осели на сферическое дно лунки в виде зонтика с четко выр</w:t>
      </w:r>
      <w:r>
        <w:t>а</w:t>
      </w:r>
      <w:r>
        <w:t>женной окантовкой по краям. Отрицательная реакция выражена тем, что эритроциты тоже осели на дно лунки, но в виде темно – коричн</w:t>
      </w:r>
      <w:r>
        <w:t>е</w:t>
      </w:r>
      <w:r>
        <w:t>вых пуговок 3-4 мм в диаметре. Растворы над дном лунок при полож</w:t>
      </w:r>
      <w:r>
        <w:t>и</w:t>
      </w:r>
      <w:r>
        <w:t>тельных и отрицательных реакциях во всех случаях должны быть прозра</w:t>
      </w:r>
      <w:r>
        <w:t>ч</w:t>
      </w:r>
      <w:r>
        <w:t>ными.</w:t>
      </w:r>
    </w:p>
    <w:p w:rsidR="00F4654E" w:rsidRDefault="00F4654E">
      <w:pPr>
        <w:pStyle w:val="a6"/>
      </w:pPr>
      <w:r>
        <w:t>Для учета результатов чертят специальный лист, где делают 12 граф по количеству лунок в планшете. Под каждой графой пишется степень ра</w:t>
      </w:r>
      <w:r>
        <w:t>з</w:t>
      </w:r>
      <w:r>
        <w:t>ведения. Так в 1 лунке будет разведение 1:80, а в 12-й - 1:327680. В ка</w:t>
      </w:r>
      <w:r>
        <w:t>ж</w:t>
      </w:r>
      <w:r>
        <w:t>дую графу вписывается степень выраженности реакции по цифровой кр</w:t>
      </w:r>
      <w:r>
        <w:t>е</w:t>
      </w:r>
      <w:r>
        <w:t>стовой системе и выводят суммарный титр. Он представляет собой сумму знаков интенсивности агглютинации во всех лунках ряда. Затем выводят индекс ингибирования – это отношению суммарного титра контрольного ряда к суммарному титру опытного ряда. Реакция ингибирования агглют</w:t>
      </w:r>
      <w:r>
        <w:t>и</w:t>
      </w:r>
      <w:r>
        <w:t xml:space="preserve">нации считается положительной, если индекс ингибирования равен или больше цифры 1,20. Если в крови животных ингибирующего фактора нет, то индекс ингибирования колеблется в пределах 0,93 – 1,20.        </w:t>
      </w:r>
    </w:p>
    <w:p w:rsidR="00F4654E" w:rsidRDefault="00F4654E">
      <w:pPr>
        <w:pStyle w:val="a4"/>
      </w:pPr>
      <w:r>
        <w:t>УДК 619:618.14-002-08:636./.28</w:t>
      </w:r>
    </w:p>
    <w:p w:rsidR="00F4654E" w:rsidRDefault="00F4654E">
      <w:pPr>
        <w:pStyle w:val="1"/>
      </w:pPr>
      <w:bookmarkStart w:id="2332" w:name="_Toc10731330"/>
      <w:bookmarkStart w:id="2333" w:name="_Toc10731991"/>
      <w:bookmarkStart w:id="2334" w:name="_Toc10891837"/>
      <w:bookmarkStart w:id="2335" w:name="_Toc10892512"/>
      <w:bookmarkStart w:id="2336" w:name="_Toc11390369"/>
      <w:bookmarkStart w:id="2337" w:name="_Toc11840052"/>
      <w:bookmarkStart w:id="2338" w:name="_Toc11937588"/>
      <w:r>
        <w:t>ПРИМЕНЕНИЕ ФУПЭДИНА СО СРЕДСТВАМИ ЗАМЕСТИТЕЛЬНОЙ ТЕРАПИИ ПРИ ОСТРЫХ ПОСЛЕРОДОВЫХ ГНОЙНО-КАТАРАЛЬНЫХ ЭНДОМЕТРИТАХ У КОРОВ</w:t>
      </w:r>
      <w:bookmarkEnd w:id="2332"/>
      <w:bookmarkEnd w:id="2333"/>
      <w:bookmarkEnd w:id="2334"/>
      <w:bookmarkEnd w:id="2335"/>
      <w:bookmarkEnd w:id="2336"/>
      <w:bookmarkEnd w:id="2337"/>
      <w:bookmarkEnd w:id="2338"/>
    </w:p>
    <w:p w:rsidR="00F4654E" w:rsidRDefault="00F4654E">
      <w:pPr>
        <w:pStyle w:val="2"/>
      </w:pPr>
      <w:bookmarkStart w:id="2339" w:name="_Toc10731331"/>
      <w:bookmarkStart w:id="2340" w:name="_Toc10731992"/>
      <w:bookmarkStart w:id="2341" w:name="_Toc10891838"/>
      <w:bookmarkStart w:id="2342" w:name="_Toc10892513"/>
      <w:bookmarkStart w:id="2343" w:name="_Toc11390370"/>
      <w:bookmarkStart w:id="2344" w:name="_Toc11937589"/>
      <w:r>
        <w:t>Коба И.С. Турченко А.Н.</w:t>
      </w:r>
      <w:bookmarkEnd w:id="2339"/>
      <w:bookmarkEnd w:id="2340"/>
      <w:bookmarkEnd w:id="2341"/>
      <w:bookmarkEnd w:id="2342"/>
      <w:bookmarkEnd w:id="2343"/>
      <w:bookmarkEnd w:id="2344"/>
    </w:p>
    <w:p w:rsidR="00F4654E" w:rsidRDefault="00F4654E">
      <w:pPr>
        <w:pStyle w:val="a5"/>
      </w:pPr>
      <w:r>
        <w:t>Краснодарский научно-исследовательский ветеринарный институт</w:t>
      </w:r>
    </w:p>
    <w:p w:rsidR="00F4654E" w:rsidRDefault="00F4654E">
      <w:pPr>
        <w:pStyle w:val="a6"/>
      </w:pPr>
      <w:r>
        <w:t>В настоящее время наблюдается тенденция к уменьшению поголовья крупного рогатого скота, но при этом заболеваемость коров острым посл</w:t>
      </w:r>
      <w:r>
        <w:t>е</w:t>
      </w:r>
      <w:r>
        <w:t>родовым эндометритом остается на высоком уровне.</w:t>
      </w:r>
    </w:p>
    <w:p w:rsidR="00F4654E" w:rsidRDefault="00F4654E">
      <w:pPr>
        <w:pStyle w:val="a6"/>
      </w:pPr>
      <w:r>
        <w:t>В отделе патологии размножения сельскохозяйственных животных нами был разработан препарат  для лечения эндометритов у коров, кот</w:t>
      </w:r>
      <w:r>
        <w:t>о</w:t>
      </w:r>
      <w:r>
        <w:t>рый представляет  собой коричневую жидкость с рыхло бурым осадком, разбивающуюся при встряхивании в равномерную взвесь. В качестве а</w:t>
      </w:r>
      <w:r>
        <w:t>н</w:t>
      </w:r>
      <w:r>
        <w:t xml:space="preserve">тибактериальных средств используются высокомолекулярные соединения, </w:t>
      </w:r>
      <w:r>
        <w:lastRenderedPageBreak/>
        <w:t>параформальдегид и фурацилин, а также в качестве акцептора используе</w:t>
      </w:r>
      <w:r>
        <w:t>т</w:t>
      </w:r>
      <w:r>
        <w:t>ся природный полимер. Препарат наряду с антимикробным обладает пр</w:t>
      </w:r>
      <w:r>
        <w:t>о</w:t>
      </w:r>
      <w:r>
        <w:t xml:space="preserve">тивовоспалительным и вяжущим свойствами на слизистую оболочку, а также действует сокращающие на гладкую мускулатуру матки </w:t>
      </w:r>
    </w:p>
    <w:p w:rsidR="00F4654E" w:rsidRDefault="00F4654E">
      <w:pPr>
        <w:pStyle w:val="a6"/>
      </w:pPr>
      <w:r>
        <w:t>В первой серии опытов нами было проведено изучение эффективн</w:t>
      </w:r>
      <w:r>
        <w:t>о</w:t>
      </w:r>
      <w:r>
        <w:t>сти комплексного лечения коров с применением препарата фупэдин со средствами заместительной терапии. Опыт проводили на 48 коровах че</w:t>
      </w:r>
      <w:r>
        <w:t>р</w:t>
      </w:r>
      <w:r>
        <w:t>но-пестрой породы больных острым послеродовым гнойно-катаральным эндометритом. Животные отбирались по принципу аналогов (времени от</w:t>
      </w:r>
      <w:r>
        <w:t>е</w:t>
      </w:r>
      <w:r>
        <w:t>ла, продуктивности, живой массе, удою, условиям кормления и содерж</w:t>
      </w:r>
      <w:r>
        <w:t>а</w:t>
      </w:r>
      <w:r>
        <w:t>ния.) Коров разделили на две группы по 24 животных в каждой. В первой, опытной, группе применяли препарат фупэдин, который вводили внутр</w:t>
      </w:r>
      <w:r>
        <w:t>и</w:t>
      </w:r>
      <w:r>
        <w:t>маточно в дозе 100мл два дня подряд, затем через каждые сорок восемь ч</w:t>
      </w:r>
      <w:r>
        <w:t>а</w:t>
      </w:r>
      <w:r>
        <w:t xml:space="preserve">сов до полного клинического выздоровления. </w:t>
      </w:r>
    </w:p>
    <w:p w:rsidR="00F4654E" w:rsidRDefault="00F4654E">
      <w:pPr>
        <w:pStyle w:val="a6"/>
      </w:pPr>
      <w:r>
        <w:t>Во второй, контрольной группе, использовали 5% суспензию фураз</w:t>
      </w:r>
      <w:r>
        <w:t>о</w:t>
      </w:r>
      <w:r>
        <w:t>лидона, которую вводили каждые 24 часа в подогретом до 37°С внутрим</w:t>
      </w:r>
      <w:r>
        <w:t>а</w:t>
      </w:r>
      <w:r>
        <w:t xml:space="preserve">точно. Тривитамин инъецировали обеим группам в предлопаточную складку в подогретом виде до температуры тела животного в дозе 10мл. В первый, пятый и десятый день лечения. </w:t>
      </w:r>
    </w:p>
    <w:p w:rsidR="00F4654E" w:rsidRDefault="00F4654E">
      <w:pPr>
        <w:pStyle w:val="a6"/>
      </w:pPr>
      <w:r>
        <w:t>Применение препарата фупэдин с тривитамином позволило снизить кратность введения препарата на 2,3 раза. Количество дней лечения в ко</w:t>
      </w:r>
      <w:r>
        <w:t>н</w:t>
      </w:r>
      <w:r>
        <w:t>трольной группе составило 25,4 дня, а в опытной 8,8 дней, что на 16.6 дня меньше чем в контрольной.</w:t>
      </w:r>
    </w:p>
    <w:p w:rsidR="00F4654E" w:rsidRDefault="00F4654E">
      <w:pPr>
        <w:pStyle w:val="a6"/>
      </w:pPr>
      <w:r>
        <w:t>Терапевтическая эффективность лечения препаратом фупэдин сост</w:t>
      </w:r>
      <w:r>
        <w:t>а</w:t>
      </w:r>
      <w:r>
        <w:t>вила 95,8%, что на 16,7% выше по сравнению с контролем. Срок от отела до оплодотворения в первой группе составил 68,6 дня, а во второй ко</w:t>
      </w:r>
      <w:r>
        <w:t>н</w:t>
      </w:r>
      <w:r>
        <w:t>трольной группе 118,7дня.</w:t>
      </w:r>
    </w:p>
    <w:p w:rsidR="00F4654E" w:rsidRDefault="00F4654E">
      <w:pPr>
        <w:pStyle w:val="a6"/>
      </w:pPr>
      <w:r>
        <w:t>Во второй серии опытов мы определяли терапевтическую эффекти</w:t>
      </w:r>
      <w:r>
        <w:t>в</w:t>
      </w:r>
      <w:r>
        <w:t>ность препарата фупэдин на 150 коровах с острым послеродовым гнойно-катаральным эндометритом, клинические признаки которого появлялись в основном на 8-16 день после отела в сравнительном аспекте с широко применяемыми в ветеринарной гинекологии препаратами: 5%-ная эмул</w:t>
      </w:r>
      <w:r>
        <w:t>ь</w:t>
      </w:r>
      <w:r>
        <w:t>сия ИВСТ-Ф, тиксотропин; лефуран, 2%-ная эмульсия фурацилина.</w:t>
      </w:r>
    </w:p>
    <w:p w:rsidR="00F4654E" w:rsidRDefault="00F4654E">
      <w:pPr>
        <w:pStyle w:val="a6"/>
      </w:pPr>
      <w:r>
        <w:t>Характерными клиническими признаками больных коров являлись: изменение лохий - слизисто-гнойные, жидкие, серые, обильные часто с ихорозным запахом, при ректальном исследовании - матка увеличена, н</w:t>
      </w:r>
      <w:r>
        <w:t>а</w:t>
      </w:r>
      <w:r>
        <w:t>пряжена в основном опущена в брюшную полость. У 70% больных коров наблюдается ремитирующая лихорадка, у 30% из них отмечали увеличение пульса на 3-5 ударов от нормы.</w:t>
      </w:r>
    </w:p>
    <w:p w:rsidR="00F4654E" w:rsidRDefault="00F4654E">
      <w:pPr>
        <w:pStyle w:val="a6"/>
      </w:pPr>
      <w:r>
        <w:t>Критерием выздоровления служило изменение клинических призн</w:t>
      </w:r>
      <w:r>
        <w:t>а</w:t>
      </w:r>
      <w:r>
        <w:t>ков: резкое снижение выделений из матки, они становятся светлыми, вя</w:t>
      </w:r>
      <w:r>
        <w:t>з</w:t>
      </w:r>
      <w:r>
        <w:t>кими. Отсутствует ихорозный запах. Температура, пульс коров - в пред</w:t>
      </w:r>
      <w:r>
        <w:t>е</w:t>
      </w:r>
      <w:r>
        <w:t xml:space="preserve">лах нормы. Корень хвоста сухой и чистый. При ректальном исследовании - </w:t>
      </w:r>
      <w:r>
        <w:lastRenderedPageBreak/>
        <w:t>матка находится в тазовой полости, рога матки эластично-упругие в о</w:t>
      </w:r>
      <w:r>
        <w:t>с</w:t>
      </w:r>
      <w:r>
        <w:t>новном подвернутые находятся у корня хвоста.</w:t>
      </w:r>
    </w:p>
    <w:p w:rsidR="00F4654E" w:rsidRDefault="00F4654E">
      <w:pPr>
        <w:pStyle w:val="a6"/>
      </w:pPr>
      <w:r>
        <w:t>Коровам первой (опытной) группы, после наведения туалета нару</w:t>
      </w:r>
      <w:r>
        <w:t>ж</w:t>
      </w:r>
      <w:r>
        <w:t>ных половых органов, внутриматочно вводили препарат фупэдин, испол</w:t>
      </w:r>
      <w:r>
        <w:t>ь</w:t>
      </w:r>
      <w:r>
        <w:t>зуя стерильные: шприц ЖАНЭ, переходник и осеменительную пипетку, в дозе 100 мл, через 48 часов до клинического выздоровления.</w:t>
      </w:r>
    </w:p>
    <w:p w:rsidR="00F4654E" w:rsidRDefault="00F4654E">
      <w:pPr>
        <w:pStyle w:val="a6"/>
      </w:pPr>
      <w:r>
        <w:t>Остальным группам коров (контрольным) - вводили вышеуказанные препараты согласно наставлений по их применению.</w:t>
      </w:r>
    </w:p>
    <w:p w:rsidR="00F4654E" w:rsidRDefault="00F4654E">
      <w:pPr>
        <w:pStyle w:val="a6"/>
      </w:pPr>
      <w:r>
        <w:t>Всем группам животных на 1, 5 и 10 дни лечения вводили молозиво в дозе 25-30 мл - как патогенетическое средство. За группами животных в</w:t>
      </w:r>
      <w:r>
        <w:t>е</w:t>
      </w:r>
      <w:r>
        <w:t>ли   постоянное наблюдение и учитывали: терапевтическую эффекти</w:t>
      </w:r>
      <w:r>
        <w:t>в</w:t>
      </w:r>
      <w:r>
        <w:t>ность, срок лечения, кратность введения препаратов и количество дней бесплодия, препарат фупэдин оказался на 3-26,4% эффективнее по сравн</w:t>
      </w:r>
      <w:r>
        <w:t>е</w:t>
      </w:r>
      <w:r>
        <w:t>нию с контрольными препаратами, при этом кратность его введения оказ</w:t>
      </w:r>
      <w:r>
        <w:t>а</w:t>
      </w:r>
      <w:r>
        <w:t>лась на 2,4-3,6 раза меньше, срок лечения больных животных на 0,5-8,5 дня короче, а также количество дней бесплодия сократилось на 3,8-26,6 дней по сравнению с аналогичными по действию препаратами.</w:t>
      </w:r>
    </w:p>
    <w:p w:rsidR="00F4654E" w:rsidRDefault="00F4654E">
      <w:pPr>
        <w:pStyle w:val="a6"/>
      </w:pPr>
      <w:r>
        <w:t>Проведенные исследования позволяют утверждать, что препарат ф</w:t>
      </w:r>
      <w:r>
        <w:t>у</w:t>
      </w:r>
      <w:r>
        <w:t>пэдин является высокоэффективным средством при лечении коров с ос</w:t>
      </w:r>
      <w:r>
        <w:t>т</w:t>
      </w:r>
      <w:r>
        <w:t>рым послеродовым катарально-гнойным эндометритом у коров.</w:t>
      </w:r>
    </w:p>
    <w:p w:rsidR="00F4654E" w:rsidRDefault="00F4654E">
      <w:pPr>
        <w:pStyle w:val="a4"/>
      </w:pPr>
      <w:r>
        <w:t xml:space="preserve">УДК 636:619:615.2  </w:t>
      </w:r>
    </w:p>
    <w:p w:rsidR="00F4654E" w:rsidRDefault="00F4654E">
      <w:pPr>
        <w:pStyle w:val="1"/>
      </w:pPr>
      <w:bookmarkStart w:id="2345" w:name="_Toc10731332"/>
      <w:bookmarkStart w:id="2346" w:name="_Toc10731993"/>
      <w:bookmarkStart w:id="2347" w:name="_Toc10891839"/>
      <w:bookmarkStart w:id="2348" w:name="_Toc10892514"/>
      <w:bookmarkStart w:id="2349" w:name="_Toc11390371"/>
      <w:bookmarkStart w:id="2350" w:name="_Toc11840054"/>
      <w:bookmarkStart w:id="2351" w:name="_Toc11937590"/>
      <w:r>
        <w:t>ИММУНОПРОФИЛАКТИКА И ТЕРАПИЯ БОЛЕЗНЕЙ МОЛОДНЯКА</w:t>
      </w:r>
      <w:bookmarkEnd w:id="2345"/>
      <w:bookmarkEnd w:id="2346"/>
      <w:bookmarkEnd w:id="2347"/>
      <w:bookmarkEnd w:id="2348"/>
      <w:bookmarkEnd w:id="2349"/>
      <w:bookmarkEnd w:id="2350"/>
      <w:bookmarkEnd w:id="2351"/>
    </w:p>
    <w:p w:rsidR="00F4654E" w:rsidRDefault="00F4654E">
      <w:pPr>
        <w:pStyle w:val="2"/>
      </w:pPr>
      <w:bookmarkStart w:id="2352" w:name="_Toc10731333"/>
      <w:bookmarkStart w:id="2353" w:name="_Toc10731994"/>
      <w:bookmarkStart w:id="2354" w:name="_Toc10891840"/>
      <w:bookmarkStart w:id="2355" w:name="_Toc10892515"/>
      <w:bookmarkStart w:id="2356" w:name="_Toc11390372"/>
      <w:bookmarkStart w:id="2357" w:name="_Toc11937591"/>
      <w:r>
        <w:t>Ковалев М.М.</w:t>
      </w:r>
      <w:bookmarkEnd w:id="2352"/>
      <w:bookmarkEnd w:id="2353"/>
      <w:bookmarkEnd w:id="2354"/>
      <w:bookmarkEnd w:id="2355"/>
      <w:bookmarkEnd w:id="2356"/>
      <w:bookmarkEnd w:id="2357"/>
    </w:p>
    <w:p w:rsidR="00F4654E" w:rsidRDefault="00F4654E">
      <w:pPr>
        <w:pStyle w:val="a5"/>
      </w:pPr>
      <w:r>
        <w:t xml:space="preserve">Волгоградский НИИ мясо-молочного скотоводства и </w:t>
      </w:r>
      <w:r>
        <w:br/>
        <w:t>переработки продукции животноводства</w:t>
      </w:r>
    </w:p>
    <w:p w:rsidR="00F4654E" w:rsidRDefault="00F4654E">
      <w:pPr>
        <w:pStyle w:val="a6"/>
      </w:pPr>
      <w:r>
        <w:t>В настоящее время огромные потери в животноводстве связаны не только с организационно-экономическими трудностями текущего периода. Определенную роль играют острые и особенно хронические инфекцио</w:t>
      </w:r>
      <w:r>
        <w:t>н</w:t>
      </w:r>
      <w:r>
        <w:t>ные болезни животных.</w:t>
      </w:r>
    </w:p>
    <w:p w:rsidR="00F4654E" w:rsidRDefault="00F4654E">
      <w:pPr>
        <w:pStyle w:val="a6"/>
      </w:pPr>
      <w:r>
        <w:t>Различные техногенные факторы вызывают глубокие изменения в о</w:t>
      </w:r>
      <w:r>
        <w:t>р</w:t>
      </w:r>
      <w:r>
        <w:t>ганизме животного с появлением определенных системных патологий. Иммунодефициты и стрессы крайне отрицательно влияют на организм ж</w:t>
      </w:r>
      <w:r>
        <w:t>и</w:t>
      </w:r>
      <w:r>
        <w:t>вотного. Потери от болезней особенно выражены в определенные периоды технологического цикла (предродовой, родовой, постродовой у матерей, ранние этапы жизни у новорожденных, отъем молодняка от матерей, ра</w:t>
      </w:r>
      <w:r>
        <w:t>з</w:t>
      </w:r>
      <w:r>
        <w:t>личные инвазии и т.д.). Здоровое стадо начинается со здорового молодн</w:t>
      </w:r>
      <w:r>
        <w:t>я</w:t>
      </w:r>
      <w:r>
        <w:t>ка. От больного и ослабленного поросенка, теленка невозможно вырастить здоровое высокопродуктивное животное.</w:t>
      </w:r>
    </w:p>
    <w:p w:rsidR="00F4654E" w:rsidRDefault="00F4654E">
      <w:pPr>
        <w:pStyle w:val="a6"/>
      </w:pPr>
      <w:r>
        <w:t>Здоровье животных зависит от ряда факторов. К их числу относятся: содержание, кормление, программа прививок и, что наиболее важно, с</w:t>
      </w:r>
      <w:r>
        <w:t>о</w:t>
      </w:r>
      <w:r>
        <w:t>стояние иммунной системы. При иммунодефицитах чаще всего наблюд</w:t>
      </w:r>
      <w:r>
        <w:t>а</w:t>
      </w:r>
      <w:r>
        <w:lastRenderedPageBreak/>
        <w:t>ется: осложнения за счет других инфекций; увеличение конверсии корма; вторичная инфекция; снижение продуктивности; высокая выбраковка; сл</w:t>
      </w:r>
      <w:r>
        <w:t>а</w:t>
      </w:r>
      <w:r>
        <w:t>бая (низкая) реакция на вакцинацию; гибель животного.</w:t>
      </w:r>
    </w:p>
    <w:p w:rsidR="00F4654E" w:rsidRDefault="00F4654E">
      <w:pPr>
        <w:pStyle w:val="a6"/>
      </w:pPr>
      <w:r>
        <w:t>Ущерб от болезней, особенно у молодняка, остается высоким, что в</w:t>
      </w:r>
      <w:r>
        <w:t>е</w:t>
      </w:r>
      <w:r>
        <w:t>дет к увеличению расходов и общей себестоимости продукции.</w:t>
      </w:r>
    </w:p>
    <w:p w:rsidR="00F4654E" w:rsidRDefault="00F4654E">
      <w:pPr>
        <w:pStyle w:val="a6"/>
      </w:pPr>
      <w:r>
        <w:t>В связи с этим поиск новых средств для профилактики и лечения как заразных, так и незаразных болезней у животных является актуальным и обоснованным.</w:t>
      </w:r>
    </w:p>
    <w:p w:rsidR="00F4654E" w:rsidRDefault="00F4654E">
      <w:pPr>
        <w:pStyle w:val="a6"/>
      </w:pPr>
      <w:r>
        <w:t>В Волгоградской области накоплен достаточный опыт по использов</w:t>
      </w:r>
      <w:r>
        <w:t>а</w:t>
      </w:r>
      <w:r>
        <w:t>нию иммуномодуляторов при различных патологиях животных.</w:t>
      </w:r>
    </w:p>
    <w:p w:rsidR="00F4654E" w:rsidRDefault="00F4654E">
      <w:pPr>
        <w:pStyle w:val="a6"/>
      </w:pPr>
      <w:r>
        <w:t>Наилучшим решением проблемы иммунодефицита у животных явл</w:t>
      </w:r>
      <w:r>
        <w:t>я</w:t>
      </w:r>
      <w:r>
        <w:t>ется применение иммунокорректирующей терапии, разработанной специ</w:t>
      </w:r>
      <w:r>
        <w:t>а</w:t>
      </w:r>
      <w:r>
        <w:t>листами научно-исследовательского центра Игнатовой (НИЦИ). Это ДОСТИМ, МАСТИМ, ИММУНОФОР, ИММУНОПАРАЗИТАН.</w:t>
      </w:r>
    </w:p>
    <w:p w:rsidR="00F4654E" w:rsidRDefault="00F4654E">
      <w:pPr>
        <w:pStyle w:val="a6"/>
      </w:pPr>
      <w:r>
        <w:t>Корректировка иммунологических и других физиологических показ</w:t>
      </w:r>
      <w:r>
        <w:t>а</w:t>
      </w:r>
      <w:r>
        <w:t>телей организма до состояния нормы приводит к значительному (до 10-30%) повышению продуктивности у сельскохозяйственных животных. Предлагаемая программа оптимизирована для лечения и профилактики о</w:t>
      </w:r>
      <w:r>
        <w:t>с</w:t>
      </w:r>
      <w:r>
        <w:t>новных патологических состояний, возникающих у животных при небл</w:t>
      </w:r>
      <w:r>
        <w:t>а</w:t>
      </w:r>
      <w:r>
        <w:t>гоприятных условиях.</w:t>
      </w:r>
    </w:p>
    <w:p w:rsidR="00F4654E" w:rsidRDefault="00F4654E">
      <w:pPr>
        <w:pStyle w:val="a6"/>
      </w:pPr>
      <w:r>
        <w:t>Применение данной программы позволяет получать высококачес</w:t>
      </w:r>
      <w:r>
        <w:t>т</w:t>
      </w:r>
      <w:r>
        <w:t>венную экологически чистую продукцию, т.к. используемые в ней методы и средства прежде всего активизируют природно-защитные (адаптацио</w:t>
      </w:r>
      <w:r>
        <w:t>н</w:t>
      </w:r>
      <w:r>
        <w:t>ные) механизмы в организме животных.</w:t>
      </w:r>
    </w:p>
    <w:p w:rsidR="00F4654E" w:rsidRDefault="00F4654E">
      <w:pPr>
        <w:pStyle w:val="a6"/>
      </w:pPr>
      <w:r>
        <w:t>Основной концепцией предлагаемой программы является то, что пр</w:t>
      </w:r>
      <w:r>
        <w:t>и</w:t>
      </w:r>
      <w:r>
        <w:t>родой была создана система контроля за состоянием здоровья у животных. Называется она – система иммунитета.</w:t>
      </w:r>
    </w:p>
    <w:p w:rsidR="00F4654E" w:rsidRDefault="00F4654E">
      <w:pPr>
        <w:pStyle w:val="a6"/>
      </w:pPr>
      <w:r>
        <w:t>Программа по сохранению здоровья животных и повышению их пр</w:t>
      </w:r>
      <w:r>
        <w:t>о</w:t>
      </w:r>
      <w:r>
        <w:t>дуктивности предлагает два этапа:</w:t>
      </w:r>
    </w:p>
    <w:p w:rsidR="00F4654E" w:rsidRDefault="00F4654E">
      <w:pPr>
        <w:pStyle w:val="a6"/>
      </w:pPr>
      <w:r>
        <w:t>1.Подготовка матери к родам и укрепление здоровья новорожденных в первые дни жизни</w:t>
      </w:r>
    </w:p>
    <w:p w:rsidR="00F4654E" w:rsidRDefault="00F4654E">
      <w:pPr>
        <w:pStyle w:val="a6"/>
      </w:pPr>
      <w:r>
        <w:t>2. Интенсификация развития растущего организма и повышение его резистентности к болезнетворным агентам (прежде всего к возбудителям болезней респираторного и желудочно-кишечного трактов).</w:t>
      </w:r>
    </w:p>
    <w:p w:rsidR="00F4654E" w:rsidRDefault="00F4654E">
      <w:pPr>
        <w:pStyle w:val="a6"/>
      </w:pPr>
      <w:r>
        <w:t>Организм матери и плода нужно рассматривать как единую взаим</w:t>
      </w:r>
      <w:r>
        <w:t>о</w:t>
      </w:r>
      <w:r>
        <w:t>связанную систему. Поэтому нарождающийся молодняк может быть уже внутриутробно заражен патогенной микрофлорой. Не случайно показатели желудочно-кишечных заболеваний у новорожденных телят прямо корр</w:t>
      </w:r>
      <w:r>
        <w:t>е</w:t>
      </w:r>
      <w:r>
        <w:t>лируют с гинекологическими патологиями у коров: маститами, задержан</w:t>
      </w:r>
      <w:r>
        <w:t>и</w:t>
      </w:r>
      <w:r>
        <w:t>ем последов, эндометритами. Поэтому в основе предлагаемой системы л</w:t>
      </w:r>
      <w:r>
        <w:t>е</w:t>
      </w:r>
      <w:r>
        <w:t>жит положение о том, что работу по получению здорового приплода сл</w:t>
      </w:r>
      <w:r>
        <w:t>е</w:t>
      </w:r>
      <w:r>
        <w:t>дует начинать с матерей. Такой подход позволяет неспецифически пода</w:t>
      </w:r>
      <w:r>
        <w:t>в</w:t>
      </w:r>
      <w:r>
        <w:lastRenderedPageBreak/>
        <w:t xml:space="preserve">лять патогенную активность персистирующих вирусов и микроорганизмов и восстанавливать показатели гомеостаза плода и матери. </w:t>
      </w:r>
    </w:p>
    <w:p w:rsidR="00F4654E" w:rsidRDefault="00F4654E">
      <w:pPr>
        <w:pStyle w:val="a6"/>
      </w:pPr>
      <w:r>
        <w:t>У коров за 40-60 дней до отела (т. е. с момента запуска) проводят тщ</w:t>
      </w:r>
      <w:r>
        <w:t>а</w:t>
      </w:r>
      <w:r>
        <w:t>тельное обследование матери на наличие скрытых и клинических маст</w:t>
      </w:r>
      <w:r>
        <w:t>и</w:t>
      </w:r>
      <w:r>
        <w:t>тов. Всех больных подвергают интенсивному лечению с использованием эффективных методов. По возможности необходимо правильно сбаланс</w:t>
      </w:r>
      <w:r>
        <w:t>и</w:t>
      </w:r>
      <w:r>
        <w:t>ровать рационы матерей, исключая кислый силос, а также барду и другие корма, содержащие большое количество углеводов.</w:t>
      </w:r>
    </w:p>
    <w:p w:rsidR="00F4654E" w:rsidRDefault="00F4654E">
      <w:pPr>
        <w:pStyle w:val="a6"/>
      </w:pPr>
      <w:r>
        <w:t>За 30 дней до отела животным инъецируют внутримышечно ДОСТИМ, который оказывает иммуностимулирующее действие, напра</w:t>
      </w:r>
      <w:r>
        <w:t>в</w:t>
      </w:r>
      <w:r>
        <w:t>ленное в основном на активизацию клеточно- опосредованных реакций иммунной системы (фагоциты и Т-клетки).</w:t>
      </w:r>
    </w:p>
    <w:p w:rsidR="00F4654E" w:rsidRDefault="00F4654E">
      <w:pPr>
        <w:pStyle w:val="a6"/>
      </w:pPr>
      <w:r>
        <w:t>Под влиянием препарата усиливается фагоцитоз, повышается ант</w:t>
      </w:r>
      <w:r>
        <w:t>и</w:t>
      </w:r>
      <w:r>
        <w:t>токсическая активность печеночных и альвеолярных макрофагов. ДОСТИМ воздействует на Т-систему иммунитета, увеличивая количество и активность цитотоксических Т-лимфоцитов, направленных на уничтож</w:t>
      </w:r>
      <w:r>
        <w:t>е</w:t>
      </w:r>
      <w:r>
        <w:t>ние инфицированных вирусом клеток. ДОСТИМ предназначен для проф</w:t>
      </w:r>
      <w:r>
        <w:t>и</w:t>
      </w:r>
      <w:r>
        <w:t>лактики и терапии инфекционных заболеваний вирусной и микробной этиологии у сельскохозяйственных животных. Действие препарата прот</w:t>
      </w:r>
      <w:r>
        <w:t>е</w:t>
      </w:r>
      <w:r>
        <w:t>кает в течение 35-50 дней, поэтому его влияние будет ощущаться даже в родовой и ранний постродовой период.</w:t>
      </w:r>
    </w:p>
    <w:p w:rsidR="00F4654E" w:rsidRDefault="00F4654E">
      <w:pPr>
        <w:pStyle w:val="a6"/>
      </w:pPr>
      <w:r>
        <w:t>За 20 и за 10 дней до родов животным инъецируют внутримышечно препарат МАСТИМ, который оказывает иммуностимулирующее действие и активизирует В-систему иммунитета. Под действием препарата резко возрастает количество антителопродуцирующих клеток, усиливаются ки</w:t>
      </w:r>
      <w:r>
        <w:t>л</w:t>
      </w:r>
      <w:r>
        <w:t>лерные и переваривающие свойства клеток иммунной системы.  МАСТИМ повышает активность тканевых ферментов, принимающих участие в си</w:t>
      </w:r>
      <w:r>
        <w:t>н</w:t>
      </w:r>
      <w:r>
        <w:t>тезе белковых веществ, что приводит к значительной активизации реген</w:t>
      </w:r>
      <w:r>
        <w:t>е</w:t>
      </w:r>
      <w:r>
        <w:t>рационных процессов в органах и тканях. Препарат оказывает стимул</w:t>
      </w:r>
      <w:r>
        <w:t>и</w:t>
      </w:r>
      <w:r>
        <w:t>рующее действие на рост и развитие молодых животных. МАСТИМ пр</w:t>
      </w:r>
      <w:r>
        <w:t>и</w:t>
      </w:r>
      <w:r>
        <w:t>меняют для стимуляции иммунологической реактивности и регенерацио</w:t>
      </w:r>
      <w:r>
        <w:t>н</w:t>
      </w:r>
      <w:r>
        <w:t xml:space="preserve">ных процессов, протекающих в организме животного при заболеваниях инфекционной и неинфекционной этиологии. Используется для ускорения роста и увеличения мышечной массы у отстающих в развитии животных. </w:t>
      </w:r>
    </w:p>
    <w:p w:rsidR="00F4654E" w:rsidRDefault="00F4654E">
      <w:pPr>
        <w:pStyle w:val="a6"/>
      </w:pPr>
      <w:r>
        <w:t>Аналог МАСТИМа – ИММУНОФОР – представляет собой сыпучий порошок, который применяют путем добавления в корм. Препарат стим</w:t>
      </w:r>
      <w:r>
        <w:t>у</w:t>
      </w:r>
      <w:r>
        <w:t>лирует моторную и секреторную функции желудочно-кишечного тракта, способствует наиболее полному усвоению питательных веществ, соде</w:t>
      </w:r>
      <w:r>
        <w:t>р</w:t>
      </w:r>
      <w:r>
        <w:t>жащихся в корме. Под его влиянием повышается активность тканевых ферментов (рибонуклеаз, щелочной фосфатазы и др.), принимающих уч</w:t>
      </w:r>
      <w:r>
        <w:t>а</w:t>
      </w:r>
      <w:r>
        <w:t>стие в синтезе белковых веществ, ускоряется наращивание мышечной ма</w:t>
      </w:r>
      <w:r>
        <w:t>с</w:t>
      </w:r>
      <w:r>
        <w:t xml:space="preserve">сы. ИМУНОФОР стимулирует фагоцитарную и В-систему иммунитета, </w:t>
      </w:r>
      <w:r>
        <w:lastRenderedPageBreak/>
        <w:t>что способствует повышению сопротивляемости организма к различным инфекционным заболеваниям.</w:t>
      </w:r>
    </w:p>
    <w:p w:rsidR="00F4654E" w:rsidRDefault="00F4654E">
      <w:pPr>
        <w:pStyle w:val="a6"/>
      </w:pPr>
      <w:r>
        <w:t>Опыт показывает, что применение ДОСТИМа, МАСТИМа и ИММ</w:t>
      </w:r>
      <w:r>
        <w:t>У</w:t>
      </w:r>
      <w:r>
        <w:t>НОФОРа беременным самкам (коровам, свиньям и т.д.) в после</w:t>
      </w:r>
      <w:r>
        <w:t>д</w:t>
      </w:r>
      <w:r>
        <w:t>ний месяц перед родами, а также новорожденному молодняку в первые дни жизни позволяет в короткий срок снизить отход и заболеваемость ж</w:t>
      </w:r>
      <w:r>
        <w:t>и</w:t>
      </w:r>
      <w:r>
        <w:t>вотных на 4 – 6%.</w:t>
      </w:r>
    </w:p>
    <w:p w:rsidR="00F4654E" w:rsidRDefault="00F4654E">
      <w:pPr>
        <w:pStyle w:val="a4"/>
      </w:pPr>
      <w:r>
        <w:t xml:space="preserve">УДК 619:618.14-002:636.22/.28 </w:t>
      </w:r>
    </w:p>
    <w:p w:rsidR="00F4654E" w:rsidRDefault="00F4654E">
      <w:pPr>
        <w:pStyle w:val="1"/>
      </w:pPr>
      <w:bookmarkStart w:id="2358" w:name="_Toc10731334"/>
      <w:bookmarkStart w:id="2359" w:name="_Toc10731995"/>
      <w:bookmarkStart w:id="2360" w:name="_Toc10891841"/>
      <w:bookmarkStart w:id="2361" w:name="_Toc10892516"/>
      <w:bookmarkStart w:id="2362" w:name="_Toc11390373"/>
      <w:bookmarkStart w:id="2363" w:name="_Toc11840056"/>
      <w:bookmarkStart w:id="2364" w:name="_Toc11937592"/>
      <w:r>
        <w:t>Комплексная озонотерапия при эндометрите различного  происхождения у коров</w:t>
      </w:r>
      <w:bookmarkEnd w:id="2358"/>
      <w:bookmarkEnd w:id="2359"/>
      <w:bookmarkEnd w:id="2360"/>
      <w:bookmarkEnd w:id="2361"/>
      <w:bookmarkEnd w:id="2362"/>
      <w:bookmarkEnd w:id="2363"/>
      <w:bookmarkEnd w:id="2364"/>
    </w:p>
    <w:p w:rsidR="00F4654E" w:rsidRDefault="00F4654E">
      <w:pPr>
        <w:pStyle w:val="2"/>
      </w:pPr>
      <w:bookmarkStart w:id="2365" w:name="_Toc10731335"/>
      <w:bookmarkStart w:id="2366" w:name="_Toc10731996"/>
      <w:bookmarkStart w:id="2367" w:name="_Toc10891842"/>
      <w:bookmarkStart w:id="2368" w:name="_Toc10892517"/>
      <w:bookmarkStart w:id="2369" w:name="_Toc11390374"/>
      <w:bookmarkStart w:id="2370" w:name="_Toc11937593"/>
      <w:r>
        <w:t>Конопельцев И.Г., Филатов А.В.</w:t>
      </w:r>
      <w:bookmarkEnd w:id="2365"/>
      <w:bookmarkEnd w:id="2366"/>
      <w:bookmarkEnd w:id="2367"/>
      <w:bookmarkEnd w:id="2368"/>
      <w:bookmarkEnd w:id="2369"/>
      <w:bookmarkEnd w:id="2370"/>
    </w:p>
    <w:p w:rsidR="00F4654E" w:rsidRDefault="00F4654E">
      <w:pPr>
        <w:pStyle w:val="a5"/>
      </w:pPr>
      <w:r>
        <w:t xml:space="preserve">Вятская государственная сельскохозяйственная академия </w:t>
      </w:r>
    </w:p>
    <w:p w:rsidR="00F4654E" w:rsidRDefault="00F4654E">
      <w:pPr>
        <w:pStyle w:val="a6"/>
      </w:pPr>
      <w:r>
        <w:t>Воспаление в эндометрии у коров в послеродовой период возникает после нормальных и патологических родов, а также на фоне субинволюции матки. На основе многолетних наблюдений за течением послеродового п</w:t>
      </w:r>
      <w:r>
        <w:t>е</w:t>
      </w:r>
      <w:r>
        <w:t>риода у коров с годовой молочной продуктивностью 5 тыс. кг нами уст</w:t>
      </w:r>
      <w:r>
        <w:t>а</w:t>
      </w:r>
      <w:r>
        <w:t>новлено, что после нормальной родовой деятельности эндометрит развив</w:t>
      </w:r>
      <w:r>
        <w:t>а</w:t>
      </w:r>
      <w:r>
        <w:t>ется в среднем в течение года у 15,3% из них. После оперативного отдел</w:t>
      </w:r>
      <w:r>
        <w:t>е</w:t>
      </w:r>
      <w:r>
        <w:t>ния плодных оболочек и на фоне замедленной инволюции матки риск во</w:t>
      </w:r>
      <w:r>
        <w:t>з</w:t>
      </w:r>
      <w:r>
        <w:t xml:space="preserve">никновения заболевания соответственно повышается в 5,9 и 1,7 раза. При этом наблюдается снижение молочной продуктивности в период болезни, развившейся после нормальных родов в среднем на 8%, после задержания последа – на 26,7% и на фоне субинволюции матки – на 11,3%. </w:t>
      </w:r>
    </w:p>
    <w:p w:rsidR="00F4654E" w:rsidRDefault="00F4654E">
      <w:pPr>
        <w:pStyle w:val="a6"/>
      </w:pPr>
      <w:r>
        <w:t>Целью настоящей работы явилось изучение эффективности комплек</w:t>
      </w:r>
      <w:r>
        <w:t>с</w:t>
      </w:r>
      <w:r>
        <w:t>ной озонотерапии при эндометрите различного происхождения у коров.</w:t>
      </w:r>
    </w:p>
    <w:p w:rsidR="00F4654E" w:rsidRDefault="00F4654E">
      <w:pPr>
        <w:pStyle w:val="a6"/>
      </w:pPr>
      <w:r>
        <w:t>В случаях возникновения воспаления в слизистой оболочке матке п</w:t>
      </w:r>
      <w:r>
        <w:t>о</w:t>
      </w:r>
      <w:r>
        <w:t>сле нормальной родовой деятельности, оперативного отделения последа и на ф</w:t>
      </w:r>
      <w:r>
        <w:t>о</w:t>
      </w:r>
      <w:r>
        <w:t>не субинволюции матки, заболевших животных по принципу парных аналогов разделили на две группы – подопытную и контрольную. Вне з</w:t>
      </w:r>
      <w:r>
        <w:t>а</w:t>
      </w:r>
      <w:r>
        <w:t>висимости от происхождения эндометрита подопытных и контрольных животных лечили по одним схемам. В день постановки диагноза на заб</w:t>
      </w:r>
      <w:r>
        <w:t>о</w:t>
      </w:r>
      <w:r>
        <w:t>левание животным обеих групп  внутримышечно назначали 2 мл 2%-ного раствора синэстрола и 10 мл тривита. Инъекцию витаминов повторяли ч</w:t>
      </w:r>
      <w:r>
        <w:t>е</w:t>
      </w:r>
      <w:r>
        <w:t>рез 10 суток. Коровам подопытной группы на 3,5 и 7-ой дни болезни вну</w:t>
      </w:r>
      <w:r>
        <w:t>т</w:t>
      </w:r>
      <w:r>
        <w:t>ривенно струйно инфузировали 1000 мл ОФР совместно с 20 ЕД оксит</w:t>
      </w:r>
      <w:r>
        <w:t>о</w:t>
      </w:r>
      <w:r>
        <w:t>цина. Интраматочно ректоцервикальным способом с обязательной аппл</w:t>
      </w:r>
      <w:r>
        <w:t>и</w:t>
      </w:r>
      <w:r>
        <w:t>кацией слизистой оболочки цервикального канала с интервалом 48 часов в объеме 50 мл вводили Озонол РЖ. Комплексная схема лечения коров ко</w:t>
      </w:r>
      <w:r>
        <w:t>н</w:t>
      </w:r>
      <w:r>
        <w:t>трольной группы отличалась тем , что интравенозно им назначали 400 мл 20% раствора глюкозы, а в полость матки - 100 мл 10%-ной суспензии трициллина на рыбьем жире. Внутриматочные введения препаратов ос</w:t>
      </w:r>
      <w:r>
        <w:t>у</w:t>
      </w:r>
      <w:r>
        <w:lastRenderedPageBreak/>
        <w:t>ществляли до клинического выздоровление животных, но не более семи раз.</w:t>
      </w:r>
    </w:p>
    <w:p w:rsidR="00F4654E" w:rsidRDefault="00F4654E">
      <w:pPr>
        <w:pStyle w:val="a6"/>
      </w:pPr>
      <w:r>
        <w:t>Необходимость включения в состав комплексной схемы лечения по</w:t>
      </w:r>
      <w:r>
        <w:t>д</w:t>
      </w:r>
      <w:r>
        <w:t>опытных больных эндометритом коров ОФР продиктовано тем, что ра</w:t>
      </w:r>
      <w:r>
        <w:t>с</w:t>
      </w:r>
      <w:r>
        <w:t>творенный озон, попадая в кровяное русло способствует увеличению с</w:t>
      </w:r>
      <w:r>
        <w:t>о</w:t>
      </w:r>
      <w:r>
        <w:t>держания в крови 2, 3-дифосфоглицерата, ответственного за высвобожд</w:t>
      </w:r>
      <w:r>
        <w:t>е</w:t>
      </w:r>
      <w:r>
        <w:t>ние кислорода из эритроцитов в ткани, что улучшает их кислородный м</w:t>
      </w:r>
      <w:r>
        <w:t>е</w:t>
      </w:r>
      <w:r>
        <w:t>таболизм и наблюдается активация антиоксидантных ферментов. Кроме того, озону присущи дезинтоксикационный, противовоспалительный э</w:t>
      </w:r>
      <w:r>
        <w:t>ф</w:t>
      </w:r>
      <w:r>
        <w:t>фекты. В наших экспериментах было показано, что парентеральное введ</w:t>
      </w:r>
      <w:r>
        <w:t>е</w:t>
      </w:r>
      <w:r>
        <w:t>ние озона способствует улучшению микрогемоциркуляции, что возможно оптимизирует сократительную активность матки посредством блокиров</w:t>
      </w:r>
      <w:r>
        <w:t>а</w:t>
      </w:r>
      <w:r>
        <w:t xml:space="preserve">ния </w:t>
      </w:r>
      <w:r>
        <w:sym w:font="Symbol" w:char="F062"/>
      </w:r>
      <w:r>
        <w:t>-адренорецепторов миоцитов и гормонального соотношения в бол</w:t>
      </w:r>
      <w:r>
        <w:t>ь</w:t>
      </w:r>
      <w:r>
        <w:t xml:space="preserve">ном организме. </w:t>
      </w:r>
      <w:r>
        <w:tab/>
      </w:r>
    </w:p>
    <w:p w:rsidR="00F4654E" w:rsidRDefault="00F4654E">
      <w:pPr>
        <w:pStyle w:val="a6"/>
      </w:pPr>
      <w:r>
        <w:t>Предпочтение использованию Озонола РЖ в качестве внутриматочн</w:t>
      </w:r>
      <w:r>
        <w:t>о</w:t>
      </w:r>
      <w:r>
        <w:t>го препарата было отдано потому, что он в рекомендуемой терапевтич</w:t>
      </w:r>
      <w:r>
        <w:t>е</w:t>
      </w:r>
      <w:r>
        <w:t>ской дозе не обладает острой, хронической токсичностью и способностью к кумуляции, а введенный в организм лабораторных животных не вызыв</w:t>
      </w:r>
      <w:r>
        <w:t>а</w:t>
      </w:r>
      <w:r>
        <w:t>ет аллергических реакций немедленного и замедленного типов. Нанесение препарата на раневую поверхность оказывает положительное влияние на процесс регенерации тканей.</w:t>
      </w:r>
    </w:p>
    <w:p w:rsidR="00F4654E" w:rsidRDefault="00F4654E">
      <w:pPr>
        <w:pStyle w:val="a6"/>
      </w:pPr>
      <w:r>
        <w:t>После выполненных процедур провели оценку эффективности ко</w:t>
      </w:r>
      <w:r>
        <w:t>м</w:t>
      </w:r>
      <w:r>
        <w:t>плексной схемы терапии коров, больных эндометритом различного прои</w:t>
      </w:r>
      <w:r>
        <w:t>с</w:t>
      </w:r>
      <w:r>
        <w:t>хождения. При этом было установлено, что клинического выздоровления при использовании озонотерапии удалось добиться в случаях развития э</w:t>
      </w:r>
      <w:r>
        <w:t>н</w:t>
      </w:r>
      <w:r>
        <w:t>дометрита после нормальных родов у 93,7% животных, оплодотворилось из них 93,3% с периодом бесплодия 57,1</w:t>
      </w:r>
      <w:r>
        <w:sym w:font="Symbol" w:char="F0B1"/>
      </w:r>
      <w:r>
        <w:t>8,3 дня. Применение ОФР и Оз</w:t>
      </w:r>
      <w:r>
        <w:t>о</w:t>
      </w:r>
      <w:r>
        <w:t>нола РЖ при патологии матки развившейся после оперативного отделения последа оказалось эффективным в 87,5% случаев, при оплодотворении 85,6% от числа выздоровевших, с количеством дней бесплодия 69,4</w:t>
      </w:r>
      <w:r>
        <w:sym w:font="Symbol" w:char="F0B1"/>
      </w:r>
      <w:r>
        <w:t>11,1. В течение 14 дней используя озон- и озонидосодержащие препараты уд</w:t>
      </w:r>
      <w:r>
        <w:t>а</w:t>
      </w:r>
      <w:r>
        <w:t>лось добиться исчезновения воспаления в эндометрии на фоне субинвол</w:t>
      </w:r>
      <w:r>
        <w:t>ю</w:t>
      </w:r>
      <w:r>
        <w:t>ции матки у 81,2% животных из которых за 3 половых цикла оплодотвор</w:t>
      </w:r>
      <w:r>
        <w:t>и</w:t>
      </w:r>
      <w:r>
        <w:t>лось 79,6%, период бесплодия составил 78,2</w:t>
      </w:r>
      <w:r>
        <w:sym w:font="Symbol" w:char="F0B1"/>
      </w:r>
      <w:r>
        <w:t>6,5 дней. У коров контрол</w:t>
      </w:r>
      <w:r>
        <w:t>ь</w:t>
      </w:r>
      <w:r>
        <w:t xml:space="preserve">ной группы эффект клинического выздоровления и сроки восстановления воспроизводительной способности оказались на более низком уровне. </w:t>
      </w:r>
    </w:p>
    <w:p w:rsidR="00F4654E" w:rsidRDefault="00F4654E">
      <w:pPr>
        <w:pStyle w:val="a6"/>
      </w:pPr>
      <w:r>
        <w:t>Таким образом, применение комплексной схемы с включением озон</w:t>
      </w:r>
      <w:r>
        <w:t>и</w:t>
      </w:r>
      <w:r>
        <w:t>рованного физиологического раствора и Озонола РЖ является недорог</w:t>
      </w:r>
      <w:r>
        <w:t>о</w:t>
      </w:r>
      <w:r>
        <w:t>стоящим и достаточно эффективным немедикаментозным способом  тер</w:t>
      </w:r>
      <w:r>
        <w:t>а</w:t>
      </w:r>
      <w:r>
        <w:t>пии коров, больных эндометритом различного происхождения.</w:t>
      </w:r>
    </w:p>
    <w:p w:rsidR="0047197F" w:rsidRDefault="0047197F">
      <w:pPr>
        <w:pStyle w:val="a4"/>
      </w:pPr>
    </w:p>
    <w:p w:rsidR="00F4654E" w:rsidRDefault="00F4654E">
      <w:pPr>
        <w:pStyle w:val="a4"/>
      </w:pPr>
      <w:r>
        <w:lastRenderedPageBreak/>
        <w:t>УДК 619:615.7</w:t>
      </w:r>
    </w:p>
    <w:p w:rsidR="00F4654E" w:rsidRDefault="00F4654E">
      <w:pPr>
        <w:pStyle w:val="1"/>
      </w:pPr>
      <w:bookmarkStart w:id="2371" w:name="_Toc10731336"/>
      <w:bookmarkStart w:id="2372" w:name="_Toc10731997"/>
      <w:bookmarkStart w:id="2373" w:name="_Toc10891843"/>
      <w:bookmarkStart w:id="2374" w:name="_Toc10892518"/>
      <w:bookmarkStart w:id="2375" w:name="_Toc11390375"/>
      <w:bookmarkStart w:id="2376" w:name="_Toc11840058"/>
      <w:bookmarkStart w:id="2377" w:name="_Toc11937594"/>
      <w:r>
        <w:t>Теоретическое и практическое обоснование последовательного применения антибиотиков</w:t>
      </w:r>
      <w:bookmarkEnd w:id="2371"/>
      <w:bookmarkEnd w:id="2372"/>
      <w:bookmarkEnd w:id="2373"/>
      <w:bookmarkEnd w:id="2374"/>
      <w:bookmarkEnd w:id="2375"/>
      <w:bookmarkEnd w:id="2376"/>
      <w:bookmarkEnd w:id="2377"/>
    </w:p>
    <w:p w:rsidR="00F4654E" w:rsidRDefault="00F4654E">
      <w:pPr>
        <w:pStyle w:val="2"/>
      </w:pPr>
      <w:bookmarkStart w:id="2378" w:name="_Toc10731337"/>
      <w:bookmarkStart w:id="2379" w:name="_Toc10731998"/>
      <w:bookmarkStart w:id="2380" w:name="_Toc10891844"/>
      <w:bookmarkStart w:id="2381" w:name="_Toc10892519"/>
      <w:bookmarkStart w:id="2382" w:name="_Toc11390376"/>
      <w:bookmarkStart w:id="2383" w:name="_Toc11937595"/>
      <w:r>
        <w:t>Коптев В.Ю., Леонов С.В., Афонюшкин В.Н.</w:t>
      </w:r>
      <w:bookmarkEnd w:id="2378"/>
      <w:bookmarkEnd w:id="2379"/>
      <w:bookmarkEnd w:id="2380"/>
      <w:bookmarkEnd w:id="2381"/>
      <w:bookmarkEnd w:id="2382"/>
      <w:bookmarkEnd w:id="2383"/>
    </w:p>
    <w:p w:rsidR="00F4654E" w:rsidRDefault="00F4654E">
      <w:pPr>
        <w:pStyle w:val="a5"/>
      </w:pPr>
      <w:r>
        <w:t xml:space="preserve">Институт экспериментальной ветеринарии Сибири и Дальнего Востока </w:t>
      </w:r>
    </w:p>
    <w:p w:rsidR="00F4654E" w:rsidRDefault="00F4654E">
      <w:pPr>
        <w:pStyle w:val="a6"/>
      </w:pPr>
      <w:r>
        <w:t>Несмотря на широкомасштабные научные исследования в области т</w:t>
      </w:r>
      <w:r>
        <w:t>е</w:t>
      </w:r>
      <w:r>
        <w:t>рапии инфекционных болезней, антибиотики остаются основной группой лекарственных веществ, применяемых при данных патологиях. Однако, в последнее время, в результате массового и подчас необдуманного прим</w:t>
      </w:r>
      <w:r>
        <w:t>е</w:t>
      </w:r>
      <w:r>
        <w:t>нения данной группы препаратов эффективность их заметно снижается. Основной причиной этого является накапливание в природе высоковир</w:t>
      </w:r>
      <w:r>
        <w:t>у</w:t>
      </w:r>
      <w:r>
        <w:t>лентных антибиотикорезистентных штаммов микроорганизмов. Одним из выходов из сложившейся ситуации является комплексное применение двух или нескольких антибиотиков с различным механизмом воздействия на микроорганизмы. З. Ковшик-Гиндифер (1987) отмечает три разновидности синергетического взаимодействия антибиотиков:</w:t>
      </w:r>
    </w:p>
    <w:p w:rsidR="00F4654E" w:rsidRDefault="00F4654E">
      <w:pPr>
        <w:pStyle w:val="a6"/>
      </w:pPr>
      <w:r>
        <w:t>– один из антибиотиков увеличивает проницаемость клеточной об</w:t>
      </w:r>
      <w:r>
        <w:t>о</w:t>
      </w:r>
      <w:r>
        <w:t xml:space="preserve">лочки, чем облегчает проникновение второго антибиотика внутрь; </w:t>
      </w:r>
    </w:p>
    <w:p w:rsidR="00F4654E" w:rsidRDefault="00F4654E">
      <w:pPr>
        <w:pStyle w:val="a6"/>
      </w:pPr>
      <w:r>
        <w:t>– один из антибиотиков тормозит активность бактериальных энзимов, влияющих на второй антибиотик;</w:t>
      </w:r>
    </w:p>
    <w:p w:rsidR="00F4654E" w:rsidRDefault="00F4654E">
      <w:pPr>
        <w:pStyle w:val="a6"/>
      </w:pPr>
      <w:r>
        <w:t>– каждый из антибиотиков блокирует последующий этап метаболизма клетки.</w:t>
      </w:r>
    </w:p>
    <w:p w:rsidR="00F4654E" w:rsidRDefault="00F4654E">
      <w:pPr>
        <w:pStyle w:val="a6"/>
      </w:pPr>
      <w:r>
        <w:t>Однако, мы считаем, что рациональнее антибиотики применять не о</w:t>
      </w:r>
      <w:r>
        <w:t>д</w:t>
      </w:r>
      <w:r>
        <w:t>новременно а через интервал времени, зависящий от фармакокинетики конкретного препарата. При такой схеме применения первый антибиотик во</w:t>
      </w:r>
      <w:r>
        <w:t>з</w:t>
      </w:r>
      <w:r>
        <w:t>действуя на ферментную систему микроорганизмов перестраивает ее, в результате чего они приобретают чувствительность к второму антибиот</w:t>
      </w:r>
      <w:r>
        <w:t>и</w:t>
      </w:r>
      <w:r>
        <w:t>ку.</w:t>
      </w:r>
    </w:p>
    <w:p w:rsidR="00F4654E" w:rsidRDefault="00F4654E">
      <w:pPr>
        <w:pStyle w:val="a6"/>
      </w:pPr>
      <w:r>
        <w:t>Для подтверждения данного тезиса мы провели серию опытов на п</w:t>
      </w:r>
      <w:r>
        <w:t>о</w:t>
      </w:r>
      <w:r>
        <w:t>левых штаммах микроорганизмов (кокковая микрофлора, энтеробактерии, сальмонеллы), полученных от различных видов животных. Были получены следующие результаты. После применения амоксиклава микроорганизмы приобрели чувствительность к канамицину, пипемидиновой кислоте и п</w:t>
      </w:r>
      <w:r>
        <w:t>о</w:t>
      </w:r>
      <w:r>
        <w:t>лимиксину, после применения ветофлока появилась чувствительность к арговиту, гентамицину и пипемидиновой кислоте, после левотетрасульф</w:t>
      </w:r>
      <w:r>
        <w:t>и</w:t>
      </w:r>
      <w:r>
        <w:t xml:space="preserve">на – к энрофлону и гентамицину.   </w:t>
      </w:r>
    </w:p>
    <w:p w:rsidR="00F4654E" w:rsidRDefault="00F4654E">
      <w:pPr>
        <w:pStyle w:val="a6"/>
      </w:pPr>
      <w:r>
        <w:t>Одновременно были получены результаты указывающие на обратное действие антибиотиков. Так при применении гентамицина у микрофлоры в одном из опытов пропала чувствительность к рефлину и абакталу. В сл</w:t>
      </w:r>
      <w:r>
        <w:t>е</w:t>
      </w:r>
      <w:r>
        <w:t>дующем опыте после применения офлоксацина выделенные микроорг</w:t>
      </w:r>
      <w:r>
        <w:t>а</w:t>
      </w:r>
      <w:r>
        <w:t>низмы приобрели чувствительность к кефотексу, но стали резистентны к абакталу и пипемидиновой кислоте.</w:t>
      </w:r>
    </w:p>
    <w:p w:rsidR="00F4654E" w:rsidRDefault="00F4654E">
      <w:pPr>
        <w:pStyle w:val="a6"/>
      </w:pPr>
      <w:r>
        <w:lastRenderedPageBreak/>
        <w:t>Основываясь на проведенных исследованиях мы считаем, что при подтитровке к антибиотикам необходимо исследовать не только действие в моноварианте, но и чувствительность микроорганизмов при комбинир</w:t>
      </w:r>
      <w:r>
        <w:t>о</w:t>
      </w:r>
      <w:r>
        <w:t>ванном и последовательном применении антибактериальных препаратов.</w:t>
      </w:r>
    </w:p>
    <w:p w:rsidR="00F4654E" w:rsidRDefault="00F4654E">
      <w:pPr>
        <w:pStyle w:val="a4"/>
      </w:pPr>
      <w:r>
        <w:t>УДК 619:618.19-085:636.22/28</w:t>
      </w:r>
    </w:p>
    <w:p w:rsidR="00F4654E" w:rsidRDefault="00F4654E">
      <w:pPr>
        <w:pStyle w:val="1"/>
      </w:pPr>
      <w:bookmarkStart w:id="2384" w:name="_Toc10731338"/>
      <w:bookmarkStart w:id="2385" w:name="_Toc10731999"/>
      <w:bookmarkStart w:id="2386" w:name="_Toc10891845"/>
      <w:bookmarkStart w:id="2387" w:name="_Toc10892520"/>
      <w:bookmarkStart w:id="2388" w:name="_Toc11390377"/>
      <w:bookmarkStart w:id="2389" w:name="_Toc11840060"/>
      <w:bookmarkStart w:id="2390" w:name="_Toc11937596"/>
      <w:r>
        <w:t>Эффективность комплексной озонотерапии при хроническом катаральном мастите у коров</w:t>
      </w:r>
      <w:bookmarkEnd w:id="2384"/>
      <w:bookmarkEnd w:id="2385"/>
      <w:bookmarkEnd w:id="2386"/>
      <w:bookmarkEnd w:id="2387"/>
      <w:bookmarkEnd w:id="2388"/>
      <w:bookmarkEnd w:id="2389"/>
      <w:bookmarkEnd w:id="2390"/>
    </w:p>
    <w:p w:rsidR="00F4654E" w:rsidRDefault="00F4654E">
      <w:pPr>
        <w:pStyle w:val="2"/>
      </w:pPr>
      <w:bookmarkStart w:id="2391" w:name="_Toc10731339"/>
      <w:bookmarkStart w:id="2392" w:name="_Toc10732000"/>
      <w:bookmarkStart w:id="2393" w:name="_Toc10891846"/>
      <w:bookmarkStart w:id="2394" w:name="_Toc10892521"/>
      <w:bookmarkStart w:id="2395" w:name="_Toc11390378"/>
      <w:bookmarkStart w:id="2396" w:name="_Toc11937597"/>
      <w:r>
        <w:t>Копылова Е.В., Шулепова Н.Н., Конопельцев И.Г., Филатов А.В.</w:t>
      </w:r>
      <w:bookmarkEnd w:id="2391"/>
      <w:bookmarkEnd w:id="2392"/>
      <w:bookmarkEnd w:id="2393"/>
      <w:bookmarkEnd w:id="2394"/>
      <w:bookmarkEnd w:id="2395"/>
      <w:bookmarkEnd w:id="2396"/>
    </w:p>
    <w:p w:rsidR="00F4654E" w:rsidRDefault="00F4654E">
      <w:pPr>
        <w:pStyle w:val="a5"/>
      </w:pPr>
      <w:r>
        <w:t>Вятская государственная сельскохозяйственная академия</w:t>
      </w:r>
    </w:p>
    <w:p w:rsidR="00F4654E" w:rsidRDefault="00F4654E">
      <w:pPr>
        <w:pStyle w:val="a6"/>
      </w:pPr>
      <w:r>
        <w:t>В молочном скотоводстве у ветеринарной науки по-прежнему одной из проблем остается восстановление молочной продуктивности у коров, бол</w:t>
      </w:r>
      <w:r>
        <w:t>ь</w:t>
      </w:r>
      <w:r>
        <w:t>ных хроническим маститом. По нашим данным на животноводческих комплексах длительно протекающее воспаление молочной железы у ла</w:t>
      </w:r>
      <w:r>
        <w:t>к</w:t>
      </w:r>
      <w:r>
        <w:t>тирующих коров молочных пород диагностируется у 14,8% от числа выя</w:t>
      </w:r>
      <w:r>
        <w:t>в</w:t>
      </w:r>
      <w:r>
        <w:t>ленных больных животных. При этом в 92% случаев мастит протекает в катаральной форме и им поражаются наиболее продуктивные и высок</w:t>
      </w:r>
      <w:r>
        <w:t>о</w:t>
      </w:r>
      <w:r>
        <w:t>ценные в племе</w:t>
      </w:r>
      <w:r>
        <w:t>н</w:t>
      </w:r>
      <w:r>
        <w:t>ном отношении коровы молодого возраста. Хронический мастит может являться причиной их продолжительного бесплодия и ял</w:t>
      </w:r>
      <w:r>
        <w:t>о</w:t>
      </w:r>
      <w:r>
        <w:t xml:space="preserve">вости. </w:t>
      </w:r>
    </w:p>
    <w:p w:rsidR="00F4654E" w:rsidRDefault="00F4654E">
      <w:pPr>
        <w:pStyle w:val="a6"/>
      </w:pPr>
      <w:r>
        <w:t>Длительный процесс воспаления приводит к изменению физико-химических свойств секрета. В частности, происходит снижение количес</w:t>
      </w:r>
      <w:r>
        <w:t>т</w:t>
      </w:r>
      <w:r>
        <w:t>ва лактозы до 3,4%, плотности до 25</w:t>
      </w:r>
      <w:r>
        <w:rPr>
          <w:vertAlign w:val="superscript"/>
        </w:rPr>
        <w:t>0</w:t>
      </w:r>
      <w:r>
        <w:t>А, общего белка до 2,2%, жира до 1,6%, сухого вещества до 8,8% и СОМО до 7,3%. Примесь такого секрета к сборному молоку неизменно влечет за собой изменение его технологич</w:t>
      </w:r>
      <w:r>
        <w:t>е</w:t>
      </w:r>
      <w:r>
        <w:t>ских свойств.</w:t>
      </w:r>
    </w:p>
    <w:p w:rsidR="00F4654E" w:rsidRDefault="00F4654E">
      <w:pPr>
        <w:pStyle w:val="a6"/>
      </w:pPr>
      <w:r>
        <w:t>Эффективность лечебных мероприятий при хроническом течении воспаления в вымени по данным различных исследователей не превышает 50%. Поэтому изыскание комплексного способа их терапии, который бы отличала не только высокая эффективность, но корригирующее влияние на показатели секрета является актуальной задачей для акушерской науки.</w:t>
      </w:r>
    </w:p>
    <w:p w:rsidR="00F4654E" w:rsidRDefault="00F4654E">
      <w:pPr>
        <w:pStyle w:val="a6"/>
      </w:pPr>
      <w:r>
        <w:t>Целью работы явилось изучение эффективности комплексной озон</w:t>
      </w:r>
      <w:r>
        <w:t>о</w:t>
      </w:r>
      <w:r>
        <w:t>терапии при хроническом катаральном мастите у коров и ее влиянии на динамику физико-химических свойств секрета.</w:t>
      </w:r>
    </w:p>
    <w:p w:rsidR="00F4654E" w:rsidRDefault="00F4654E">
      <w:pPr>
        <w:pStyle w:val="a6"/>
      </w:pPr>
      <w:r>
        <w:t>Клинико-экспериментальные исследования проводили ФГУП учхоз «Чистые пруды» на коровах черно-пестрой голштинизированной породы с годовой молочной продуктивностью 5-7 тыс. кг. Контроль за состоянием молочной железы осуществляли согласно «Рекомендациям по борьбе с маститом коров» (1983). Определение качественной характеристики секр</w:t>
      </w:r>
      <w:r>
        <w:t>е</w:t>
      </w:r>
      <w:r>
        <w:t xml:space="preserve">та вымени проводили по </w:t>
      </w:r>
      <w:r w:rsidRPr="009B7296">
        <w:rPr>
          <w:caps/>
        </w:rPr>
        <w:t>гост</w:t>
      </w:r>
      <w:r w:rsidRPr="00F2072C">
        <w:t xml:space="preserve">ированным </w:t>
      </w:r>
      <w:r>
        <w:t>методикам в дни постановки диагноза и исчезновения признаков воспаления, а также через 15 суток п</w:t>
      </w:r>
      <w:r>
        <w:t>о</w:t>
      </w:r>
      <w:r>
        <w:t>сле клинического выздоровления животных.</w:t>
      </w:r>
    </w:p>
    <w:p w:rsidR="00F4654E" w:rsidRDefault="00F4654E">
      <w:pPr>
        <w:pStyle w:val="a6"/>
      </w:pPr>
      <w:r>
        <w:lastRenderedPageBreak/>
        <w:t>Лактирующих коров с клиническим течением катарального мастита по принципу парных аналогов разделили на подопытных и контрольных. Подопытным животным трехкратно с интервалом 24 часа внутривенно инфузировали озонированный физиологический раствор в объеме 1000 мл с концентрацией озона 2мг/л, а в полость больной четверти после утренн</w:t>
      </w:r>
      <w:r>
        <w:t>е</w:t>
      </w:r>
      <w:r>
        <w:t>го и вечернего доений вводили 10 мл Озонола П. Контрольной группе к</w:t>
      </w:r>
      <w:r>
        <w:t>о</w:t>
      </w:r>
      <w:r>
        <w:t>ров назначали соответственно 20% -ный раствор глюкозы в количестве 400 мл и 10 мл мастицида. Дополнительно всем животным внутримышечно вводили 10 мл тетравита и подкожно 20 мл плаценты денатурированной эмульгированной. Эффективность процедур оценивали через 5 дней леч</w:t>
      </w:r>
      <w:r>
        <w:t>е</w:t>
      </w:r>
      <w:r>
        <w:t>ния больных животных.</w:t>
      </w:r>
    </w:p>
    <w:p w:rsidR="00F4654E" w:rsidRDefault="00F4654E">
      <w:pPr>
        <w:pStyle w:val="a6"/>
      </w:pPr>
      <w:r>
        <w:t>На основании проведенных исследований было установлено, что ко</w:t>
      </w:r>
      <w:r>
        <w:t>м</w:t>
      </w:r>
      <w:r>
        <w:t>плексная схема, включающая использование озона и озонидов, обуславл</w:t>
      </w:r>
      <w:r>
        <w:t>и</w:t>
      </w:r>
      <w:r>
        <w:t>вает клиническое выздоровление у 64,3% коров, больных хроническим к</w:t>
      </w:r>
      <w:r>
        <w:t>а</w:t>
      </w:r>
      <w:r>
        <w:t>таральным маститом, что на 14,3% выше в сравнении с контролем. Кроме того, у выздоровевших подопытных животных был отмечен качественный сдвиг в показателях молока. Так, увеличились его плотность до 27</w:t>
      </w:r>
      <w:r>
        <w:rPr>
          <w:vertAlign w:val="superscript"/>
        </w:rPr>
        <w:t>0</w:t>
      </w:r>
      <w:r>
        <w:t>А, жир до 2,3%, СОМО до 8,2%, сухое вещество до 10,8% и лактоза до 4%. В се</w:t>
      </w:r>
      <w:r>
        <w:t>к</w:t>
      </w:r>
      <w:r>
        <w:t>рете вымени у контрольных коров с отсутствием признаков воспаления существенных изменений в изучаемых физико-химических показателях секрета на протяжении срока наблюдения не отмечалось.</w:t>
      </w:r>
    </w:p>
    <w:p w:rsidR="00F4654E" w:rsidRDefault="00F4654E">
      <w:pPr>
        <w:pStyle w:val="a6"/>
      </w:pPr>
      <w:r>
        <w:t>Таким образом, комплексная озонотерапия является эффективным средством борьбы с хроническим катаральным маститом и способствует стабилизации качества молока.</w:t>
      </w:r>
    </w:p>
    <w:p w:rsidR="00F4654E" w:rsidRDefault="00F4654E">
      <w:pPr>
        <w:pStyle w:val="a4"/>
      </w:pPr>
      <w:r>
        <w:t xml:space="preserve"> УДК 619:618.1:612.59 </w:t>
      </w:r>
    </w:p>
    <w:p w:rsidR="00F4654E" w:rsidRDefault="00F4654E">
      <w:pPr>
        <w:pStyle w:val="1"/>
      </w:pPr>
      <w:bookmarkStart w:id="2397" w:name="_Toc10731340"/>
      <w:bookmarkStart w:id="2398" w:name="_Toc10732001"/>
      <w:bookmarkStart w:id="2399" w:name="_Toc10891847"/>
      <w:bookmarkStart w:id="2400" w:name="_Toc10892522"/>
      <w:bookmarkStart w:id="2401" w:name="_Toc11390379"/>
      <w:bookmarkStart w:id="2402" w:name="_Toc11840062"/>
      <w:bookmarkStart w:id="2403" w:name="_Toc11937598"/>
      <w:r>
        <w:t>Влияние факторов внешней среды на заболеваемость репродуктивных органов коров</w:t>
      </w:r>
      <w:bookmarkEnd w:id="2397"/>
      <w:bookmarkEnd w:id="2398"/>
      <w:bookmarkEnd w:id="2399"/>
      <w:bookmarkEnd w:id="2400"/>
      <w:bookmarkEnd w:id="2401"/>
      <w:bookmarkEnd w:id="2402"/>
      <w:bookmarkEnd w:id="2403"/>
    </w:p>
    <w:p w:rsidR="00F4654E" w:rsidRDefault="00F4654E">
      <w:pPr>
        <w:pStyle w:val="2"/>
      </w:pPr>
      <w:bookmarkStart w:id="2404" w:name="_Toc10731341"/>
      <w:bookmarkStart w:id="2405" w:name="_Toc10732002"/>
      <w:bookmarkStart w:id="2406" w:name="_Toc10891848"/>
      <w:bookmarkStart w:id="2407" w:name="_Toc10892523"/>
      <w:bookmarkStart w:id="2408" w:name="_Toc11390380"/>
      <w:bookmarkStart w:id="2409" w:name="_Toc11937599"/>
      <w:r>
        <w:t>Косорлукова З.Я., Деньгуб И.В., Захарова О.И., Павлова Н.А.</w:t>
      </w:r>
      <w:bookmarkEnd w:id="2404"/>
      <w:bookmarkEnd w:id="2405"/>
      <w:bookmarkEnd w:id="2406"/>
      <w:bookmarkEnd w:id="2407"/>
      <w:bookmarkEnd w:id="2408"/>
      <w:bookmarkEnd w:id="2409"/>
    </w:p>
    <w:p w:rsidR="00F4654E" w:rsidRDefault="00F4654E">
      <w:pPr>
        <w:pStyle w:val="a5"/>
      </w:pPr>
      <w:r>
        <w:t>Научно-исследовательский ветеринарный институт Нечерноземной зоны РФ</w:t>
      </w:r>
    </w:p>
    <w:p w:rsidR="00F4654E" w:rsidRDefault="00F4654E">
      <w:pPr>
        <w:pStyle w:val="a6"/>
      </w:pPr>
      <w:r>
        <w:t>Данные ветеринарной отчетности и результаты собственных исслед</w:t>
      </w:r>
      <w:r>
        <w:t>о</w:t>
      </w:r>
      <w:r>
        <w:t>ваний свидетельствуют о широком распространении и массовом характере болезней репродуктивных органов у коров черно-пестрой породы в усл</w:t>
      </w:r>
      <w:r>
        <w:t>о</w:t>
      </w:r>
      <w:r>
        <w:t>виях хозяйств Северо-Восточного региона Нечерноземной зоны РФ.</w:t>
      </w:r>
    </w:p>
    <w:p w:rsidR="00F4654E" w:rsidRDefault="00F4654E">
      <w:pPr>
        <w:pStyle w:val="a6"/>
      </w:pPr>
      <w:r>
        <w:t>Целью наших исследований явилось изучение влияния факторов внешней среды на состояние естественной резистентности и заболева</w:t>
      </w:r>
      <w:r>
        <w:t>е</w:t>
      </w:r>
      <w:r>
        <w:t>мость репродуктивных органов у коров.</w:t>
      </w:r>
    </w:p>
    <w:p w:rsidR="00F4654E" w:rsidRDefault="00F4654E">
      <w:pPr>
        <w:pStyle w:val="a6"/>
      </w:pPr>
      <w:r>
        <w:t>Работа проведена в условиях 14 хозяйств Северо-Восточного региона Нечерноземной зоны РФ с общим поголовьем 11395 коров черно-пестрой породы. При клинико-гинекологических исследованиях установили, что в обследованных хозяйствах заболеваемость репродуктивных органов у к</w:t>
      </w:r>
      <w:r>
        <w:t>о</w:t>
      </w:r>
      <w:r>
        <w:t xml:space="preserve">ров варьировала в следующих пределах: задержание последа – 6,2-18,4%, </w:t>
      </w:r>
      <w:r>
        <w:lastRenderedPageBreak/>
        <w:t>эндометрит – 67,4-90,2%, субинволюция матки – 52-80,9%, гипофункция яичников – 47-81%, персистентное желтое тело, киста яичников – 4,7-11,3%. Таким образом, в структуре болезней репродуктивных органов у коров значительную долю занимают эндометрит, субинволюция матки и гипофункция яичников, регистрируемые более чем у 60-90% коров.</w:t>
      </w:r>
    </w:p>
    <w:p w:rsidR="00F4654E" w:rsidRDefault="00F4654E">
      <w:pPr>
        <w:pStyle w:val="a6"/>
      </w:pPr>
      <w:r>
        <w:t>Эндометриты с характерными признаками острого послеродового к</w:t>
      </w:r>
      <w:r>
        <w:t>а</w:t>
      </w:r>
      <w:r>
        <w:t>тарально-гнойного воспаления развивались в среднем через 4,9±1,9 дня после отела у 63,5% коров, через 14,2±2,3 дня у 36,5% коров. У 33% бол</w:t>
      </w:r>
      <w:r>
        <w:t>ь</w:t>
      </w:r>
      <w:r>
        <w:t>ных эндометритом коров одновременно диагностировали гипофункцию яичников, у 38% - эндометрит и субинволюцию матки, у 22% - эндоме</w:t>
      </w:r>
      <w:r>
        <w:t>т</w:t>
      </w:r>
      <w:r>
        <w:t>рит, гипофункцию яичников и субинволюцию матки.</w:t>
      </w:r>
    </w:p>
    <w:p w:rsidR="00F4654E" w:rsidRDefault="00F4654E">
      <w:pPr>
        <w:pStyle w:val="a6"/>
      </w:pPr>
      <w:r>
        <w:t xml:space="preserve"> Влияние факторов внешней среды на заболеваемость репродукти</w:t>
      </w:r>
      <w:r>
        <w:t>в</w:t>
      </w:r>
      <w:r>
        <w:t>ных органов у коров изучали в двух сериях опытов.</w:t>
      </w:r>
    </w:p>
    <w:p w:rsidR="00F4654E" w:rsidRDefault="00F4654E">
      <w:pPr>
        <w:pStyle w:val="a6"/>
      </w:pPr>
      <w:r>
        <w:t>В первой серии опытов определяли влияние дефицита минеральных веществ и каротина на возникновение послеродовых болезней репроду</w:t>
      </w:r>
      <w:r>
        <w:t>к</w:t>
      </w:r>
      <w:r>
        <w:t>тивных органов коров. С этой целью сформировали 2 группы сухостойных коров: 1-ая группа содержалась на хозяйственном рационе, сбалансир</w:t>
      </w:r>
      <w:r>
        <w:t>о</w:t>
      </w:r>
      <w:r>
        <w:t>ванном по общей питательности, но дефицитном по кальцию на 30%, фо</w:t>
      </w:r>
      <w:r>
        <w:t>с</w:t>
      </w:r>
      <w:r>
        <w:t>фору – на 26%, меди – на 17%, кобальту и йоду – на 26%, каротину – на 33%; 2-ая группа дополнительно к хозяйственному рациону в течение 60 дней получала в качестве минерально-витаминной подкормки препарат пермамик в дозе 250 г/гол. в сутки. с криопорошком тыквы в дозе 50 г/гол.</w:t>
      </w:r>
    </w:p>
    <w:p w:rsidR="00F4654E" w:rsidRDefault="00F4654E">
      <w:pPr>
        <w:pStyle w:val="a6"/>
      </w:pPr>
      <w:r>
        <w:t>За животными вели наблюдения, в начале, в конце опыта и через 10 дней после отела проводили исследования крови на показатели естестве</w:t>
      </w:r>
      <w:r>
        <w:t>н</w:t>
      </w:r>
      <w:r>
        <w:t>ной резистентности организма, учитывали течение родов и послеродового периода, регистрировали послеродовые болезни.</w:t>
      </w:r>
    </w:p>
    <w:p w:rsidR="00F4654E" w:rsidRDefault="00F4654E">
      <w:pPr>
        <w:pStyle w:val="a6"/>
      </w:pPr>
      <w:r>
        <w:t>Результаты исследований крови свидетельствовали о низких показ</w:t>
      </w:r>
      <w:r>
        <w:t>а</w:t>
      </w:r>
      <w:r>
        <w:t>телях естественной резистентности организма коров 1-ой группы по сра</w:t>
      </w:r>
      <w:r>
        <w:t>в</w:t>
      </w:r>
      <w:r>
        <w:t>нению со 2-ой группой, как в сухостойном, так и послеродовом периодах. Так, уровень гемоглобина был достоверно ниже на 8-12%, количество эритроцитов – на 14-17%, лейкоцитов – на 7-9%, Т-лимфоцитов – в 3,0-3,6 раза, В-лимфоцитов – в 2,1-2,2 раза, бактерицидная активность сыворотки – в 1,9-2,1 раза, лизоцимная активность – в 2,1-2,2 раза. Причем, в 1-ой группе коров к концу сухостойного периода и, особенно после отела, пр</w:t>
      </w:r>
      <w:r>
        <w:t>о</w:t>
      </w:r>
      <w:r>
        <w:t>исходило резкое снижение показателей, в то время как во 2-ой группе ур</w:t>
      </w:r>
      <w:r>
        <w:t>о</w:t>
      </w:r>
      <w:r>
        <w:t>вень ряда показателей  иммунобиологической   реактивности   возрастал   (БАС, ЛАС, Т- и В-лимфоциты).</w:t>
      </w:r>
    </w:p>
    <w:p w:rsidR="00F4654E" w:rsidRDefault="00F4654E">
      <w:pPr>
        <w:pStyle w:val="a6"/>
      </w:pPr>
      <w:r>
        <w:t>После отела коров болезни репродуктивных органов зарегистриров</w:t>
      </w:r>
      <w:r>
        <w:t>а</w:t>
      </w:r>
      <w:r>
        <w:t xml:space="preserve">ли у 85,7% животных 1-ой группы и у 5,7% 2-ой группы. </w:t>
      </w:r>
    </w:p>
    <w:p w:rsidR="00F4654E" w:rsidRDefault="00F4654E">
      <w:pPr>
        <w:pStyle w:val="a6"/>
      </w:pPr>
      <w:r>
        <w:t>Таким образом, добавка к хозяйственному рациону пермамика с криопорошком тыквы позволила сократить заболеваемость коров в 15 раз.</w:t>
      </w:r>
    </w:p>
    <w:p w:rsidR="00F4654E" w:rsidRDefault="00F4654E">
      <w:pPr>
        <w:pStyle w:val="a6"/>
      </w:pPr>
      <w:r>
        <w:t>Во второй серии опытов определяли влияние показателей микрокл</w:t>
      </w:r>
      <w:r>
        <w:t>и</w:t>
      </w:r>
      <w:r>
        <w:t xml:space="preserve">мата (температура, относительная влажность, микробная загрязненность </w:t>
      </w:r>
      <w:r>
        <w:lastRenderedPageBreak/>
        <w:t>воздуха, концентрация аммиака) помещений в зимне-стойловый период на заболеваемость коров акушерско-гинекологическими болезнями путем о</w:t>
      </w:r>
      <w:r>
        <w:t>б</w:t>
      </w:r>
      <w:r>
        <w:t>работки данных измерений параметров микроклимата и заболеваемости методами корреляционного и многофакторного регрессивного анализа. Установлена средняя корреляция показателей микроклимата с заболева</w:t>
      </w:r>
      <w:r>
        <w:t>е</w:t>
      </w:r>
      <w:r>
        <w:t>мостью коров акушерско-гинекологическими болезнями (R=0,48;Р&lt; 0,001).</w:t>
      </w:r>
    </w:p>
    <w:p w:rsidR="00F4654E" w:rsidRDefault="00F4654E">
      <w:pPr>
        <w:pStyle w:val="a6"/>
      </w:pPr>
      <w:r>
        <w:t>Таким образом, в условиях хозяйств Северо-Востока Нечерноземной зоны РФ возникновению массовых болезней репродуктивных органов к</w:t>
      </w:r>
      <w:r>
        <w:t>о</w:t>
      </w:r>
      <w:r>
        <w:t>ров способствуют негативные факторы внешней среды, включающие н</w:t>
      </w:r>
      <w:r>
        <w:t>е</w:t>
      </w:r>
      <w:r>
        <w:t>сбалансированное их кормление и несоблюдение параметров микроклим</w:t>
      </w:r>
      <w:r>
        <w:t>а</w:t>
      </w:r>
      <w:r>
        <w:t>та, обуславливающие снижение резистентности организма. Экспериме</w:t>
      </w:r>
      <w:r>
        <w:t>н</w:t>
      </w:r>
      <w:r>
        <w:t>тально подтверждено, что оптимизация минерально-витаминного питания сухостойных коров с применением пермамика и криопорошка тыквы сп</w:t>
      </w:r>
      <w:r>
        <w:t>о</w:t>
      </w:r>
      <w:r>
        <w:t>собствует нормализации показателей естественной резистентности орг</w:t>
      </w:r>
      <w:r>
        <w:t>а</w:t>
      </w:r>
      <w:r>
        <w:t>низма и снижает заболеваемость репродуктивных органов в 15 раз.</w:t>
      </w:r>
    </w:p>
    <w:p w:rsidR="00F4654E" w:rsidRDefault="00F4654E">
      <w:pPr>
        <w:pStyle w:val="a4"/>
      </w:pPr>
      <w:r>
        <w:t>УДК 619:618.7-084:636.4</w:t>
      </w:r>
    </w:p>
    <w:p w:rsidR="00F4654E" w:rsidRDefault="00F4654E">
      <w:pPr>
        <w:pStyle w:val="1"/>
      </w:pPr>
      <w:bookmarkStart w:id="2410" w:name="_Toc11390381"/>
      <w:bookmarkStart w:id="2411" w:name="_Toc11840064"/>
      <w:bookmarkStart w:id="2412" w:name="_Toc11937600"/>
      <w:r>
        <w:t>Эффективность применения олаквиндокса в комплексе с деполеном и дипролипамидом для профилактики эндометрита и ММА у свиней</w:t>
      </w:r>
      <w:bookmarkEnd w:id="2410"/>
      <w:bookmarkEnd w:id="2411"/>
      <w:bookmarkEnd w:id="2412"/>
    </w:p>
    <w:p w:rsidR="00F4654E" w:rsidRDefault="00F4654E">
      <w:pPr>
        <w:pStyle w:val="2"/>
      </w:pPr>
      <w:bookmarkStart w:id="2413" w:name="_Toc11390382"/>
      <w:bookmarkStart w:id="2414" w:name="_Toc11937601"/>
      <w:r>
        <w:t>Коцарев В.Н.</w:t>
      </w:r>
      <w:bookmarkEnd w:id="2413"/>
      <w:bookmarkEnd w:id="2414"/>
    </w:p>
    <w:p w:rsidR="00F4654E" w:rsidRDefault="00F4654E">
      <w:pPr>
        <w:pStyle w:val="a5"/>
      </w:pPr>
      <w:r>
        <w:t>Всероссийский НИВИ патологии, фармакологии и терапии</w:t>
      </w:r>
    </w:p>
    <w:p w:rsidR="00F4654E" w:rsidRDefault="00F4654E">
      <w:pPr>
        <w:pStyle w:val="a6"/>
      </w:pPr>
      <w:r>
        <w:t>В условиях свиноводческих комплексов промышленного типа при круглогодовом безвыгульном содержании часто регистрируются послер</w:t>
      </w:r>
      <w:r>
        <w:t>о</w:t>
      </w:r>
      <w:r>
        <w:t>довые болезни свиноматок, основными формами проявления которых я</w:t>
      </w:r>
      <w:r>
        <w:t>в</w:t>
      </w:r>
      <w:r>
        <w:t>ляется острый гнойно-катаральный эндометрит, метрит-мастит-агалактия, гипогалактия и агалактия. Они являются частыми причинами преждевр</w:t>
      </w:r>
      <w:r>
        <w:t>е</w:t>
      </w:r>
      <w:r>
        <w:t>менной выбраковки маточного поголовья. Особая опасность этих забол</w:t>
      </w:r>
      <w:r>
        <w:t>е</w:t>
      </w:r>
      <w:r>
        <w:t>ваний состоит также в том, что из-за снижения или прекращения лактации у свиноматок, наблюдается высокая заболеваемость и гибель новорожде</w:t>
      </w:r>
      <w:r>
        <w:t>н</w:t>
      </w:r>
      <w:r>
        <w:t xml:space="preserve">ных поросят. </w:t>
      </w:r>
    </w:p>
    <w:p w:rsidR="00F4654E" w:rsidRDefault="00F4654E">
      <w:pPr>
        <w:pStyle w:val="a6"/>
      </w:pPr>
      <w:r>
        <w:t>Целью исследований явилось изучение возможности применения ол</w:t>
      </w:r>
      <w:r>
        <w:t>а</w:t>
      </w:r>
      <w:r>
        <w:t>квиндокса в комплексе с деполеном и дипролипамидом для профилактики послеродовых болезней – острого послеродового гнойно-катарального э</w:t>
      </w:r>
      <w:r>
        <w:t>н</w:t>
      </w:r>
      <w:r>
        <w:t>дометрита и метрит-мастит-агалактии (ММА).</w:t>
      </w:r>
    </w:p>
    <w:p w:rsidR="00F4654E" w:rsidRDefault="00F4654E">
      <w:pPr>
        <w:pStyle w:val="a6"/>
      </w:pPr>
      <w:r>
        <w:t>С этой целью проведены опыты на 308 свиноматках крупной белой породы по второму-пятому опоросам с массой тела 180-230 кг, разделе</w:t>
      </w:r>
      <w:r>
        <w:t>н</w:t>
      </w:r>
      <w:r>
        <w:t>ных по принципу аналогов на 4 группы.</w:t>
      </w:r>
    </w:p>
    <w:p w:rsidR="00F4654E" w:rsidRDefault="00F4654E">
      <w:pPr>
        <w:pStyle w:val="a6"/>
      </w:pPr>
      <w:r>
        <w:t>Свиноматкам первой группы (</w:t>
      </w:r>
      <w:r>
        <w:rPr>
          <w:lang w:val="en-US"/>
        </w:rPr>
        <w:t>n</w:t>
      </w:r>
      <w:r>
        <w:t>=84) внутримышечно на 32-35 день супоросности инъецировали деполен в дозе 2 мл/100 кг (1 мг/кг по АДВ) и с 80 дня плодоношения до опороса скармливали дипролипамид в дозе 10 мг/кг 1 раз в сутки, второй (</w:t>
      </w:r>
      <w:r>
        <w:rPr>
          <w:lang w:val="en-US"/>
        </w:rPr>
        <w:t>n</w:t>
      </w:r>
      <w:r>
        <w:t xml:space="preserve">=78) назначали деполен и дипролипамид по </w:t>
      </w:r>
      <w:r>
        <w:lastRenderedPageBreak/>
        <w:t>вышеуказанной схеме, а также биовит в дозе 10 мг/кг массы тела по АДВ в течение 3 дней до и после опороса, третьей (</w:t>
      </w:r>
      <w:r>
        <w:rPr>
          <w:lang w:val="en-US"/>
        </w:rPr>
        <w:t>n</w:t>
      </w:r>
      <w:r>
        <w:t>=82) назначали деполен и дипролипамид, вместо биовита включали олаквиндокс в дозе 50 мг/кг ма</w:t>
      </w:r>
      <w:r>
        <w:t>с</w:t>
      </w:r>
      <w:r>
        <w:t>сы тела в те же сроки, а животным четвертой группы (</w:t>
      </w:r>
      <w:r>
        <w:rPr>
          <w:lang w:val="en-US"/>
        </w:rPr>
        <w:t>n</w:t>
      </w:r>
      <w:r>
        <w:t>=63) препараты не назначали (контроль).</w:t>
      </w:r>
    </w:p>
    <w:p w:rsidR="00F4654E" w:rsidRDefault="00F4654E">
      <w:pPr>
        <w:pStyle w:val="a6"/>
      </w:pPr>
      <w:r>
        <w:t>Установлено, что заболеваемость свиноматок послеродовыми боле</w:t>
      </w:r>
      <w:r>
        <w:t>з</w:t>
      </w:r>
      <w:r>
        <w:t>нями первой, второй, третьей и четвертой групп составила соответственно 31,0%, 27,8, 24,4 и 65,1%, в том числе эндометритом – 28,6%, 26,5, 23,2, 52,4% и ММА – 2,4, 1,27, 1,22, 12,7%.</w:t>
      </w:r>
    </w:p>
    <w:p w:rsidR="00F4654E" w:rsidRDefault="00F4654E">
      <w:pPr>
        <w:pStyle w:val="a6"/>
      </w:pPr>
      <w:r>
        <w:t>Исследования показали, что назначение свиноматкам деполена и д</w:t>
      </w:r>
      <w:r>
        <w:t>и</w:t>
      </w:r>
      <w:r>
        <w:t>пролипамида  снижает заболеваемость послеродовыми болезнями в 2,1 (</w:t>
      </w:r>
      <w:r>
        <w:sym w:font="Symbol" w:char="F063"/>
      </w:r>
      <w:r>
        <w:rPr>
          <w:vertAlign w:val="superscript"/>
        </w:rPr>
        <w:t>2</w:t>
      </w:r>
      <w:r>
        <w:t>=14,8, Р&lt;0,001) раза, в том числе эндометритом – в 1,83 раза (</w:t>
      </w:r>
      <w:r>
        <w:sym w:font="Symbol" w:char="F063"/>
      </w:r>
      <w:r>
        <w:rPr>
          <w:vertAlign w:val="superscript"/>
        </w:rPr>
        <w:t>2</w:t>
      </w:r>
      <w:r>
        <w:t>=11,3, Р&lt;0,001) и ММА – в 5,29 раза (</w:t>
      </w:r>
      <w:r>
        <w:sym w:font="Symbol" w:char="F063"/>
      </w:r>
      <w:r>
        <w:rPr>
          <w:vertAlign w:val="superscript"/>
        </w:rPr>
        <w:t xml:space="preserve">2 </w:t>
      </w:r>
      <w:r>
        <w:t>=10,7, Р&lt;0,01), биовита в комплексе с д</w:t>
      </w:r>
      <w:r>
        <w:t>е</w:t>
      </w:r>
      <w:r>
        <w:t>поленом и дипролипамидом – соответственно в 2,34 раза (</w:t>
      </w:r>
      <w:r>
        <w:sym w:font="Symbol" w:char="F063"/>
      </w:r>
      <w:r>
        <w:rPr>
          <w:vertAlign w:val="superscript"/>
        </w:rPr>
        <w:t xml:space="preserve">2 </w:t>
      </w:r>
      <w:r>
        <w:t>=18,1, Р&lt;0,001), в 1,98 раза (</w:t>
      </w:r>
      <w:r>
        <w:sym w:font="Symbol" w:char="F063"/>
      </w:r>
      <w:r>
        <w:rPr>
          <w:vertAlign w:val="superscript"/>
        </w:rPr>
        <w:t xml:space="preserve">2 </w:t>
      </w:r>
      <w:r>
        <w:t>=14,2, Р&lt;0,001) и в 10,0 раз (</w:t>
      </w:r>
      <w:r>
        <w:sym w:font="Symbol" w:char="F063"/>
      </w:r>
      <w:r>
        <w:rPr>
          <w:vertAlign w:val="superscript"/>
        </w:rPr>
        <w:t>2</w:t>
      </w:r>
      <w:r>
        <w:t>=11,3, Р&lt;0,001), а применения  деполена и дипролипамида в комплексе с олаквиндоксом – соответственно в 2,67 раза (</w:t>
      </w:r>
      <w:r>
        <w:sym w:font="Symbol" w:char="F063"/>
      </w:r>
      <w:r>
        <w:rPr>
          <w:vertAlign w:val="superscript"/>
        </w:rPr>
        <w:t xml:space="preserve">2 </w:t>
      </w:r>
      <w:r>
        <w:t>=20,97, Р&lt;0,001), 2,26 раза (</w:t>
      </w:r>
      <w:r>
        <w:sym w:font="Symbol" w:char="F063"/>
      </w:r>
      <w:r>
        <w:rPr>
          <w:vertAlign w:val="superscript"/>
        </w:rPr>
        <w:t xml:space="preserve">2 </w:t>
      </w:r>
      <w:r>
        <w:t>=17,1, Р&lt;0,001), 11,2 раза (</w:t>
      </w:r>
      <w:r>
        <w:sym w:font="Symbol" w:char="F063"/>
      </w:r>
      <w:r>
        <w:rPr>
          <w:vertAlign w:val="superscript"/>
        </w:rPr>
        <w:t xml:space="preserve">2 </w:t>
      </w:r>
      <w:r>
        <w:t>=11,2, Р&lt;0,001).</w:t>
      </w:r>
    </w:p>
    <w:p w:rsidR="00F4654E" w:rsidRDefault="00F4654E">
      <w:pPr>
        <w:pStyle w:val="a4"/>
      </w:pPr>
      <w:r>
        <w:t>УДК 619:618.7 – 0.84.636.4</w:t>
      </w:r>
    </w:p>
    <w:p w:rsidR="00F4654E" w:rsidRDefault="00F4654E">
      <w:pPr>
        <w:pStyle w:val="1"/>
      </w:pPr>
      <w:bookmarkStart w:id="2415" w:name="_Toc11390383"/>
      <w:bookmarkStart w:id="2416" w:name="_Toc11840066"/>
      <w:bookmarkStart w:id="2417" w:name="_Toc11937602"/>
      <w:r>
        <w:t>Способ двукратного применения отечественных препаратов простагландина F-2</w:t>
      </w:r>
      <w:r>
        <w:sym w:font="Symbol" w:char="F061"/>
      </w:r>
      <w:r>
        <w:t xml:space="preserve"> для профилактики эндометрита и ММА </w:t>
      </w:r>
      <w:r>
        <w:br/>
        <w:t>у свиней</w:t>
      </w:r>
      <w:bookmarkEnd w:id="2415"/>
      <w:bookmarkEnd w:id="2416"/>
      <w:bookmarkEnd w:id="2417"/>
    </w:p>
    <w:p w:rsidR="00F4654E" w:rsidRDefault="00F4654E">
      <w:pPr>
        <w:pStyle w:val="2"/>
      </w:pPr>
      <w:bookmarkStart w:id="2418" w:name="_Toc11390384"/>
      <w:bookmarkStart w:id="2419" w:name="_Toc11937603"/>
      <w:r>
        <w:t>Коцарев В.Н.</w:t>
      </w:r>
      <w:bookmarkEnd w:id="2418"/>
      <w:bookmarkEnd w:id="2419"/>
    </w:p>
    <w:p w:rsidR="00F4654E" w:rsidRDefault="00F4654E">
      <w:pPr>
        <w:pStyle w:val="a5"/>
      </w:pPr>
      <w:r>
        <w:t>Всероссийский НИВИ патологии, фармакологии и терапии</w:t>
      </w:r>
    </w:p>
    <w:p w:rsidR="00F4654E" w:rsidRDefault="00F4654E">
      <w:pPr>
        <w:pStyle w:val="a6"/>
      </w:pPr>
      <w:r>
        <w:t>Изучена эффективность применения отечественных препаратов пр</w:t>
      </w:r>
      <w:r>
        <w:t>о</w:t>
      </w:r>
      <w:r>
        <w:t>стагландинов F-2α – эстуфалана и клатрапростина для профилактики п</w:t>
      </w:r>
      <w:r>
        <w:t>о</w:t>
      </w:r>
      <w:r>
        <w:t>слеродовых болезней у свиноматок. Предварительно на 12 свиноматках изучено влияние простагландина F-2α, вводимого свиноматкам однократно (на 113 день супоросности) и двукратно (на 113 день супоросности и через 6 часов от начала родов) на динамику содержания прогестерона и эстр</w:t>
      </w:r>
      <w:r>
        <w:t>а</w:t>
      </w:r>
      <w:r>
        <w:t>диола-17β в крови свиней  в первые сутки после опороса.</w:t>
      </w:r>
    </w:p>
    <w:p w:rsidR="00F4654E" w:rsidRDefault="00F4654E">
      <w:pPr>
        <w:pStyle w:val="a6"/>
      </w:pPr>
      <w:r>
        <w:t>Установлено, что содержание прогестерона в крови животных в нач</w:t>
      </w:r>
      <w:r>
        <w:t>а</w:t>
      </w:r>
      <w:r>
        <w:t>ле родов (после рождения первого поросенка), которым на 113 день суп</w:t>
      </w:r>
      <w:r>
        <w:t>о</w:t>
      </w:r>
      <w:r>
        <w:t>росности вводили препараты простагландина (первая и вторая группы) было в 1,34 раза ниже, чем у животных контрольной группы (2,91 нг/мл), а концентрация эстрадиола (489,9-507,8 пг/мл) – между группами сущес</w:t>
      </w:r>
      <w:r>
        <w:t>т</w:t>
      </w:r>
      <w:r>
        <w:t>венно не различались.</w:t>
      </w:r>
    </w:p>
    <w:p w:rsidR="00F4654E" w:rsidRDefault="00F4654E">
      <w:pPr>
        <w:pStyle w:val="a6"/>
      </w:pPr>
      <w:r>
        <w:t>Через 6 часов от начала родов уровень прогестерона в крови живо</w:t>
      </w:r>
      <w:r>
        <w:t>т</w:t>
      </w:r>
      <w:r>
        <w:t xml:space="preserve">ных контрольной группы снизился на 10,4% и был выше (в 1,26 раза) чем у свиноматок опытных групп, у которых его содержание снизилось на 4,7%. Концентрация эстрадиола у свиней контрольной группы снизилась в 1,6 </w:t>
      </w:r>
      <w:r>
        <w:lastRenderedPageBreak/>
        <w:t>раза, а у животных опытных групп – в 1,4 раза и была на 14,9% выше, чем в контроле. К 12 и 24 часам произошло дальнейшее снижение уровня пр</w:t>
      </w:r>
      <w:r>
        <w:t>о</w:t>
      </w:r>
      <w:r>
        <w:t>гестерона в крови свиней и его содержание не имело существенных разл</w:t>
      </w:r>
      <w:r>
        <w:t>и</w:t>
      </w:r>
      <w:r>
        <w:t>чий между группами животных, в то время как концентрация эстрадиола у свиноматок первой и второй групп было выше, чем в контроле: к 12 ч с</w:t>
      </w:r>
      <w:r>
        <w:t>о</w:t>
      </w:r>
      <w:r>
        <w:t>ответственно на 15,3 и 31,0% и к 24 ч – на 11,6 и 62,7%. У свиноматок, к</w:t>
      </w:r>
      <w:r>
        <w:t>о</w:t>
      </w:r>
      <w:r>
        <w:t>торым простагландин был введен дважды, содержание эстрадиола в да</w:t>
      </w:r>
      <w:r>
        <w:t>н</w:t>
      </w:r>
      <w:r>
        <w:t>ные сроки исследований оказалось соответственно на 13,7 и 45,8% выше, чем у животных, которым препарат вводили однократно.</w:t>
      </w:r>
    </w:p>
    <w:p w:rsidR="00F4654E" w:rsidRDefault="00F4654E">
      <w:pPr>
        <w:pStyle w:val="a6"/>
      </w:pPr>
      <w:r>
        <w:t>Для определения эффективности двукратного введения эстуфалана и клатрапростина для профилактики острого послеродового гнойно-катарального эндометрита и метрит-мастит-агалактии проведен опыт на 566 свиноматках крупной белой породы по второму-пятому опоросам с массой тела 170-230 кг.</w:t>
      </w:r>
    </w:p>
    <w:p w:rsidR="00F4654E" w:rsidRDefault="00F4654E">
      <w:pPr>
        <w:pStyle w:val="a6"/>
      </w:pPr>
      <w:r>
        <w:t>Свиноматкам первой (</w:t>
      </w:r>
      <w:r>
        <w:rPr>
          <w:lang w:val="fr-FR"/>
        </w:rPr>
        <w:t>n</w:t>
      </w:r>
      <w:r>
        <w:t>=99) и второй (</w:t>
      </w:r>
      <w:r>
        <w:rPr>
          <w:lang w:val="fr-FR"/>
        </w:rPr>
        <w:t>n</w:t>
      </w:r>
      <w:r>
        <w:t>=118) групп внутримышечно вводили эстуфалан в дозе 0,7 мл (175 мкг по АДВ) и клатрапростин в дозе 1 мл (50 мкг по АДВ) на 113-114 день супоросности, свиньям третьей группы (</w:t>
      </w:r>
      <w:r>
        <w:rPr>
          <w:lang w:val="fr-FR"/>
        </w:rPr>
        <w:t>n</w:t>
      </w:r>
      <w:r>
        <w:t>=111) инъецировали в той же дозе эстуфалан, а четвертой (</w:t>
      </w:r>
      <w:r>
        <w:rPr>
          <w:lang w:val="fr-FR"/>
        </w:rPr>
        <w:t>n</w:t>
      </w:r>
      <w:r>
        <w:t>=121) – клатрапростин дважды: на 113-114 день супоросности и через 6 ч после рождения первого поросенка, а животным пятой группы (</w:t>
      </w:r>
      <w:r>
        <w:rPr>
          <w:lang w:val="fr-FR"/>
        </w:rPr>
        <w:t>n</w:t>
      </w:r>
      <w:r>
        <w:t>=117) препараты не применяли.</w:t>
      </w:r>
    </w:p>
    <w:p w:rsidR="00F4654E" w:rsidRDefault="00F4654E">
      <w:pPr>
        <w:pStyle w:val="a6"/>
      </w:pPr>
      <w:r>
        <w:t>Установили, что заболеваемость свиноматок первой, второй, третьей, четвертой и пятой групп составила соответственно 44,4%, 43,2, 34,2, 33,1 и  63,2%, в том числе эндометритом – 32,3%, 31,3, 27,9, 27,3, 41,9%, а ММА – 12,1%, 11,9, 6,31, 5,78 и 21,3%.</w:t>
      </w:r>
    </w:p>
    <w:p w:rsidR="00F4654E" w:rsidRDefault="00F4654E">
      <w:pPr>
        <w:pStyle w:val="a6"/>
      </w:pPr>
      <w:r>
        <w:t>Исследования показали, что введение простагландина свиноматкам в конце супоросности обеспечивает более высокий (на 11,6-15,3%) уровень эстрадиола в крови в послеродовой период, а повторное его введение сп</w:t>
      </w:r>
      <w:r>
        <w:t>о</w:t>
      </w:r>
      <w:r>
        <w:t>собствует значительно большему (на 31,0-62,7%) его содержанию, что ок</w:t>
      </w:r>
      <w:r>
        <w:t>а</w:t>
      </w:r>
      <w:r>
        <w:t>зывает благотворное влияние на течение течение послеродового периода.</w:t>
      </w:r>
    </w:p>
    <w:p w:rsidR="00F4654E" w:rsidRDefault="00F4654E">
      <w:pPr>
        <w:pStyle w:val="a6"/>
      </w:pPr>
      <w:r>
        <w:t>Однократное введение эстуфалана и клатрапростина свиноматкам в конце супоросности снижает заболеваемость свиноматок послеродовыми болезнями соответственно в 1,42 (</w:t>
      </w:r>
      <w:r>
        <w:sym w:font="Symbol" w:char="F063"/>
      </w:r>
      <w:r>
        <w:rPr>
          <w:vertAlign w:val="superscript"/>
        </w:rPr>
        <w:t>2</w:t>
      </w:r>
      <w:r>
        <w:t>=6,78; P&lt;0,01) и 13,2 (</w:t>
      </w:r>
      <w:r>
        <w:sym w:font="Symbol" w:char="F063"/>
      </w:r>
      <w:r>
        <w:rPr>
          <w:vertAlign w:val="superscript"/>
        </w:rPr>
        <w:t>2</w:t>
      </w:r>
      <w:r>
        <w:t>= 9,03; Р&lt;0,01) раза, в том числе эндометритом – в 1,3 (</w:t>
      </w:r>
      <w:r>
        <w:rPr>
          <w:lang w:val="en-US"/>
        </w:rPr>
        <w:sym w:font="Symbol" w:char="F063"/>
      </w:r>
      <w:r>
        <w:rPr>
          <w:vertAlign w:val="superscript"/>
        </w:rPr>
        <w:t>2</w:t>
      </w:r>
      <w:r>
        <w:t>=3,81;Р&gt;0,05) и 1,34 (</w:t>
      </w:r>
      <w:r>
        <w:rPr>
          <w:lang w:val="en-US"/>
        </w:rPr>
        <w:sym w:font="Symbol" w:char="F063"/>
      </w:r>
      <w:r>
        <w:rPr>
          <w:vertAlign w:val="superscript"/>
        </w:rPr>
        <w:t>2</w:t>
      </w:r>
      <w:r>
        <w:t>=6,0; Р&lt;0,05) раза и ММА – в 1,76 (</w:t>
      </w:r>
      <w:r>
        <w:sym w:font="Symbol" w:char="F063"/>
      </w:r>
      <w:r>
        <w:rPr>
          <w:vertAlign w:val="superscript"/>
        </w:rPr>
        <w:t>2</w:t>
      </w:r>
      <w:r>
        <w:t>=4,51; Р&lt;0,05) и 1,79 (</w:t>
      </w:r>
      <w:r>
        <w:sym w:font="Symbol" w:char="F063"/>
      </w:r>
      <w:r>
        <w:rPr>
          <w:vertAlign w:val="superscript"/>
        </w:rPr>
        <w:t>2</w:t>
      </w:r>
      <w:r>
        <w:t xml:space="preserve">=5,90; Р&lt;0,05) раза. </w:t>
      </w:r>
    </w:p>
    <w:p w:rsidR="00F4654E" w:rsidRDefault="00F4654E">
      <w:pPr>
        <w:pStyle w:val="a6"/>
      </w:pPr>
      <w:r>
        <w:t>Результаты исследований свидетельствуют о том, что двукратное н</w:t>
      </w:r>
      <w:r>
        <w:t>а</w:t>
      </w:r>
      <w:r>
        <w:t>значение эстуфалана и клатрапростина свиноматкам в конце супорос</w:t>
      </w:r>
      <w:r w:rsidR="00F2072C">
        <w:t>-</w:t>
      </w:r>
      <w:r>
        <w:t>ности и через 6 ч после начала родов уменьшает их заболеваемость посл</w:t>
      </w:r>
      <w:r>
        <w:t>е</w:t>
      </w:r>
      <w:r>
        <w:t>родовыми болезнями в 1,84 (</w:t>
      </w:r>
      <w:r>
        <w:sym w:font="Symbol" w:char="F063"/>
      </w:r>
      <w:r>
        <w:rPr>
          <w:vertAlign w:val="superscript"/>
        </w:rPr>
        <w:t>2</w:t>
      </w:r>
      <w:r>
        <w:t>=19,1, Р&lt;0,001) и 1,91 (</w:t>
      </w:r>
      <w:r>
        <w:sym w:font="Symbol" w:char="F063"/>
      </w:r>
      <w:r>
        <w:rPr>
          <w:vertAlign w:val="superscript"/>
        </w:rPr>
        <w:t>2</w:t>
      </w:r>
      <w:r>
        <w:t>=20,6, Р&lt;0,001) раза, в том числе эндометритом – в 1,53 (</w:t>
      </w:r>
      <w:r>
        <w:sym w:font="Symbol" w:char="F063"/>
      </w:r>
      <w:r>
        <w:rPr>
          <w:vertAlign w:val="superscript"/>
        </w:rPr>
        <w:t>2</w:t>
      </w:r>
      <w:r>
        <w:t>=9,34, Р&lt;0,01) и 1,53 (</w:t>
      </w:r>
      <w:r>
        <w:sym w:font="Symbol" w:char="F063"/>
      </w:r>
      <w:r>
        <w:rPr>
          <w:vertAlign w:val="superscript"/>
        </w:rPr>
        <w:t>2</w:t>
      </w:r>
      <w:r>
        <w:t>=10,83, Р&lt;0,001) раза и ММА – в 3,38 (</w:t>
      </w:r>
      <w:r>
        <w:sym w:font="Symbol" w:char="F063"/>
      </w:r>
      <w:r>
        <w:rPr>
          <w:vertAlign w:val="superscript"/>
        </w:rPr>
        <w:t>2</w:t>
      </w:r>
      <w:r>
        <w:t>=14,5, Р&lt;0,001) и 3,69 (</w:t>
      </w:r>
      <w:r>
        <w:sym w:font="Symbol" w:char="F063"/>
      </w:r>
      <w:r>
        <w:rPr>
          <w:vertAlign w:val="superscript"/>
        </w:rPr>
        <w:t>2</w:t>
      </w:r>
      <w:r>
        <w:t>=17,6, Р&lt;0,001) раза.</w:t>
      </w:r>
    </w:p>
    <w:p w:rsidR="00F4654E" w:rsidRDefault="00F4654E">
      <w:pPr>
        <w:pStyle w:val="a6"/>
      </w:pPr>
      <w:r>
        <w:lastRenderedPageBreak/>
        <w:t>Эффективность эстуфалана и клатрапростина как при однократном, так и  двукратном введении существенно не различаются.</w:t>
      </w:r>
    </w:p>
    <w:p w:rsidR="00F4654E" w:rsidRDefault="00F4654E">
      <w:pPr>
        <w:pStyle w:val="a6"/>
      </w:pPr>
      <w:r>
        <w:t>Способ профилактики послеродовых болезней свиноматок путем дв</w:t>
      </w:r>
      <w:r>
        <w:t>у</w:t>
      </w:r>
      <w:r>
        <w:t>кратного введения простагландина F-2α на 113-й день супоросности и ч</w:t>
      </w:r>
      <w:r>
        <w:t>е</w:t>
      </w:r>
      <w:r>
        <w:t xml:space="preserve">рез 6 ч от начала родов защищен авторским свидетельством </w:t>
      </w:r>
    </w:p>
    <w:p w:rsidR="00F4654E" w:rsidRDefault="00F4654E">
      <w:pPr>
        <w:pStyle w:val="a4"/>
      </w:pPr>
      <w:r>
        <w:t>УДК 619:618.5:618.7 – 084:636.4</w:t>
      </w:r>
    </w:p>
    <w:p w:rsidR="00F4654E" w:rsidRDefault="00F4654E">
      <w:pPr>
        <w:pStyle w:val="1"/>
      </w:pPr>
      <w:bookmarkStart w:id="2420" w:name="_Toc11390385"/>
      <w:bookmarkStart w:id="2421" w:name="_Toc11840068"/>
      <w:bookmarkStart w:id="2422" w:name="_Toc11937604"/>
      <w:r>
        <w:t>Фармакопрофилактика эндометрита и ММ А у свиноматок с первичной слабостью родов</w:t>
      </w:r>
      <w:bookmarkEnd w:id="2420"/>
      <w:bookmarkEnd w:id="2421"/>
      <w:bookmarkEnd w:id="2422"/>
    </w:p>
    <w:p w:rsidR="00F4654E" w:rsidRDefault="00F4654E">
      <w:pPr>
        <w:pStyle w:val="2"/>
      </w:pPr>
      <w:bookmarkStart w:id="2423" w:name="_Toc11390386"/>
      <w:bookmarkStart w:id="2424" w:name="_Toc11937605"/>
      <w:r>
        <w:t>Коцарев В.Н.</w:t>
      </w:r>
      <w:bookmarkEnd w:id="2423"/>
      <w:bookmarkEnd w:id="2424"/>
    </w:p>
    <w:p w:rsidR="00F4654E" w:rsidRDefault="00F4654E">
      <w:pPr>
        <w:pStyle w:val="a5"/>
      </w:pPr>
      <w:r>
        <w:t>Всероссийский НИВИ патологии, фармакологии и терапии</w:t>
      </w:r>
    </w:p>
    <w:p w:rsidR="00F4654E" w:rsidRDefault="00F4654E">
      <w:pPr>
        <w:pStyle w:val="a6"/>
      </w:pPr>
      <w:r>
        <w:t>В условиях свиноводческих комплексах при круглогодовом безв</w:t>
      </w:r>
      <w:r>
        <w:t>ы</w:t>
      </w:r>
      <w:r>
        <w:t>гульном содержании у свиноматок часто (в 40% случаев и более) регис</w:t>
      </w:r>
      <w:r>
        <w:t>т</w:t>
      </w:r>
      <w:r>
        <w:t>рируется первичная слабость родов, проявляющаяся увеличением (в 2 раза и более) продолжительности родового акта, учащением случаев (в 1,3-2,5 раза) рождения мертвых и слабых поросят, а также повышением (в 1,5-2,5 раза) их заболеваемости послеродовыми болезнями.</w:t>
      </w:r>
    </w:p>
    <w:p w:rsidR="00F4654E" w:rsidRDefault="00F4654E">
      <w:pPr>
        <w:pStyle w:val="a6"/>
      </w:pPr>
      <w:r>
        <w:t>Проведенными ранее исследованиями выявлено, что одним из факт</w:t>
      </w:r>
      <w:r>
        <w:t>о</w:t>
      </w:r>
      <w:r>
        <w:t>ров, обусловливающих первичную слабость родов у свиней, является н</w:t>
      </w:r>
      <w:r>
        <w:t>а</w:t>
      </w:r>
      <w:r>
        <w:t>рушение стероидогенеза в организме животных во время беременности.</w:t>
      </w:r>
    </w:p>
    <w:p w:rsidR="00F4654E" w:rsidRDefault="00F4654E">
      <w:pPr>
        <w:pStyle w:val="a6"/>
      </w:pPr>
      <w:r>
        <w:t>Установлено, что у свиноматок, с первичной слабостью родов соде</w:t>
      </w:r>
      <w:r>
        <w:t>р</w:t>
      </w:r>
      <w:r>
        <w:t>жание прогестерона в крови за 6-7, 2-3 и 1 сутки до опороса было соотве</w:t>
      </w:r>
      <w:r>
        <w:t>т</w:t>
      </w:r>
      <w:r>
        <w:t>ственно в 1,23, 1,33 и 1,57 раза выше, а эстрадиола-17β – на 4,1, 20,8 и 12,7% ниже, чем у животных с нормальным течением родового акта. При этом прогестерон-эстрадиоловое соотношение у них было выше соответс</w:t>
      </w:r>
      <w:r>
        <w:t>т</w:t>
      </w:r>
      <w:r>
        <w:t>венно в 1,28, 1,67 и 1,95 раза. Было также выявлено, что у свиноматок, у которых регистрировали первичную слабость родов, концентрация проге</w:t>
      </w:r>
      <w:r>
        <w:t>с</w:t>
      </w:r>
      <w:r>
        <w:t>терона в крови через 6 ч., 24 и 48 ч от начала опороса соответственно на 12,3%, 37,0 и 16,0% выше, а прогестерон-эстрадиоловое соотношение больше на 8,3%, 33,6 и 21,8%.</w:t>
      </w:r>
    </w:p>
    <w:p w:rsidR="00F4654E" w:rsidRDefault="00F4654E">
      <w:pPr>
        <w:pStyle w:val="a6"/>
      </w:pPr>
      <w:r>
        <w:t>В двух сериях опытов изучено влияние простагландина F-2</w:t>
      </w:r>
      <w:r>
        <w:rPr>
          <w:lang w:val="en-US"/>
        </w:rPr>
        <w:t>α</w:t>
      </w:r>
      <w:r>
        <w:t>, ввод</w:t>
      </w:r>
      <w:r>
        <w:t>и</w:t>
      </w:r>
      <w:r>
        <w:t>мого свиноматкам через 6 часов после начала опороса, на динамику пр</w:t>
      </w:r>
      <w:r>
        <w:t>о</w:t>
      </w:r>
      <w:r>
        <w:t>гестерона и эстрадиола-17β у свиноматок с первичной слабостью родов в течение первых суток после опороса, а также выяснение эффективности применения отечественных препаратов простагландина F-2</w:t>
      </w:r>
      <w:r>
        <w:rPr>
          <w:lang w:val="en-US"/>
        </w:rPr>
        <w:t>α</w:t>
      </w:r>
      <w:r>
        <w:t>: эстуфалана и клатропростина в сочетании с окситоцином для профилактики послерод</w:t>
      </w:r>
      <w:r>
        <w:t>о</w:t>
      </w:r>
      <w:r>
        <w:t>вых болезней.</w:t>
      </w:r>
    </w:p>
    <w:p w:rsidR="00F4654E" w:rsidRDefault="00F4654E">
      <w:pPr>
        <w:pStyle w:val="a6"/>
      </w:pPr>
      <w:r>
        <w:t>Исследования по изучению динамики прогестерона и эстрадиола в</w:t>
      </w:r>
      <w:r>
        <w:t>ы</w:t>
      </w:r>
      <w:r>
        <w:t>полнены на 15 свиноматках с первичной слабостью родов крупной белой породы, по второму-пятому опоросу, массой тела 180-230 кг, разделенных по принципу аналогов на две группы: опытную (</w:t>
      </w:r>
      <w:r>
        <w:rPr>
          <w:lang w:val="en-US"/>
        </w:rPr>
        <w:t>n</w:t>
      </w:r>
      <w:r>
        <w:t>=8) и контрольную (</w:t>
      </w:r>
      <w:r>
        <w:rPr>
          <w:lang w:val="en-US"/>
        </w:rPr>
        <w:t>n</w:t>
      </w:r>
      <w:r>
        <w:t xml:space="preserve">=7). От животных каждой группы были взяты пробы крови: после рождения </w:t>
      </w:r>
      <w:r>
        <w:lastRenderedPageBreak/>
        <w:t>первого поросенка, через 6 ч, 12, 24 и 36 ч от начала опороса и пригото</w:t>
      </w:r>
      <w:r>
        <w:t>в</w:t>
      </w:r>
      <w:r>
        <w:t>лена плазма с последующим определением стероидных гормонов ради</w:t>
      </w:r>
      <w:r>
        <w:t>о</w:t>
      </w:r>
      <w:r>
        <w:t>иммунологическим методом. Свиноматкам опытной группы через 6 час после начала родового акта (после взятия крови) вводили препарат пр</w:t>
      </w:r>
      <w:r>
        <w:t>о</w:t>
      </w:r>
      <w:r>
        <w:t>стагландина F-2</w:t>
      </w:r>
      <w:r>
        <w:rPr>
          <w:lang w:val="en-US"/>
        </w:rPr>
        <w:t>α</w:t>
      </w:r>
      <w:r>
        <w:t xml:space="preserve"> – эстуфалан в дозе 0,7 мл (175 мкг по АДВ).</w:t>
      </w:r>
    </w:p>
    <w:p w:rsidR="00F4654E" w:rsidRDefault="00F4654E">
      <w:pPr>
        <w:pStyle w:val="a6"/>
      </w:pPr>
      <w:r>
        <w:t>Опыты по определению эффективности применения эстуфалана и клатропростина в сочетании с окситоцином выполнена на 308 свинома</w:t>
      </w:r>
      <w:r>
        <w:t>т</w:t>
      </w:r>
      <w:r>
        <w:t>ках, разделенных по принципу аналогов на шесть групп. Свиноматкам первой группы (</w:t>
      </w:r>
      <w:r>
        <w:rPr>
          <w:lang w:val="en-US"/>
        </w:rPr>
        <w:t>n</w:t>
      </w:r>
      <w:r>
        <w:t>=53) дважды: первый раз после постановки диагноза на первичную слабость родов и повторно через 1,5 час вводили окситоцин в дозе 15 ЕД/100 кг массы тела, второй (</w:t>
      </w:r>
      <w:r>
        <w:rPr>
          <w:lang w:val="en-US"/>
        </w:rPr>
        <w:t>n</w:t>
      </w:r>
      <w:r>
        <w:t>=47) – эстуфалан в дозе 0,7 мл п</w:t>
      </w:r>
      <w:r>
        <w:t>о</w:t>
      </w:r>
      <w:r>
        <w:t>сле постановки диагноза, третьей (</w:t>
      </w:r>
      <w:r>
        <w:rPr>
          <w:lang w:val="en-US"/>
        </w:rPr>
        <w:t>n</w:t>
      </w:r>
      <w:r>
        <w:t>=46) - клатропростин – в дозе 1 мл (50 мкг по АДВ) также как и во второй группе, четвертой (</w:t>
      </w:r>
      <w:r>
        <w:rPr>
          <w:lang w:val="en-US"/>
        </w:rPr>
        <w:t>n</w:t>
      </w:r>
      <w:r>
        <w:t>=52) и пятой (</w:t>
      </w:r>
      <w:r>
        <w:rPr>
          <w:lang w:val="en-US"/>
        </w:rPr>
        <w:t>n</w:t>
      </w:r>
      <w:r>
        <w:t>=54) – окситоцин дважды и соответственно по группам эстуфалан и кл</w:t>
      </w:r>
      <w:r>
        <w:t>а</w:t>
      </w:r>
      <w:r>
        <w:t>тропростин через 2-4 час после отделения последа в тех же дозах, а шестой (</w:t>
      </w:r>
      <w:r>
        <w:rPr>
          <w:lang w:val="en-US"/>
        </w:rPr>
        <w:t>n</w:t>
      </w:r>
      <w:r>
        <w:t>=56) препараты не назначали (контроль).</w:t>
      </w:r>
    </w:p>
    <w:p w:rsidR="00F4654E" w:rsidRDefault="00F4654E">
      <w:pPr>
        <w:pStyle w:val="a6"/>
      </w:pPr>
      <w:r>
        <w:t>Диагноз на первичную слабость родов у свиноматок ставили по пр</w:t>
      </w:r>
      <w:r>
        <w:t>о</w:t>
      </w:r>
      <w:r>
        <w:t>должительности интервалов рождения поросят: второго – 25 минут и б</w:t>
      </w:r>
      <w:r>
        <w:t>о</w:t>
      </w:r>
      <w:r>
        <w:t>лее, третьего – 20 минут и более.</w:t>
      </w:r>
    </w:p>
    <w:p w:rsidR="00F4654E" w:rsidRDefault="00F4654E">
      <w:pPr>
        <w:pStyle w:val="a6"/>
      </w:pPr>
      <w:r>
        <w:t>По первому опыту установлено, что содержание прогестерона у св</w:t>
      </w:r>
      <w:r>
        <w:t>и</w:t>
      </w:r>
      <w:r>
        <w:t>номаток первой и второй групп в начале родов составило соответственно 3,43</w:t>
      </w:r>
      <w:r>
        <w:sym w:font="Symbol" w:char="F0B1"/>
      </w:r>
      <w:r>
        <w:t>0,38 и 3,35</w:t>
      </w:r>
      <w:r>
        <w:sym w:font="Symbol" w:char="F0B1"/>
      </w:r>
      <w:r>
        <w:t>0,57 нг/мл. К 6 и 12 час от начала опороса у животных опытной группы оно сократилось соответственно в 1,72 и 2,23 раза, ко</w:t>
      </w:r>
      <w:r>
        <w:t>н</w:t>
      </w:r>
      <w:r>
        <w:t>трольной – в 1,40 и 1,99 раза и не имело существенных различий между группами. Уровень эстрадиола у животных в начале родов по группам с</w:t>
      </w:r>
      <w:r>
        <w:t>о</w:t>
      </w:r>
      <w:r>
        <w:t>ставил соответственно 478,4</w:t>
      </w:r>
      <w:r>
        <w:sym w:font="Symbol" w:char="F0B1"/>
      </w:r>
      <w:r>
        <w:t>49,6 пг/мл и 481,5</w:t>
      </w:r>
      <w:r>
        <w:sym w:font="Symbol" w:char="F0B1"/>
      </w:r>
      <w:r>
        <w:t>82,7 пг/мл. К 6 час его с</w:t>
      </w:r>
      <w:r>
        <w:t>о</w:t>
      </w:r>
      <w:r>
        <w:t>держание уменьшалось соответственно в 1,83 и 1,53 раза, причем в ко</w:t>
      </w:r>
      <w:r>
        <w:t>н</w:t>
      </w:r>
      <w:r>
        <w:t>троле было в 1,2 раза выше (314,0</w:t>
      </w:r>
      <w:r>
        <w:sym w:font="Symbol" w:char="F0B1"/>
      </w:r>
      <w:r>
        <w:t>24,8 пг/мл). Показатели прогестерон-эстрадиолового соотношения между группами существенно не различ</w:t>
      </w:r>
      <w:r>
        <w:t>а</w:t>
      </w:r>
      <w:r>
        <w:t>лись, и у свиноматок опытной группы они составили в начале родового а</w:t>
      </w:r>
      <w:r>
        <w:t>к</w:t>
      </w:r>
      <w:r>
        <w:t>та - 7,20, через 6 час -  7,67, в контроле  соответственно – 6,95 и 7,6.</w:t>
      </w:r>
    </w:p>
    <w:p w:rsidR="00F4654E" w:rsidRDefault="00F4654E">
      <w:pPr>
        <w:pStyle w:val="a6"/>
      </w:pPr>
      <w:r>
        <w:t>Различия в содержании прогестерона между группами животных у</w:t>
      </w:r>
      <w:r>
        <w:t>с</w:t>
      </w:r>
      <w:r>
        <w:t>танавливали через 24 и 36 час от начала родов (через 18 и 30 час после введения простагландина свиноматкам опытной группы). У свиноматок опытной группы его концентрация составила соответственно 1,32</w:t>
      </w:r>
      <w:r>
        <w:rPr>
          <w:u w:val="single"/>
        </w:rPr>
        <w:t>+</w:t>
      </w:r>
      <w:r>
        <w:t>0,12 и 1,18</w:t>
      </w:r>
      <w:r>
        <w:rPr>
          <w:u w:val="single"/>
        </w:rPr>
        <w:t>+</w:t>
      </w:r>
      <w:r>
        <w:t>1,36 нг/мл, что в 1,35 и 1,62 раза меньше по сравнению с контролем. Уровень эстрадиола у свиноматок, которым вводили простагландины, к 12 час, 24 и 36 час после начала родов составил соответственно 272,9</w:t>
      </w:r>
      <w:r>
        <w:sym w:font="Symbol" w:char="F0B1"/>
      </w:r>
      <w:r>
        <w:t>30,4 пг/мл, 248,1</w:t>
      </w:r>
      <w:r>
        <w:sym w:font="Symbol" w:char="F0B1"/>
      </w:r>
      <w:r>
        <w:t>26,9, 228,3</w:t>
      </w:r>
      <w:r>
        <w:sym w:font="Symbol" w:char="F0B1"/>
      </w:r>
      <w:r>
        <w:t>33,5 пг/мл, что в 1,2, 1,7 и 2,2 раза выше по сра</w:t>
      </w:r>
      <w:r>
        <w:t>в</w:t>
      </w:r>
      <w:r>
        <w:t>нению с контролем.</w:t>
      </w:r>
    </w:p>
    <w:p w:rsidR="00F4654E" w:rsidRDefault="00F4654E">
      <w:pPr>
        <w:pStyle w:val="a6"/>
      </w:pPr>
      <w:r>
        <w:t>Заболеваемость послеродовыми болезнями свиноматок первой, вт</w:t>
      </w:r>
      <w:r>
        <w:t>о</w:t>
      </w:r>
      <w:r>
        <w:t xml:space="preserve">рой, третьей, четвертой, пятой и шестой групп составила соответственно 43,4%, 53,2, 52,2, 32,7, 31,5, 78,6% в т.ч. эндометритом – 32,0%, 44,7, 43,5, </w:t>
      </w:r>
      <w:r>
        <w:lastRenderedPageBreak/>
        <w:t>28,8, 27,8, 46,4% и метрит-мастит-агалактией – 11,3%, 8,51, 8,69, 3,85, 3,70, 32,1%.</w:t>
      </w:r>
    </w:p>
    <w:p w:rsidR="00F4654E" w:rsidRPr="0047197F" w:rsidRDefault="00F4654E">
      <w:pPr>
        <w:pStyle w:val="a6"/>
        <w:rPr>
          <w:spacing w:val="-2"/>
        </w:rPr>
      </w:pPr>
      <w:r w:rsidRPr="0047197F">
        <w:rPr>
          <w:spacing w:val="-2"/>
        </w:rPr>
        <w:t xml:space="preserve">Таким образом, установлено, что простагландин </w:t>
      </w:r>
      <w:r w:rsidRPr="0047197F">
        <w:rPr>
          <w:spacing w:val="-2"/>
          <w:lang w:val="en-US"/>
        </w:rPr>
        <w:t>F</w:t>
      </w:r>
      <w:r w:rsidRPr="0047197F">
        <w:rPr>
          <w:spacing w:val="-2"/>
        </w:rPr>
        <w:t>-2α, введенный св</w:t>
      </w:r>
      <w:r w:rsidRPr="0047197F">
        <w:rPr>
          <w:spacing w:val="-2"/>
        </w:rPr>
        <w:t>и</w:t>
      </w:r>
      <w:r w:rsidRPr="0047197F">
        <w:rPr>
          <w:spacing w:val="-2"/>
        </w:rPr>
        <w:t>номаткам с первичной слабостью родов оказывает нормализующее вли</w:t>
      </w:r>
      <w:r w:rsidRPr="0047197F">
        <w:rPr>
          <w:spacing w:val="-2"/>
        </w:rPr>
        <w:t>я</w:t>
      </w:r>
      <w:r w:rsidRPr="0047197F">
        <w:rPr>
          <w:spacing w:val="-2"/>
        </w:rPr>
        <w:t>ние на метаболизм стероидных гормонов в организме, проявляющееся более низким (в 1,35-1,62 раза) уровнем прогестерона и повышенным (в 1,7-2,2 раза) содержанием эстрадиола в крови через 18 и 30 час после введ</w:t>
      </w:r>
      <w:r w:rsidRPr="0047197F">
        <w:rPr>
          <w:spacing w:val="-2"/>
        </w:rPr>
        <w:t>е</w:t>
      </w:r>
      <w:r w:rsidRPr="0047197F">
        <w:rPr>
          <w:spacing w:val="-2"/>
        </w:rPr>
        <w:t>ния.</w:t>
      </w:r>
    </w:p>
    <w:p w:rsidR="00F4654E" w:rsidRDefault="00F4654E">
      <w:pPr>
        <w:pStyle w:val="a6"/>
      </w:pPr>
      <w:r>
        <w:t>Двукратное введение окситоцина свиноматкам с первичной слабостью родов снижает заболеваемость послеродовыми болезнями в 1,81 раза, в т.ч. эндометритом в 1,45 раза и ММА – в 2,84 раза. Назначение эстуфалана или клатропростина уменьшает заболеваемость свиноматок послеродовыми болезнями соответственно в 1,48 и 1,51 раза, в т.ч. ММА – в 3,77 и 3,69 раза. Сочетанное применение окситоцина с эстуфаланом или клатропр</w:t>
      </w:r>
      <w:r>
        <w:t>о</w:t>
      </w:r>
      <w:r>
        <w:t>стином уменьшает заболеваемость послеродовыми болезнями соответс</w:t>
      </w:r>
      <w:r>
        <w:t>т</w:t>
      </w:r>
      <w:r>
        <w:t>венно в 2,4 и 2,5 раза, в т.ч. эндометритом – в 1,61 и 1,67 раза; ММА – в 8,33 и 8,67 раза и является наиболее эффективным способом профилактики послеродовых болезней у свиней с первичной слабостью родов.</w:t>
      </w:r>
    </w:p>
    <w:p w:rsidR="00F4654E" w:rsidRDefault="00F4654E">
      <w:pPr>
        <w:pStyle w:val="a4"/>
      </w:pPr>
      <w:r>
        <w:t>УДК 619:618.5-085:618.7-084:636.4</w:t>
      </w:r>
    </w:p>
    <w:p w:rsidR="00F4654E" w:rsidRDefault="00F4654E">
      <w:pPr>
        <w:pStyle w:val="1"/>
      </w:pPr>
      <w:bookmarkStart w:id="2425" w:name="_Toc11390387"/>
      <w:bookmarkStart w:id="2426" w:name="_Toc11840070"/>
      <w:bookmarkStart w:id="2427" w:name="_Toc11937606"/>
      <w:r>
        <w:t>ЭФФЕКТИВНОСТЬ ПРИМЕНЕНИЯ ЭСТУФАЛАНА ДЛЯ СИНХРОНИЗАЦИИ ОПОРОСА И ПРОФИЛАКТИКИ ММА У СВИНЕЙ</w:t>
      </w:r>
      <w:bookmarkEnd w:id="2425"/>
      <w:bookmarkEnd w:id="2426"/>
      <w:bookmarkEnd w:id="2427"/>
    </w:p>
    <w:p w:rsidR="00F4654E" w:rsidRDefault="00F4654E">
      <w:pPr>
        <w:pStyle w:val="2"/>
      </w:pPr>
      <w:bookmarkStart w:id="2428" w:name="_Toc11390388"/>
      <w:bookmarkStart w:id="2429" w:name="_Toc11937607"/>
      <w:r>
        <w:t>Коцарев В.Н., Мисайлов В.Д., Нежданов А.Г.*</w:t>
      </w:r>
      <w:bookmarkEnd w:id="2428"/>
      <w:bookmarkEnd w:id="2429"/>
    </w:p>
    <w:p w:rsidR="00F4654E" w:rsidRDefault="00F4654E">
      <w:pPr>
        <w:pStyle w:val="a5"/>
      </w:pPr>
      <w:r>
        <w:t xml:space="preserve">Всероссийский НИВИ патологии, фармакологии и терапии </w:t>
      </w:r>
      <w:r>
        <w:br/>
        <w:t>*Воронежский государственный аграрный университет им. К.Д. Глинки</w:t>
      </w:r>
    </w:p>
    <w:p w:rsidR="00F4654E" w:rsidRDefault="00F4654E">
      <w:pPr>
        <w:pStyle w:val="a6"/>
      </w:pPr>
      <w:r>
        <w:t>Исследованиями установлено, что в условиях свиноводческих ко</w:t>
      </w:r>
      <w:r>
        <w:t>м</w:t>
      </w:r>
      <w:r>
        <w:t>плексов промышленного типа продолжительность супоросности у свиней колеблется от 111 до 119 дней и составляет в среднем 114,7</w:t>
      </w:r>
      <w:r>
        <w:sym w:font="Symbol" w:char="F0B1"/>
      </w:r>
      <w:r>
        <w:t>0,08 дней. П</w:t>
      </w:r>
      <w:r>
        <w:t>о</w:t>
      </w:r>
      <w:r>
        <w:t>этому опорос группы свиноматок (35-39 гол.), осемененных за один день, размещенных в одном секторе, в большинстве случаев продолжается в т</w:t>
      </w:r>
      <w:r>
        <w:t>е</w:t>
      </w:r>
      <w:r>
        <w:t>чение 3-5 дней, а осемененных за 2-3 - дня затягивается до 6-7 дней.</w:t>
      </w:r>
    </w:p>
    <w:p w:rsidR="00F4654E" w:rsidRDefault="00F4654E">
      <w:pPr>
        <w:pStyle w:val="a6"/>
      </w:pPr>
      <w:r>
        <w:t>Чтобы сформировать сектор свиноматок с приплодом (имеющего 30-34 станкоместа) в технологические сроки (за 1-2 дня), в него помещают 60-80 свиноматок (на 112 день супоросности). Из 33-38 опоросившихся св</w:t>
      </w:r>
      <w:r>
        <w:t>и</w:t>
      </w:r>
      <w:r>
        <w:t>ней формируют технологическую группу, а остальных - переводят в п</w:t>
      </w:r>
      <w:r>
        <w:t>о</w:t>
      </w:r>
      <w:r>
        <w:t>следующие сектора для опороса. Зачастую, глубокосупоросных свином</w:t>
      </w:r>
      <w:r>
        <w:t>а</w:t>
      </w:r>
      <w:r>
        <w:t>ток переводят несколько раз из одного сектора в другой, что оказывает на них отрицательное (стрессовое) воздействие, а размещение в секторе большого количества свиноматок приводит к нарушению ветеринарно-санитарного состояния помещений. При этом у свиноматок часто регис</w:t>
      </w:r>
      <w:r>
        <w:t>т</w:t>
      </w:r>
      <w:r>
        <w:t>рируются послеродовые болезни, а у поросят из гнезд от свиноматок, оп</w:t>
      </w:r>
      <w:r>
        <w:t>о</w:t>
      </w:r>
      <w:r>
        <w:t>росившихся последними в секторе - желудочно-кишечные заболевания.</w:t>
      </w:r>
    </w:p>
    <w:p w:rsidR="00F4654E" w:rsidRDefault="00F4654E">
      <w:pPr>
        <w:pStyle w:val="a6"/>
      </w:pPr>
      <w:r>
        <w:lastRenderedPageBreak/>
        <w:t>Целью наших исследований явилось изучение эффективности прим</w:t>
      </w:r>
      <w:r>
        <w:t>е</w:t>
      </w:r>
      <w:r>
        <w:t xml:space="preserve">нения отечественного препарата простагландина </w:t>
      </w:r>
      <w:r>
        <w:rPr>
          <w:lang w:val="en-US"/>
        </w:rPr>
        <w:t>F</w:t>
      </w:r>
      <w:r>
        <w:t>-2α – эстуфалана для синхронизации опороса и профилактики послеродовых болезней.</w:t>
      </w:r>
    </w:p>
    <w:p w:rsidR="00F4654E" w:rsidRPr="0047197F" w:rsidRDefault="00F4654E">
      <w:pPr>
        <w:pStyle w:val="a6"/>
        <w:rPr>
          <w:spacing w:val="-2"/>
        </w:rPr>
      </w:pPr>
      <w:r w:rsidRPr="0047197F">
        <w:rPr>
          <w:spacing w:val="-2"/>
        </w:rPr>
        <w:t xml:space="preserve">Исследования выполнены на 473 свиноматках крупной белой породы по второму-пятому опоросам с массой тела 180-230 кг, принадлежащих свиноводческому комплексу по выращиванию и откорму 108 тысяч свиней в год. Предварительно на 8 свиноматках изучено влияние отечественного препарата простагландина </w:t>
      </w:r>
      <w:r w:rsidRPr="0047197F">
        <w:rPr>
          <w:spacing w:val="-2"/>
          <w:lang w:val="en-US"/>
        </w:rPr>
        <w:t>F</w:t>
      </w:r>
      <w:r w:rsidRPr="0047197F">
        <w:rPr>
          <w:spacing w:val="-2"/>
        </w:rPr>
        <w:t>-2α – эстуфалана,  вводимого свиноматкам на 113 день супоросности в дозе 175 мкг на 1 голову на динамику половых стероидов: прогестерона и эстрадиола-17β. Исследования по определению эффективности применения эстуфалана для синхронизации опороса и пр</w:t>
      </w:r>
      <w:r w:rsidRPr="0047197F">
        <w:rPr>
          <w:spacing w:val="-2"/>
        </w:rPr>
        <w:t>о</w:t>
      </w:r>
      <w:r w:rsidRPr="0047197F">
        <w:rPr>
          <w:spacing w:val="-2"/>
        </w:rPr>
        <w:t>филактики послеродовых болезней выполнены на 465 животных, разделе</w:t>
      </w:r>
      <w:r w:rsidRPr="0047197F">
        <w:rPr>
          <w:spacing w:val="-2"/>
        </w:rPr>
        <w:t>н</w:t>
      </w:r>
      <w:r w:rsidRPr="0047197F">
        <w:rPr>
          <w:spacing w:val="-2"/>
        </w:rPr>
        <w:t>ных по принципу аналогов на три группы. Свиноматкам первой группы (</w:t>
      </w:r>
      <w:r w:rsidRPr="0047197F">
        <w:rPr>
          <w:spacing w:val="-2"/>
          <w:lang w:val="en-US"/>
        </w:rPr>
        <w:t>n</w:t>
      </w:r>
      <w:r w:rsidRPr="0047197F">
        <w:rPr>
          <w:spacing w:val="-2"/>
        </w:rPr>
        <w:t>=159) и второй (</w:t>
      </w:r>
      <w:r w:rsidRPr="0047197F">
        <w:rPr>
          <w:spacing w:val="-2"/>
          <w:lang w:val="en-US"/>
        </w:rPr>
        <w:t>n</w:t>
      </w:r>
      <w:r w:rsidRPr="0047197F">
        <w:rPr>
          <w:spacing w:val="-2"/>
        </w:rPr>
        <w:t>=152) внутримышечно на 113-114 день супоросности вводили соответственно эстуфалан и эстрофан в дозе 0,7 мл (175 мкг по ДВ), а животным третьей группы (</w:t>
      </w:r>
      <w:r w:rsidRPr="0047197F">
        <w:rPr>
          <w:spacing w:val="-2"/>
          <w:lang w:val="en-US"/>
        </w:rPr>
        <w:t>n</w:t>
      </w:r>
      <w:r w:rsidRPr="0047197F">
        <w:rPr>
          <w:spacing w:val="-2"/>
        </w:rPr>
        <w:t>=154) в те же сроки и в той же дозе ин</w:t>
      </w:r>
      <w:r w:rsidRPr="0047197F">
        <w:rPr>
          <w:spacing w:val="-2"/>
        </w:rPr>
        <w:t>ъ</w:t>
      </w:r>
      <w:r w:rsidRPr="0047197F">
        <w:rPr>
          <w:spacing w:val="-2"/>
        </w:rPr>
        <w:t>ецировали изотонический физиологический раствор натрия хл</w:t>
      </w:r>
      <w:r w:rsidRPr="0047197F">
        <w:rPr>
          <w:spacing w:val="-2"/>
        </w:rPr>
        <w:t>о</w:t>
      </w:r>
      <w:r w:rsidRPr="0047197F">
        <w:rPr>
          <w:spacing w:val="-2"/>
        </w:rPr>
        <w:t>рида.</w:t>
      </w:r>
    </w:p>
    <w:p w:rsidR="00F4654E" w:rsidRDefault="00F4654E">
      <w:pPr>
        <w:pStyle w:val="a6"/>
      </w:pPr>
      <w:r>
        <w:t>После проведения гормональных исследований установлено, что в контрольной группе животных (</w:t>
      </w:r>
      <w:r>
        <w:rPr>
          <w:lang w:val="en-US"/>
        </w:rPr>
        <w:t>n</w:t>
      </w:r>
      <w:r>
        <w:t>=4) концентрация прогестерона в начале опыта и через 12 часов оставалась почти на одном уровне, составив соо</w:t>
      </w:r>
      <w:r>
        <w:t>т</w:t>
      </w:r>
      <w:r>
        <w:t xml:space="preserve">ветственно 7,14 </w:t>
      </w:r>
      <w:r>
        <w:sym w:font="Symbol" w:char="F0B1"/>
      </w:r>
      <w:r>
        <w:t xml:space="preserve"> 0,51 и 6,26</w:t>
      </w:r>
      <w:r>
        <w:rPr>
          <w:u w:val="single"/>
        </w:rPr>
        <w:t>+</w:t>
      </w:r>
      <w:r>
        <w:t>0,57 нг/мл, к 24 час и 36 часам снизилась с</w:t>
      </w:r>
      <w:r>
        <w:t>о</w:t>
      </w:r>
      <w:r>
        <w:t>ответственно в 1,45 и 1,84 раза (Р&lt;0,001), а к началу родов – в 2,63 раза (Р&lt;0,01) по сравнению с исходным уровнем. Содержание эстрадиола в крови свиноматок от начала опыта к 12, 24, 36 часам и к началу родов п</w:t>
      </w:r>
      <w:r>
        <w:t>о</w:t>
      </w:r>
      <w:r>
        <w:t>высилось с 316,4</w:t>
      </w:r>
      <w:r>
        <w:sym w:font="Symbol" w:char="F0B1"/>
      </w:r>
      <w:r>
        <w:t>42,8 пг/мл соответственно в 1,24, 1,46, 1,69 и 1,97 раза. Прогестерон-эстрадиоловое соотношение в начале опыта составляло 22,6:1, а через 12, 24, 36 часов и к началу родов оно уменьшилось соотве</w:t>
      </w:r>
      <w:r>
        <w:t>т</w:t>
      </w:r>
      <w:r>
        <w:t>ственно в 1,41, 2,13, 3,1 и 5,2 раза.</w:t>
      </w:r>
    </w:p>
    <w:p w:rsidR="00F4654E" w:rsidRDefault="00F4654E">
      <w:pPr>
        <w:pStyle w:val="a6"/>
      </w:pPr>
      <w:r>
        <w:t>У свиноматок опытной группы (</w:t>
      </w:r>
      <w:r>
        <w:rPr>
          <w:lang w:val="en-US"/>
        </w:rPr>
        <w:t>n</w:t>
      </w:r>
      <w:r>
        <w:t>=4) содержание прогестерона к 6, 12 и 24 часам после введения эстуфалана и к началу родов снизилось с 7,67</w:t>
      </w:r>
      <w:r>
        <w:sym w:font="Symbol" w:char="F0B1"/>
      </w:r>
      <w:r>
        <w:t>0,58 нг/мл соответственно в 1,88 раза, 2,25,  3,32 и 3,6 раза, а эстр</w:t>
      </w:r>
      <w:r>
        <w:t>а</w:t>
      </w:r>
      <w:r>
        <w:t>диола – возросло с 323,2</w:t>
      </w:r>
      <w:r>
        <w:sym w:font="Symbol" w:char="F0B1"/>
      </w:r>
      <w:r>
        <w:t>48,4 пг/мл в 1, 16, 1,43, 1,62 и 1,99 раза. Проге</w:t>
      </w:r>
      <w:r>
        <w:t>с</w:t>
      </w:r>
      <w:r>
        <w:t>терон-эстрадиоловое соотношение при этом снизилось с 23,7 в 2,19, 3,2, 5,35 и 7,14 раза.</w:t>
      </w:r>
    </w:p>
    <w:p w:rsidR="00F4654E" w:rsidRDefault="00F4654E">
      <w:pPr>
        <w:pStyle w:val="a6"/>
      </w:pPr>
      <w:r>
        <w:t>В опытной группе свиноматок интенсивность снижения прогестерона  в плазме крови была выше, чем в контроле к 12 ч – в 1,97 раза, к 24 ч – в 2,28, и к началу родов – в 1,37 раза, в то время как скорость возрастания содержания эстрадиола была менее значительной. Прогестерон-эстрадио</w:t>
      </w:r>
      <w:r w:rsidR="00F2072C">
        <w:t>-</w:t>
      </w:r>
      <w:r>
        <w:t>ловое соотношение при этом было меньше к 12 ч в 2,17 раза, к 24 час – в 2,39 раза и в начале родов – в 1,31 раза.</w:t>
      </w:r>
    </w:p>
    <w:p w:rsidR="00F4654E" w:rsidRDefault="00F4654E">
      <w:pPr>
        <w:pStyle w:val="a6"/>
      </w:pPr>
      <w:r>
        <w:t>Исследованиями также установлено, что роды у свиноматок после введения эстуфалана и эстрофана наступили соответственно через 24,62</w:t>
      </w:r>
      <w:r>
        <w:sym w:font="Symbol" w:char="F0B1"/>
      </w:r>
      <w:r>
        <w:t>1,40 и 24,63</w:t>
      </w:r>
      <w:r>
        <w:sym w:font="Symbol" w:char="F0B1"/>
      </w:r>
      <w:r>
        <w:t xml:space="preserve">1,56 ч, что в 1,7 раза (Р&lt;0,001) раньше в сравнении с </w:t>
      </w:r>
      <w:r>
        <w:lastRenderedPageBreak/>
        <w:t>контролем. Через 24 часа после инъекции препаратов опорос наступил с</w:t>
      </w:r>
      <w:r>
        <w:t>о</w:t>
      </w:r>
      <w:r>
        <w:t>ответственно у 39,6 и 40,8% свиноматок, через 30 час – у 83,0 и 82,9%, ч</w:t>
      </w:r>
      <w:r>
        <w:t>е</w:t>
      </w:r>
      <w:r>
        <w:t>рез 36 час – у 95,0 и 94,1% животных, в то время как у свиней контрольной гру</w:t>
      </w:r>
      <w:r>
        <w:t>п</w:t>
      </w:r>
      <w:r>
        <w:t>пы эти показатели составили соответственно 8,4%, 29,9 и 66,2%.</w:t>
      </w:r>
    </w:p>
    <w:p w:rsidR="00F4654E" w:rsidRDefault="00F4654E">
      <w:pPr>
        <w:pStyle w:val="a6"/>
      </w:pPr>
      <w:r>
        <w:t>Продолжительность родов у свиноматок опытных групп составила соответственно 4,18</w:t>
      </w:r>
      <w:r>
        <w:sym w:font="Symbol" w:char="F0B1"/>
      </w:r>
      <w:r>
        <w:t>0,25 и 4,21</w:t>
      </w:r>
      <w:r>
        <w:sym w:font="Symbol" w:char="F0B1"/>
      </w:r>
      <w:r>
        <w:t>0,22 ч, в том числе стадии выведения плодов – 2,23</w:t>
      </w:r>
      <w:r>
        <w:sym w:font="Symbol" w:char="F0B1"/>
      </w:r>
      <w:r>
        <w:t>0,10, 2,22</w:t>
      </w:r>
      <w:r>
        <w:sym w:font="Symbol" w:char="F0B1"/>
      </w:r>
      <w:r>
        <w:t>0,20 ч и последовой – 1,95</w:t>
      </w:r>
      <w:r>
        <w:sym w:font="Symbol" w:char="F0B1"/>
      </w:r>
      <w:r>
        <w:t>0,12 и 1,99</w:t>
      </w:r>
      <w:r>
        <w:sym w:font="Symbol" w:char="F0B1"/>
      </w:r>
      <w:r>
        <w:t>0,13 часа.</w:t>
      </w:r>
    </w:p>
    <w:p w:rsidR="00F4654E" w:rsidRDefault="00F4654E">
      <w:pPr>
        <w:pStyle w:val="a6"/>
      </w:pPr>
      <w:r>
        <w:t>У свиноматок контрольной группы роды протекали на 0,36 часа  дл</w:t>
      </w:r>
      <w:r>
        <w:t>и</w:t>
      </w:r>
      <w:r>
        <w:t>тельнее, в т.ч. стадия выведения плодов – на 0,26 и 0,27 часа и последовая – на 5,12 и 3,02%. При этом мертворождаемость поросят у свиноматок опытной группы была меньше соответственно в 1,97 и 1,85 раза. Забол</w:t>
      </w:r>
      <w:r>
        <w:t>е</w:t>
      </w:r>
      <w:r>
        <w:t>ваемость свиноматок послеродовыми болезнями по группам составила с</w:t>
      </w:r>
      <w:r>
        <w:t>о</w:t>
      </w:r>
      <w:r>
        <w:t>ответственно 44,0%, 45,4, 63,0%, в т.ч. эндометритом – 34,6%, 33,6 и 43,5%, а ММА – 9,4%, 11,8 и 19,5%.</w:t>
      </w:r>
    </w:p>
    <w:p w:rsidR="00F4654E" w:rsidRDefault="00F4654E">
      <w:pPr>
        <w:pStyle w:val="a6"/>
      </w:pPr>
      <w:r>
        <w:t>Исследования показали, что эстуфалан введенный внутримышечно свиноматкам на 113 день супоросности в дозе 175 мкг оказывает выраже</w:t>
      </w:r>
      <w:r>
        <w:t>н</w:t>
      </w:r>
      <w:r>
        <w:t>ное лютеолитическое действие, проявляющееся быстрым снижением в крови уровня прогестерона и повышением эстрадиола, что обеспечивает наступл</w:t>
      </w:r>
      <w:r>
        <w:t>е</w:t>
      </w:r>
      <w:r>
        <w:t>ние родов через 24,6</w:t>
      </w:r>
      <w:r>
        <w:sym w:font="Symbol" w:char="F0B1"/>
      </w:r>
      <w:r>
        <w:t>1,40 час., сокращает их продолжительность на 0,36 ч, снижает мертворождаемость поросят в 1,97 раза и уменьшает з</w:t>
      </w:r>
      <w:r>
        <w:t>а</w:t>
      </w:r>
      <w:r>
        <w:t>болеваемость свиноматок послеродовыми болезнями в 1,43 раза (Р&lt;0,001), в том числе эндометритом – в 1,26 раза (Р&lt;0,01) и ММА – в 2,1 раза (Р&lt;0,01).</w:t>
      </w:r>
    </w:p>
    <w:p w:rsidR="00F4654E" w:rsidRDefault="00F4654E">
      <w:pPr>
        <w:pStyle w:val="a4"/>
      </w:pPr>
      <w:r>
        <w:t>УДК 619:615</w:t>
      </w:r>
    </w:p>
    <w:p w:rsidR="00F4654E" w:rsidRDefault="00F4654E">
      <w:pPr>
        <w:pStyle w:val="1"/>
      </w:pPr>
      <w:bookmarkStart w:id="2430" w:name="_Toc10731342"/>
      <w:bookmarkStart w:id="2431" w:name="_Toc10732003"/>
      <w:bookmarkStart w:id="2432" w:name="_Toc10891849"/>
      <w:bookmarkStart w:id="2433" w:name="_Toc10892524"/>
      <w:bookmarkStart w:id="2434" w:name="_Toc11390389"/>
      <w:bookmarkStart w:id="2435" w:name="_Toc11840072"/>
      <w:bookmarkStart w:id="2436" w:name="_Toc11937608"/>
      <w:r>
        <w:t>ИЗУЧЕНИЕ ТОКСИЧНОСТИ ПАСТЫ ЭКВИСЕКТ ДЛЯ ПЛОТОЯДНЫХ</w:t>
      </w:r>
      <w:bookmarkEnd w:id="2430"/>
      <w:bookmarkEnd w:id="2431"/>
      <w:bookmarkEnd w:id="2432"/>
      <w:bookmarkEnd w:id="2433"/>
      <w:bookmarkEnd w:id="2434"/>
      <w:bookmarkEnd w:id="2435"/>
      <w:bookmarkEnd w:id="2436"/>
    </w:p>
    <w:p w:rsidR="00F4654E" w:rsidRDefault="00F4654E">
      <w:pPr>
        <w:pStyle w:val="2"/>
      </w:pPr>
      <w:bookmarkStart w:id="2437" w:name="_Toc10731343"/>
      <w:bookmarkStart w:id="2438" w:name="_Toc10732004"/>
      <w:bookmarkStart w:id="2439" w:name="_Toc10891850"/>
      <w:bookmarkStart w:id="2440" w:name="_Toc10892525"/>
      <w:bookmarkStart w:id="2441" w:name="_Toc11390390"/>
      <w:bookmarkStart w:id="2442" w:name="_Toc11937609"/>
      <w:r>
        <w:t>Кравченко И.А.</w:t>
      </w:r>
      <w:bookmarkEnd w:id="2437"/>
      <w:bookmarkEnd w:id="2438"/>
      <w:bookmarkEnd w:id="2439"/>
      <w:bookmarkEnd w:id="2440"/>
      <w:bookmarkEnd w:id="2441"/>
      <w:bookmarkEnd w:id="2442"/>
    </w:p>
    <w:p w:rsidR="00F4654E" w:rsidRDefault="00F4654E">
      <w:pPr>
        <w:pStyle w:val="a5"/>
      </w:pPr>
      <w:r>
        <w:t>Алтайский государственный аграрный университет</w:t>
      </w:r>
    </w:p>
    <w:p w:rsidR="00F4654E" w:rsidRDefault="00F4654E">
      <w:pPr>
        <w:pStyle w:val="a6"/>
      </w:pPr>
      <w:r>
        <w:t>Для борьбы с гельминтозами и арахноэнтомозами плотоядных в НБЦ «Фармбиомед» (г. Москва) выпустили новую лекарственную форму аве</w:t>
      </w:r>
      <w:r>
        <w:t>р</w:t>
      </w:r>
      <w:r>
        <w:t>сектина С - пасту эквисект 0,05% и 0,1% в шприцах - дозаторах.</w:t>
      </w:r>
    </w:p>
    <w:p w:rsidR="00F4654E" w:rsidRDefault="00F4654E">
      <w:pPr>
        <w:pStyle w:val="a6"/>
      </w:pPr>
      <w:r>
        <w:t>Наряду с испытанием эффективности (Кравченко И.А., 2002) перед нами была поставлена задача – изучить токсичность пасты эквисект в те</w:t>
      </w:r>
      <w:r>
        <w:softHyphen/>
        <w:t>рапевтической и увеличенных дозах в различных концентрациях для ко</w:t>
      </w:r>
      <w:r>
        <w:softHyphen/>
        <w:t>шек и собак.</w:t>
      </w:r>
    </w:p>
    <w:p w:rsidR="00F4654E" w:rsidRDefault="00F4654E">
      <w:pPr>
        <w:pStyle w:val="a6"/>
      </w:pPr>
      <w:r>
        <w:t>В качестве терапевтической применяли пасту эквисект 0,05% и 0,1% в дозе по ДВ – 0,2 мг/ кг ж.в. перорально, однократно, выдавливая на ко</w:t>
      </w:r>
      <w:r>
        <w:softHyphen/>
        <w:t>рень языка. Для опыта было подобрано 9 собак и 9 кошек в возрасте от 2 мес</w:t>
      </w:r>
      <w:r>
        <w:t>я</w:t>
      </w:r>
      <w:r>
        <w:t>цев до 14 лет. Всего было сформировано 6 групп, по 3 животных в ка</w:t>
      </w:r>
      <w:r>
        <w:softHyphen/>
        <w:t>ждой группе, одна группа была контрольная, животным этой группы пре</w:t>
      </w:r>
      <w:r>
        <w:softHyphen/>
        <w:t xml:space="preserve">парат </w:t>
      </w:r>
      <w:r>
        <w:lastRenderedPageBreak/>
        <w:t>не вводили. В течение 5-ти последующих суток вели постоянные набл</w:t>
      </w:r>
      <w:r>
        <w:t>ю</w:t>
      </w:r>
      <w:r>
        <w:t xml:space="preserve">дения за животными: переносимость лекарственной формы была хорошая.  </w:t>
      </w:r>
    </w:p>
    <w:p w:rsidR="00F4654E" w:rsidRDefault="00F4654E">
      <w:pPr>
        <w:pStyle w:val="a6"/>
      </w:pPr>
      <w:r>
        <w:t>Для изучения влияния пасты эквисект в многократно увеличенной д</w:t>
      </w:r>
      <w:r>
        <w:t>о</w:t>
      </w:r>
      <w:r>
        <w:t>зе на организм плотоядных было сформировано 2 группы животных: опытная и контрольная по 3 кошки в каждой группе. Кошки опытной и контрольной групп содержались в одинаковых условиях, живой вес - 3 кг, возраст 8-10 месяцев.</w:t>
      </w:r>
    </w:p>
    <w:p w:rsidR="00F4654E" w:rsidRDefault="00F4654E">
      <w:pPr>
        <w:pStyle w:val="a6"/>
      </w:pPr>
      <w:r>
        <w:t>В результате было установлено исходное клиническое состояние ж</w:t>
      </w:r>
      <w:r>
        <w:t>и</w:t>
      </w:r>
      <w:r>
        <w:t>вотных подопытной и контрольной групп. После установления клини</w:t>
      </w:r>
      <w:r>
        <w:softHyphen/>
        <w:t>ческого статуса кошкам подопытной группы перорально на корень языка ввели пасту эквисект 1% в дозе 2 г/кг (20 мг/кг по ДВ). Кошкам кон</w:t>
      </w:r>
      <w:r>
        <w:softHyphen/>
        <w:t>трольной группы препарат не вводили. В последующем проводили соот</w:t>
      </w:r>
      <w:r>
        <w:softHyphen/>
        <w:t>ветствующие наблюдения и исследования в течение 5-7 суток.</w:t>
      </w:r>
    </w:p>
    <w:p w:rsidR="00F4654E" w:rsidRDefault="00F4654E">
      <w:pPr>
        <w:pStyle w:val="a6"/>
      </w:pPr>
      <w:r>
        <w:t>Через 30 мин. после применения пасты эквисект у всех животных появились признаки острого отравления: рвота, понос, зрачки расширены, сл</w:t>
      </w:r>
      <w:r>
        <w:t>и</w:t>
      </w:r>
      <w:r>
        <w:t>зистые оболочки с синюшным оттенком, отсутствие реакций на внеш</w:t>
      </w:r>
      <w:r>
        <w:softHyphen/>
        <w:t>ние раздражители, паралич задних конечностей; учащение сердечных уда</w:t>
      </w:r>
      <w:r>
        <w:softHyphen/>
        <w:t>ров и дыхания. Состояние животных нормализовалось только к концу 5-х суток.</w:t>
      </w:r>
    </w:p>
    <w:p w:rsidR="00F4654E" w:rsidRDefault="00F4654E">
      <w:pPr>
        <w:pStyle w:val="a6"/>
      </w:pPr>
      <w:r>
        <w:t>На основании проведённых нами исследований за максимально пе</w:t>
      </w:r>
      <w:r>
        <w:softHyphen/>
        <w:t>реносимую дозу пасты эквисект 1 % была условна принята доза 2 г/кг (20 мг/кг по ДВ). Химиотерапевтический индекс пасты эквисект 1% для кошек составляет величину 100, что положительно характеризует препарат для практического применения.</w:t>
      </w:r>
    </w:p>
    <w:p w:rsidR="00F4654E" w:rsidRDefault="00F4654E">
      <w:pPr>
        <w:pStyle w:val="a4"/>
      </w:pPr>
      <w:r>
        <w:t>УДК 619:616.24-002.153:542.943.5:636.4.082.35</w:t>
      </w:r>
    </w:p>
    <w:p w:rsidR="00F4654E" w:rsidRDefault="00F4654E">
      <w:pPr>
        <w:pStyle w:val="1"/>
      </w:pPr>
      <w:bookmarkStart w:id="2443" w:name="_Toc10731344"/>
      <w:bookmarkStart w:id="2444" w:name="_Toc10732005"/>
      <w:bookmarkStart w:id="2445" w:name="_Toc10891851"/>
      <w:bookmarkStart w:id="2446" w:name="_Toc10892526"/>
      <w:bookmarkStart w:id="2447" w:name="_Toc11390391"/>
      <w:bookmarkStart w:id="2448" w:name="_Toc11840074"/>
      <w:bookmarkStart w:id="2449" w:name="_Toc11937610"/>
      <w:r>
        <w:t>Эффективность озона в различной концентрации   при интерплевральном введении для лечения поросят отъемышей при острой катаральной бронхопневмонии</w:t>
      </w:r>
      <w:bookmarkEnd w:id="2443"/>
      <w:bookmarkEnd w:id="2444"/>
      <w:bookmarkEnd w:id="2445"/>
      <w:bookmarkEnd w:id="2446"/>
      <w:bookmarkEnd w:id="2447"/>
      <w:bookmarkEnd w:id="2448"/>
      <w:bookmarkEnd w:id="2449"/>
    </w:p>
    <w:p w:rsidR="00F4654E" w:rsidRDefault="00F4654E">
      <w:pPr>
        <w:pStyle w:val="2"/>
      </w:pPr>
      <w:bookmarkStart w:id="2450" w:name="_Toc10731345"/>
      <w:bookmarkStart w:id="2451" w:name="_Toc10732006"/>
      <w:bookmarkStart w:id="2452" w:name="_Toc10891852"/>
      <w:bookmarkStart w:id="2453" w:name="_Toc10892527"/>
      <w:bookmarkStart w:id="2454" w:name="_Toc11390392"/>
      <w:bookmarkStart w:id="2455" w:name="_Toc11937611"/>
      <w:r>
        <w:t>Крайс В.В.</w:t>
      </w:r>
      <w:bookmarkEnd w:id="2450"/>
      <w:bookmarkEnd w:id="2451"/>
      <w:bookmarkEnd w:id="2452"/>
      <w:bookmarkEnd w:id="2453"/>
      <w:bookmarkEnd w:id="2454"/>
      <w:bookmarkEnd w:id="2455"/>
    </w:p>
    <w:p w:rsidR="00F4654E" w:rsidRDefault="00F4654E">
      <w:pPr>
        <w:pStyle w:val="a5"/>
      </w:pPr>
      <w:r>
        <w:t>Воронежский государственный аграрный университет им. К.Д. Глинки</w:t>
      </w:r>
    </w:p>
    <w:p w:rsidR="00F4654E" w:rsidRDefault="00F4654E">
      <w:pPr>
        <w:pStyle w:val="a6"/>
      </w:pPr>
      <w:r>
        <w:t>Острая катаральная бронхопневмония у поросят широко распрост</w:t>
      </w:r>
      <w:r>
        <w:softHyphen/>
        <w:t>ра</w:t>
      </w:r>
      <w:r>
        <w:softHyphen/>
        <w:t>ненное заболевание, поражающее чаще всего молодняк в периоды отъема и доращивания, охватывая в отдельные периоды до 30 – 40% всего пого</w:t>
      </w:r>
      <w:r>
        <w:softHyphen/>
        <w:t>ловья.</w:t>
      </w:r>
    </w:p>
    <w:p w:rsidR="00F4654E" w:rsidRDefault="00F4654E">
      <w:pPr>
        <w:pStyle w:val="a6"/>
      </w:pPr>
      <w:r>
        <w:t>Несмотря на наличие большого разнообразия лечебных средств и препаратов, особенно из группы антибиотиков и сульфаниламидов, ле</w:t>
      </w:r>
      <w:r>
        <w:softHyphen/>
        <w:t>чеб</w:t>
      </w:r>
      <w:r>
        <w:softHyphen/>
        <w:t>ная эффективность при бронхопневмониях поросят очень часто низкая. В последнее время в литературе появились данные о высокой эффективности озона как антимикробного средства, поэтому целью нашего опыта явилось изучение влияния различных концентраций озона в физиологическом раст</w:t>
      </w:r>
      <w:r>
        <w:softHyphen/>
      </w:r>
      <w:r>
        <w:lastRenderedPageBreak/>
        <w:t>воре при интерплевральном введении на организм больных острой ката</w:t>
      </w:r>
      <w:r>
        <w:softHyphen/>
        <w:t>ральной бронхопневмонией поросят.</w:t>
      </w:r>
    </w:p>
    <w:p w:rsidR="00F4654E" w:rsidRDefault="00F4654E">
      <w:pPr>
        <w:pStyle w:val="a6"/>
      </w:pPr>
      <w:r>
        <w:t>Опыт проводился на базе Т.В. «Здоровецкое» Ливинского района и Ливинской вет. бак. лаборатории Орловской области. Н</w:t>
      </w:r>
      <w:r>
        <w:softHyphen/>
        <w:t>аучно-</w:t>
      </w:r>
      <w:r>
        <w:softHyphen/>
        <w:t>произ</w:t>
      </w:r>
      <w:r>
        <w:softHyphen/>
        <w:t>водст</w:t>
      </w:r>
      <w:r>
        <w:softHyphen/>
        <w:t>венные исследования проводились на поросятах крупной белой породы в возрасте 3-4 мес.  В опыте было задействовано 16 животных, подобранных по принципу аналогов, больных острой катаральной бронхопневмонией. Диагноз ставился комплексно: с учетом эпизоотологической обстановки,  кли</w:t>
      </w:r>
      <w:r>
        <w:softHyphen/>
        <w:t>ни</w:t>
      </w:r>
      <w:r>
        <w:softHyphen/>
        <w:t>чес</w:t>
      </w:r>
      <w:r>
        <w:softHyphen/>
        <w:t>ких признаков поражения переднего отдела дыхательных путей  и лег</w:t>
      </w:r>
      <w:r>
        <w:softHyphen/>
      </w:r>
      <w:r>
        <w:softHyphen/>
      </w:r>
      <w:r>
        <w:softHyphen/>
      </w:r>
      <w:r>
        <w:softHyphen/>
        <w:t>ких, патологоанатомической картины, а также данных лабораторных ис</w:t>
      </w:r>
      <w:r>
        <w:softHyphen/>
        <w:t>следований, а также показателей иммунобиологической резистентности.</w:t>
      </w:r>
    </w:p>
    <w:p w:rsidR="00F4654E" w:rsidRPr="0047197F" w:rsidRDefault="00F4654E">
      <w:pPr>
        <w:pStyle w:val="a6"/>
        <w:rPr>
          <w:spacing w:val="-2"/>
        </w:rPr>
      </w:pPr>
      <w:r w:rsidRPr="0047197F">
        <w:rPr>
          <w:spacing w:val="-2"/>
        </w:rPr>
        <w:t>У больных животных отмечалась общая слабость и апатия, ослабл</w:t>
      </w:r>
      <w:r w:rsidRPr="0047197F">
        <w:rPr>
          <w:spacing w:val="-2"/>
        </w:rPr>
        <w:t>е</w:t>
      </w:r>
      <w:r w:rsidRPr="0047197F">
        <w:rPr>
          <w:spacing w:val="-2"/>
        </w:rPr>
        <w:t>ние аппетита, повышение температуры тела до субфебрильной и фебрил</w:t>
      </w:r>
      <w:r w:rsidRPr="0047197F">
        <w:rPr>
          <w:spacing w:val="-2"/>
        </w:rPr>
        <w:t>ь</w:t>
      </w:r>
      <w:r w:rsidRPr="0047197F">
        <w:rPr>
          <w:spacing w:val="-2"/>
        </w:rPr>
        <w:t>ной. На третий день появлялись симптомы поражения мелких брон</w:t>
      </w:r>
      <w:r w:rsidRPr="0047197F">
        <w:rPr>
          <w:spacing w:val="-2"/>
        </w:rPr>
        <w:softHyphen/>
        <w:t>хов и легких: сухой кашель, напряженное дыхание, смешанная одыш</w:t>
      </w:r>
      <w:r w:rsidRPr="0047197F">
        <w:rPr>
          <w:spacing w:val="-2"/>
        </w:rPr>
        <w:softHyphen/>
        <w:t>ка, катаральное ст</w:t>
      </w:r>
      <w:r w:rsidRPr="0047197F">
        <w:rPr>
          <w:spacing w:val="-2"/>
        </w:rPr>
        <w:t>е</w:t>
      </w:r>
      <w:r w:rsidRPr="0047197F">
        <w:rPr>
          <w:spacing w:val="-2"/>
        </w:rPr>
        <w:t>чение из носовых отверстий. При аускультации обна</w:t>
      </w:r>
      <w:r w:rsidRPr="0047197F">
        <w:rPr>
          <w:spacing w:val="-2"/>
        </w:rPr>
        <w:softHyphen/>
        <w:t>ру</w:t>
      </w:r>
      <w:r w:rsidRPr="0047197F">
        <w:rPr>
          <w:spacing w:val="-2"/>
        </w:rPr>
        <w:softHyphen/>
        <w:t>живали жесткое в</w:t>
      </w:r>
      <w:r w:rsidRPr="0047197F">
        <w:rPr>
          <w:spacing w:val="-2"/>
        </w:rPr>
        <w:t>е</w:t>
      </w:r>
      <w:r w:rsidRPr="0047197F">
        <w:rPr>
          <w:spacing w:val="-2"/>
        </w:rPr>
        <w:t>зикулярное дыхание, мелкопузырчатые хрипы, перкус</w:t>
      </w:r>
      <w:r w:rsidRPr="0047197F">
        <w:rPr>
          <w:spacing w:val="-2"/>
        </w:rPr>
        <w:softHyphen/>
        <w:t>сией - о</w:t>
      </w:r>
      <w:r w:rsidRPr="0047197F">
        <w:rPr>
          <w:spacing w:val="-2"/>
        </w:rPr>
        <w:t>г</w:t>
      </w:r>
      <w:r w:rsidRPr="0047197F">
        <w:rPr>
          <w:spacing w:val="-2"/>
        </w:rPr>
        <w:t>раниченные участки притупления в области верхушечных и сердечных д</w:t>
      </w:r>
      <w:r w:rsidRPr="0047197F">
        <w:rPr>
          <w:spacing w:val="-2"/>
        </w:rPr>
        <w:t>о</w:t>
      </w:r>
      <w:r w:rsidRPr="0047197F">
        <w:rPr>
          <w:spacing w:val="-2"/>
        </w:rPr>
        <w:t>лей.</w:t>
      </w:r>
    </w:p>
    <w:p w:rsidR="00F4654E" w:rsidRDefault="00F4654E">
      <w:pPr>
        <w:pStyle w:val="a6"/>
      </w:pPr>
      <w:r>
        <w:t>Из отобранных для опыта животных нами были сформированы 4 группы. Животным 1, 2, 3 групп интерплеврально вводили озонированный фи</w:t>
      </w:r>
      <w:r>
        <w:softHyphen/>
        <w:t>зио</w:t>
      </w:r>
      <w:r>
        <w:softHyphen/>
        <w:t>логический раствор в дозе 0,5 мл/кг массы, но с разной концент</w:t>
      </w:r>
      <w:r>
        <w:softHyphen/>
        <w:t>ра</w:t>
      </w:r>
      <w:r>
        <w:softHyphen/>
        <w:t>ци</w:t>
      </w:r>
      <w:r>
        <w:softHyphen/>
        <w:t>ей озона: 1 гр.- 600 мкг/л, 2 гр.- 1600 мкг/л, 3 гр.- 1900 мкг/л. 4 гр. (ко</w:t>
      </w:r>
      <w:r>
        <w:t>н</w:t>
      </w:r>
      <w:r>
        <w:t>троль) – интерплевральное введение тетрациклина на физиологическом растворе в дозе 10 тыс. ЕД/кг массы. Внутригрудное введение лекарстве</w:t>
      </w:r>
      <w:r>
        <w:t>н</w:t>
      </w:r>
      <w:r>
        <w:t>ных веществ осуществлялось 1 раз в сутки поочередно с правой и с левой сто</w:t>
      </w:r>
      <w:r>
        <w:softHyphen/>
        <w:t>роны. Также все группы животных дополнительно получали конце</w:t>
      </w:r>
      <w:r>
        <w:t>н</w:t>
      </w:r>
      <w:r>
        <w:t>трат витаминов тетравит внутримышечно в дозе 0,1 мл/кг массы, интервал между инъекциями составил 3 дня, в течение 12 дней.</w:t>
      </w:r>
    </w:p>
    <w:p w:rsidR="00F4654E" w:rsidRDefault="00F4654E">
      <w:pPr>
        <w:pStyle w:val="a6"/>
      </w:pPr>
      <w:r>
        <w:t>За животными ежедневно велось клиническое наблюдение. Учи</w:t>
      </w:r>
      <w:r>
        <w:softHyphen/>
        <w:t>тывая время выздоровления животных, изменение морфологического сос</w:t>
      </w:r>
      <w:r>
        <w:softHyphen/>
        <w:t>тава и биохимических показателей крови, показателей естественной резистент</w:t>
      </w:r>
      <w:r>
        <w:softHyphen/>
        <w:t>ности, мы делали вывод о наиболее эффективной концентрации озона для лечения острой катаральной бронхо</w:t>
      </w:r>
      <w:r>
        <w:softHyphen/>
        <w:t>пневмонии поросят.</w:t>
      </w:r>
    </w:p>
    <w:p w:rsidR="00F4654E" w:rsidRDefault="00F4654E">
      <w:pPr>
        <w:pStyle w:val="a6"/>
      </w:pPr>
      <w:r>
        <w:t>Проведенный курс лечения вызвал у поросят увеличение количества эритроцитов в сравнении с исходными показателями: 1 гр. на 15,4%, 3 гр. на 25%, во 2 и 4 гр. на 19,3%. Отмечалось достоверное увеличение соде</w:t>
      </w:r>
      <w:r>
        <w:t>р</w:t>
      </w:r>
      <w:r>
        <w:t>жания гемоглобина в среднем на: 1 гр.- 9,9%, 2 и 4 гр.-11,8%, 3 гр.- 13,7%.</w:t>
      </w:r>
    </w:p>
    <w:p w:rsidR="00F4654E" w:rsidRDefault="00F4654E">
      <w:pPr>
        <w:pStyle w:val="a6"/>
      </w:pPr>
      <w:r>
        <w:t>Количество лейкоцитов у молодняка в опытных группах (после окон</w:t>
      </w:r>
      <w:r>
        <w:softHyphen/>
        <w:t>чания курса лечения) снизилось до пределов физиологических границ. Это свидетельствует о снижении интенсивности воспалительного процес</w:t>
      </w:r>
      <w:r>
        <w:softHyphen/>
        <w:t>са, х</w:t>
      </w:r>
      <w:r>
        <w:t>о</w:t>
      </w:r>
      <w:r>
        <w:t>тя у животных 1гр. отмечено снижение клеток белой крови по срав</w:t>
      </w:r>
      <w:r>
        <w:softHyphen/>
        <w:t>не</w:t>
      </w:r>
      <w:r>
        <w:softHyphen/>
        <w:t>нию с исходными показателями 5,4%, что свидетельствует о еще достаточной а</w:t>
      </w:r>
      <w:r>
        <w:t>к</w:t>
      </w:r>
      <w:r>
        <w:t xml:space="preserve">тивности воспалительного процесса в легких. Применение данной схемы </w:t>
      </w:r>
      <w:r>
        <w:lastRenderedPageBreak/>
        <w:t>лечения способствовало увеличению по</w:t>
      </w:r>
      <w:r>
        <w:softHyphen/>
        <w:t>ка</w:t>
      </w:r>
      <w:r>
        <w:softHyphen/>
        <w:t>за</w:t>
      </w:r>
      <w:r>
        <w:softHyphen/>
        <w:t>те</w:t>
      </w:r>
      <w:r>
        <w:softHyphen/>
        <w:t>ля резервной щелочности на: 1 гр. на 10,3%, 2 гр.- 11,1%, 3 гр.- 12,8%. Снижение недоокисленных пр</w:t>
      </w:r>
      <w:r>
        <w:t>о</w:t>
      </w:r>
      <w:r>
        <w:t>дуктов в крови поросят 1, 2, 3 групп объяс</w:t>
      </w:r>
      <w:r>
        <w:softHyphen/>
        <w:t>няет</w:t>
      </w:r>
      <w:r>
        <w:softHyphen/>
        <w:t>ся высокой биохимической активностью озона и его соединений. При анализе показателей общего белка и белковых фракций установ</w:t>
      </w:r>
      <w:r>
        <w:softHyphen/>
        <w:t>лено: количество общего белка увел</w:t>
      </w:r>
      <w:r>
        <w:t>и</w:t>
      </w:r>
      <w:r>
        <w:t>чилось в среднем по группам на 11,2%, а их процентное соотношение с</w:t>
      </w:r>
      <w:r>
        <w:t>о</w:t>
      </w:r>
      <w:r>
        <w:t>ставило: альбумины</w:t>
      </w:r>
      <w:r w:rsidR="00E0607A">
        <w:t xml:space="preserve"> -</w:t>
      </w:r>
      <w:r>
        <w:t xml:space="preserve"> 40%, альфа-глобулины</w:t>
      </w:r>
      <w:r w:rsidR="00E0607A">
        <w:t xml:space="preserve"> </w:t>
      </w:r>
      <w:r>
        <w:t xml:space="preserve">- 18%, бета-глобулины </w:t>
      </w:r>
      <w:r w:rsidR="00E0607A">
        <w:t>-</w:t>
      </w:r>
      <w:r>
        <w:t xml:space="preserve"> 20%, гамма-глобулины </w:t>
      </w:r>
      <w:r w:rsidR="00E0607A">
        <w:t>-</w:t>
      </w:r>
      <w:r>
        <w:t xml:space="preserve"> 22%, что соответствует физиологическим пар</w:t>
      </w:r>
      <w:r>
        <w:t>а</w:t>
      </w:r>
      <w:r>
        <w:t>метрам.</w:t>
      </w:r>
    </w:p>
    <w:p w:rsidR="00F4654E" w:rsidRDefault="00F4654E">
      <w:pPr>
        <w:pStyle w:val="a6"/>
      </w:pPr>
      <w:r>
        <w:t>При сравнительном анализе показателей естественной резистентности до и после лечения установлено: увеличение показателей фагоцитарной активности у поросят 2 гр. на 8,4%, 3 гр. на 18,5%, а также отмечено  п</w:t>
      </w:r>
      <w:r>
        <w:t>о</w:t>
      </w:r>
      <w:r>
        <w:t>вышение бактерицидной активности сыворотки крови у поро</w:t>
      </w:r>
      <w:r>
        <w:softHyphen/>
        <w:t>сят 2 гр. на 11,3%,  3 гр. на 24% и лизоцимной активности во 2 гр. на 6%, в 3 гр. на 12%. У животных 1 и 4 групп достоверных изменений по этим показателям не было выявлено. Увеличение данных показателей говорит о начале пр</w:t>
      </w:r>
      <w:r>
        <w:t>о</w:t>
      </w:r>
      <w:r>
        <w:t>цесса выздоровления животных.</w:t>
      </w:r>
    </w:p>
    <w:p w:rsidR="00F4654E" w:rsidRDefault="00F4654E">
      <w:pPr>
        <w:pStyle w:val="a6"/>
      </w:pPr>
      <w:r>
        <w:t>Основываясь на результатах данного опыта, можно сделать вывод, что применение озонотерапии при острой катаральной бронхопневмонии дает положительный эффект. Наилучшие результаты лечения были получены при использовании концентрации озона 1900 мкг/л. Выздо</w:t>
      </w:r>
      <w:r>
        <w:softHyphen/>
        <w:t>ров</w:t>
      </w:r>
      <w:r>
        <w:softHyphen/>
        <w:t>ление ж</w:t>
      </w:r>
      <w:r>
        <w:t>и</w:t>
      </w:r>
      <w:r>
        <w:t>вотных при данной схеме лечения составил 9 дней. Это свиде</w:t>
      </w:r>
      <w:r>
        <w:softHyphen/>
        <w:t>тель</w:t>
      </w:r>
      <w:r>
        <w:softHyphen/>
        <w:t>ствует о том, что данная концентрация озона в физиологическом растворе наиболее эффективна для лечения острой катаральной бронхо</w:t>
      </w:r>
      <w:r>
        <w:softHyphen/>
        <w:t>пневмонии поросят.</w:t>
      </w:r>
    </w:p>
    <w:p w:rsidR="00F4654E" w:rsidRDefault="00F4654E">
      <w:pPr>
        <w:pStyle w:val="a4"/>
      </w:pPr>
      <w:r>
        <w:t>УДК 619:616:542:943.5:636.4.082.35</w:t>
      </w:r>
    </w:p>
    <w:p w:rsidR="00F4654E" w:rsidRDefault="00F4654E">
      <w:pPr>
        <w:pStyle w:val="1"/>
      </w:pPr>
      <w:bookmarkStart w:id="2456" w:name="_Toc10731346"/>
      <w:bookmarkStart w:id="2457" w:name="_Toc10732007"/>
      <w:bookmarkStart w:id="2458" w:name="_Toc10891853"/>
      <w:bookmarkStart w:id="2459" w:name="_Toc10892528"/>
      <w:bookmarkStart w:id="2460" w:name="_Toc11390393"/>
      <w:bookmarkStart w:id="2461" w:name="_Toc11840076"/>
      <w:bookmarkStart w:id="2462" w:name="_Toc11937612"/>
      <w:r>
        <w:t>Воздействие различных концентраций озона  на организм поросят больных острой катаральной бронхопневмонией при интратрахеальном способе введения</w:t>
      </w:r>
      <w:bookmarkEnd w:id="2456"/>
      <w:bookmarkEnd w:id="2457"/>
      <w:bookmarkEnd w:id="2458"/>
      <w:bookmarkEnd w:id="2459"/>
      <w:bookmarkEnd w:id="2460"/>
      <w:bookmarkEnd w:id="2461"/>
      <w:bookmarkEnd w:id="2462"/>
    </w:p>
    <w:p w:rsidR="00F4654E" w:rsidRDefault="00F4654E">
      <w:pPr>
        <w:pStyle w:val="2"/>
      </w:pPr>
      <w:bookmarkStart w:id="2463" w:name="_Toc10731347"/>
      <w:bookmarkStart w:id="2464" w:name="_Toc10732008"/>
      <w:bookmarkStart w:id="2465" w:name="_Toc10891854"/>
      <w:bookmarkStart w:id="2466" w:name="_Toc10892529"/>
      <w:bookmarkStart w:id="2467" w:name="_Toc11390394"/>
      <w:bookmarkStart w:id="2468" w:name="_Toc11937613"/>
      <w:r>
        <w:t>Крайс В.В.</w:t>
      </w:r>
      <w:bookmarkEnd w:id="2463"/>
      <w:bookmarkEnd w:id="2464"/>
      <w:bookmarkEnd w:id="2465"/>
      <w:bookmarkEnd w:id="2466"/>
      <w:bookmarkEnd w:id="2467"/>
      <w:bookmarkEnd w:id="2468"/>
    </w:p>
    <w:p w:rsidR="00F4654E" w:rsidRDefault="00F4654E">
      <w:pPr>
        <w:pStyle w:val="a5"/>
      </w:pPr>
      <w:r>
        <w:t>Воронежский государственный аграрный университет им. К.Д. Глинки</w:t>
      </w:r>
    </w:p>
    <w:p w:rsidR="00F4654E" w:rsidRDefault="00F4654E">
      <w:pPr>
        <w:pStyle w:val="a6"/>
      </w:pPr>
      <w:r>
        <w:t>В настоящее время в ветеринарии идет  поиск новых высоко</w:t>
      </w:r>
      <w:r>
        <w:softHyphen/>
        <w:t>эффек</w:t>
      </w:r>
      <w:r>
        <w:softHyphen/>
        <w:t>тив</w:t>
      </w:r>
      <w:r>
        <w:softHyphen/>
        <w:t>ных и экономически выгодных методов лечения. В последние годы стали появляться данные об эффективном использовании озона в ветери</w:t>
      </w:r>
      <w:r>
        <w:softHyphen/>
        <w:t>нарной практике.</w:t>
      </w:r>
    </w:p>
    <w:p w:rsidR="00F4654E" w:rsidRDefault="00F4654E">
      <w:pPr>
        <w:pStyle w:val="a6"/>
      </w:pPr>
      <w:r>
        <w:t>Цель работы: изучить влияние озонированного физиологического ра</w:t>
      </w:r>
      <w:r>
        <w:t>с</w:t>
      </w:r>
      <w:r>
        <w:t>твора на организм поросят-отъемышей больных острой катаральной бро</w:t>
      </w:r>
      <w:r>
        <w:t>н</w:t>
      </w:r>
      <w:r>
        <w:t xml:space="preserve">хопневмонией. </w:t>
      </w:r>
    </w:p>
    <w:p w:rsidR="00F4654E" w:rsidRDefault="00F4654E">
      <w:pPr>
        <w:pStyle w:val="a6"/>
      </w:pPr>
      <w:r>
        <w:t>Опыт проводился на базе хозяйства Т.В. «Здоровецкое» Ливинского района Орловской области. Для опыта было отобрано по принципу ана</w:t>
      </w:r>
      <w:r>
        <w:softHyphen/>
        <w:t>логов 20 поросят в возрасте 4 месяца с диагнозом острая катаральная брон</w:t>
      </w:r>
      <w:r>
        <w:softHyphen/>
        <w:t>хо</w:t>
      </w:r>
      <w:r>
        <w:softHyphen/>
        <w:t>пневмония. Диагноз на данное заболевание ставился комплексно, с уче</w:t>
      </w:r>
      <w:r>
        <w:softHyphen/>
        <w:t xml:space="preserve">том клинических признаков, патологоанатомической картины и данных </w:t>
      </w:r>
      <w:r>
        <w:lastRenderedPageBreak/>
        <w:t>лабораторного исследования. Озонирование физиологического раствора про</w:t>
      </w:r>
      <w:r>
        <w:softHyphen/>
        <w:t>из</w:t>
      </w:r>
      <w:r>
        <w:softHyphen/>
        <w:t>водилось на аппара</w:t>
      </w:r>
      <w:r>
        <w:softHyphen/>
        <w:t>те ОК – 4М. Клинический осмотр поросят прои</w:t>
      </w:r>
      <w:r>
        <w:t>з</w:t>
      </w:r>
      <w:r>
        <w:t>водился ежедневно на протяжении опыта. Взятие крови для морфологич</w:t>
      </w:r>
      <w:r>
        <w:t>е</w:t>
      </w:r>
      <w:r>
        <w:t>ского и био</w:t>
      </w:r>
      <w:r>
        <w:softHyphen/>
        <w:t>хи</w:t>
      </w:r>
      <w:r>
        <w:softHyphen/>
        <w:t>ми</w:t>
      </w:r>
      <w:r>
        <w:softHyphen/>
        <w:t>чес</w:t>
      </w:r>
      <w:r>
        <w:softHyphen/>
        <w:t>ко</w:t>
      </w:r>
      <w:r>
        <w:softHyphen/>
        <w:t>го исследования проводились дву</w:t>
      </w:r>
      <w:r>
        <w:softHyphen/>
        <w:t>кратно: до начала лечения и через 48 часов после последней инъекции. Из отобранных нами животных были сформированы 4 группы (n=5). Животным 1, 2, 3 групп интратрахеально вводили озонированный физиоло</w:t>
      </w:r>
      <w:r>
        <w:softHyphen/>
        <w:t>ги</w:t>
      </w:r>
      <w:r>
        <w:softHyphen/>
        <w:t>чес</w:t>
      </w:r>
      <w:r>
        <w:softHyphen/>
        <w:t>кий раствор, но с разной концентрацией озона: 1 гр.- 200 мкг/л, 2 гр.- 600 мкг/л, 3 гр.- 1000 мкг/л. Животным 4-ой (контрольной) группы интра</w:t>
      </w:r>
      <w:r>
        <w:softHyphen/>
        <w:t>трахеаль</w:t>
      </w:r>
      <w:r>
        <w:softHyphen/>
        <w:t>но вводили тетрациклин на физиологическом растворе в дозе 10 тыс. ЕД/кг массы т</w:t>
      </w:r>
      <w:r>
        <w:t>е</w:t>
      </w:r>
      <w:r>
        <w:t xml:space="preserve">ла. Кратность введения составила 1 раз в сутки. </w:t>
      </w:r>
    </w:p>
    <w:p w:rsidR="00F4654E" w:rsidRDefault="00F4654E">
      <w:pPr>
        <w:pStyle w:val="a6"/>
      </w:pPr>
      <w:r>
        <w:t xml:space="preserve"> Проведенный курс интратрахеальтных инъекций способствовал п</w:t>
      </w:r>
      <w:r>
        <w:t>о</w:t>
      </w:r>
      <w:r>
        <w:t>вы</w:t>
      </w:r>
      <w:r>
        <w:softHyphen/>
        <w:t>ше</w:t>
      </w:r>
      <w:r>
        <w:softHyphen/>
      </w:r>
      <w:r>
        <w:softHyphen/>
        <w:t>нию количества эритроцитов у поросят 2 и 3 гр. на 4,2% и 18,9% с</w:t>
      </w:r>
      <w:r>
        <w:t>о</w:t>
      </w:r>
      <w:r>
        <w:t>ответст</w:t>
      </w:r>
      <w:r>
        <w:softHyphen/>
        <w:t>вен</w:t>
      </w:r>
      <w:r>
        <w:softHyphen/>
        <w:t>но, также было отмечено увеличение содержания гемогло</w:t>
      </w:r>
      <w:r>
        <w:softHyphen/>
        <w:t>бина в сред</w:t>
      </w:r>
      <w:r>
        <w:softHyphen/>
        <w:t>нем на: 2 гр.-4%, 3 гр.- 7%. При анализе биохимических показателей было установлено повыше</w:t>
      </w:r>
      <w:r>
        <w:softHyphen/>
        <w:t>ние уровня альбуминов в среднем у поросят 1, 2, 3 групп на 20,7%, 32,5%, 42% и 4 группе на 11,5% соответственно. Сниж</w:t>
      </w:r>
      <w:r>
        <w:t>е</w:t>
      </w:r>
      <w:r>
        <w:t>ние уровня недоокисленных продуктов в крови отмечено у по</w:t>
      </w:r>
      <w:r>
        <w:softHyphen/>
        <w:t>ро</w:t>
      </w:r>
      <w:r>
        <w:softHyphen/>
        <w:t>сят 2 и 3 групп, показатель резервной щелочности у них увеличился на 6% и 7%, что способствует активации различных биохимических процес</w:t>
      </w:r>
      <w:r>
        <w:softHyphen/>
        <w:t xml:space="preserve">сов, также зарегистрировано повышение содержания в крови витамина А на: 2 гр.- 4,7%, 3 гр.- 9,1%. </w:t>
      </w:r>
    </w:p>
    <w:p w:rsidR="00F4654E" w:rsidRDefault="00F4654E">
      <w:pPr>
        <w:pStyle w:val="a6"/>
      </w:pPr>
      <w:r>
        <w:t>При анализе показателей естественной резистентности нами было з</w:t>
      </w:r>
      <w:r>
        <w:t>а</w:t>
      </w:r>
      <w:r>
        <w:t>регистрировано увеличение фагоцитарной активности лейкоцитов у пор</w:t>
      </w:r>
      <w:r>
        <w:t>о</w:t>
      </w:r>
      <w:r>
        <w:t>сят 2 группы на 4,1%, в 3 группе - 12%. Также необходимо отметить п</w:t>
      </w:r>
      <w:r>
        <w:t>о</w:t>
      </w:r>
      <w:r>
        <w:t>вышение бактерицидной активности сыворотки крови поросят во 2 груп</w:t>
      </w:r>
      <w:r>
        <w:softHyphen/>
        <w:t>пе на 5,1%, в 3 группе на 12,8%.</w:t>
      </w:r>
    </w:p>
    <w:p w:rsidR="00F4654E" w:rsidRDefault="00F4654E">
      <w:pPr>
        <w:pStyle w:val="a6"/>
      </w:pPr>
      <w:r>
        <w:t>Основываясь на результатах данного опыта можно сделать вывод, что наилучшие результаты были получены при использовании концентра</w:t>
      </w:r>
      <w:r>
        <w:softHyphen/>
        <w:t>ции озона 1000 мкг/л, а срок выздоровления поросят этой группы  сос</w:t>
      </w:r>
      <w:r>
        <w:softHyphen/>
        <w:t>тавил 12 дней. Остальные концентрации озона при данном способе введе</w:t>
      </w:r>
      <w:r>
        <w:softHyphen/>
        <w:t>ния оказ</w:t>
      </w:r>
      <w:r>
        <w:t>а</w:t>
      </w:r>
      <w:r>
        <w:t>лись мало эффективными.</w:t>
      </w:r>
    </w:p>
    <w:p w:rsidR="00F4654E" w:rsidRDefault="00F4654E">
      <w:pPr>
        <w:pStyle w:val="a4"/>
      </w:pPr>
      <w:r>
        <w:t>УДК 578.831.1.:636.22/28:616-079.4</w:t>
      </w:r>
    </w:p>
    <w:p w:rsidR="00F4654E" w:rsidRDefault="00F4654E">
      <w:pPr>
        <w:pStyle w:val="1"/>
      </w:pPr>
      <w:bookmarkStart w:id="2469" w:name="_Toc10731348"/>
      <w:bookmarkStart w:id="2470" w:name="_Toc10732009"/>
      <w:bookmarkStart w:id="2471" w:name="_Toc10891855"/>
      <w:bookmarkStart w:id="2472" w:name="_Toc10892530"/>
      <w:bookmarkStart w:id="2473" w:name="_Toc11390395"/>
      <w:bookmarkStart w:id="2474" w:name="_Toc11840078"/>
      <w:bookmarkStart w:id="2475" w:name="_Toc11937614"/>
      <w:r>
        <w:t>Амплификация и сравнительный анализ фрагмента S1B области S гена коронавируса крупного рогатого скота</w:t>
      </w:r>
      <w:bookmarkEnd w:id="2469"/>
      <w:bookmarkEnd w:id="2470"/>
      <w:bookmarkEnd w:id="2471"/>
      <w:bookmarkEnd w:id="2472"/>
      <w:bookmarkEnd w:id="2473"/>
      <w:bookmarkEnd w:id="2474"/>
      <w:bookmarkEnd w:id="2475"/>
    </w:p>
    <w:p w:rsidR="00F4654E" w:rsidRDefault="00F4654E">
      <w:pPr>
        <w:pStyle w:val="2"/>
      </w:pPr>
      <w:bookmarkStart w:id="2476" w:name="_Toc10731349"/>
      <w:bookmarkStart w:id="2477" w:name="_Toc10732010"/>
      <w:bookmarkStart w:id="2478" w:name="_Toc10891856"/>
      <w:bookmarkStart w:id="2479" w:name="_Toc10892531"/>
      <w:bookmarkStart w:id="2480" w:name="_Toc11390396"/>
      <w:bookmarkStart w:id="2481" w:name="_Toc11937615"/>
      <w:r>
        <w:t>Кудрявцев В.А., Аянот П.К., Дороненкова Г.Н.</w:t>
      </w:r>
      <w:bookmarkEnd w:id="2476"/>
      <w:bookmarkEnd w:id="2477"/>
      <w:bookmarkEnd w:id="2478"/>
      <w:bookmarkEnd w:id="2479"/>
      <w:bookmarkEnd w:id="2480"/>
      <w:bookmarkEnd w:id="2481"/>
    </w:p>
    <w:p w:rsidR="00F4654E" w:rsidRDefault="00F4654E">
      <w:pPr>
        <w:pStyle w:val="a5"/>
      </w:pPr>
      <w:r>
        <w:t>Всероссийский научно-исследовательский институт защиты животных</w:t>
      </w:r>
    </w:p>
    <w:p w:rsidR="00F4654E" w:rsidRDefault="00F4654E">
      <w:pPr>
        <w:pStyle w:val="a6"/>
      </w:pPr>
      <w:r>
        <w:t>Коронавирус (КВ) КРС является возбудителем диареи новорожде</w:t>
      </w:r>
      <w:r>
        <w:t>н</w:t>
      </w:r>
      <w:r>
        <w:t>ных телят. Вирус относится к роду Coronavirus семейства Coronaviridae. Хотя выделяют только один серотип, в зависимости от клинической ка</w:t>
      </w:r>
      <w:r>
        <w:t>р</w:t>
      </w:r>
      <w:r>
        <w:t xml:space="preserve">тины все штаммы и изоляты вируса делят на энтерические, респираторные </w:t>
      </w:r>
      <w:r>
        <w:lastRenderedPageBreak/>
        <w:t xml:space="preserve">и вызывающие зимнюю дизентерию. КВ КРС поражает телят в возрасте от 1 дня до 3 месяцев, но чаще заболевание возникает у 1-2 недельных телят. </w:t>
      </w:r>
      <w:r>
        <w:rPr>
          <w:snapToGrid w:val="0"/>
        </w:rPr>
        <w:t>Диарея развивается очень быстро и протекает в тяжелой форме у лише</w:t>
      </w:r>
      <w:r>
        <w:rPr>
          <w:snapToGrid w:val="0"/>
        </w:rPr>
        <w:t>н</w:t>
      </w:r>
      <w:r>
        <w:rPr>
          <w:snapToGrid w:val="0"/>
        </w:rPr>
        <w:t>ных молозива телят первых дней жизни. Высокая контагиозность забол</w:t>
      </w:r>
      <w:r>
        <w:rPr>
          <w:snapToGrid w:val="0"/>
        </w:rPr>
        <w:t>е</w:t>
      </w:r>
      <w:r>
        <w:rPr>
          <w:snapToGrid w:val="0"/>
        </w:rPr>
        <w:t xml:space="preserve">вания и потери поголовья телят до 40-50% при их падеже и выбраковке приводит к большому экономическому ущербу. </w:t>
      </w:r>
      <w:r>
        <w:t>Заражение происходит оральным или респираторным путем. Источником инфекции, как правило, являются взрослые животные-вирусоносители.</w:t>
      </w:r>
    </w:p>
    <w:p w:rsidR="00F4654E" w:rsidRDefault="00F4654E">
      <w:pPr>
        <w:pStyle w:val="a6"/>
      </w:pPr>
      <w:r>
        <w:tab/>
        <w:t>Поскольку вирус способен персистировать в стадах на протяжении нескольких лет, периодически вызывая вспышки заболевания, для его в</w:t>
      </w:r>
      <w:r>
        <w:t>ы</w:t>
      </w:r>
      <w:r>
        <w:t>явления на латентных стадиях инфекции необходимы высоко чувствител</w:t>
      </w:r>
      <w:r>
        <w:t>ь</w:t>
      </w:r>
      <w:r>
        <w:t>ные методы. На основе ПЦР нами был разработан метод выявления и ан</w:t>
      </w:r>
      <w:r>
        <w:t>а</w:t>
      </w:r>
      <w:r>
        <w:t>лиза вариабельной области НЕ гена КВ КРС. Предложенный метод обл</w:t>
      </w:r>
      <w:r>
        <w:t>а</w:t>
      </w:r>
      <w:r>
        <w:t>дал высокой чувствительностью и специфичностью. Анализ амплифиц</w:t>
      </w:r>
      <w:r>
        <w:t>и</w:t>
      </w:r>
      <w:r>
        <w:t>рованного фрагмента генома позволял дифференцировать большинство штаммов и изолятов вируса. Однако с помощью данного фрагмента генома оказалось не возможно проводить филогенетический анализ, который им</w:t>
      </w:r>
      <w:r>
        <w:t>е</w:t>
      </w:r>
      <w:r>
        <w:t>ет большое практическое значение. Так, иногда, при сравнении аналоги</w:t>
      </w:r>
      <w:r>
        <w:t>ч</w:t>
      </w:r>
      <w:r>
        <w:t>ных участков генома различных штаммов и изолятов одного и того же в</w:t>
      </w:r>
      <w:r>
        <w:t>и</w:t>
      </w:r>
      <w:r>
        <w:t>руса удается проследить связь между уровнем различий нуклеотидных п</w:t>
      </w:r>
      <w:r>
        <w:t>о</w:t>
      </w:r>
      <w:r>
        <w:t>следовательностей сравниваемых фрагментов генома и удаленностью те</w:t>
      </w:r>
      <w:r>
        <w:t>р</w:t>
      </w:r>
      <w:r>
        <w:t>риторий, на которых они циркулируют, а также временем их выявления. Поэтому при разработке нового метода мы ставили следующие задачи: он должен обладать высокой чувствительностью и специфичностью, более высокой дифференцирующей способностью, также должен позволять пр</w:t>
      </w:r>
      <w:r>
        <w:t>о</w:t>
      </w:r>
      <w:r>
        <w:t>водить филогенетический анализ штаммов и изолятов вируса.</w:t>
      </w:r>
    </w:p>
    <w:p w:rsidR="00F4654E" w:rsidRDefault="00F4654E">
      <w:pPr>
        <w:pStyle w:val="a6"/>
      </w:pPr>
      <w:r>
        <w:t>Для амплификации был выбран фрагмент S1B области S гена. Эта о</w:t>
      </w:r>
      <w:r>
        <w:t>б</w:t>
      </w:r>
      <w:r>
        <w:t>ласть гена кодирует нейтрализующие антигенные детерминанты и соде</w:t>
      </w:r>
      <w:r>
        <w:t>р</w:t>
      </w:r>
      <w:r>
        <w:t>жит высоковариабельную область. Сравнительный анализ нуклеотидных последовательностей этого фрагмента генома штаммов и изолятов, выя</w:t>
      </w:r>
      <w:r>
        <w:t>в</w:t>
      </w:r>
      <w:r>
        <w:t>ленных в США и Канаде, отражает их филогенетические отношения, кот</w:t>
      </w:r>
      <w:r>
        <w:t>о</w:t>
      </w:r>
      <w:r>
        <w:t>рые, в данном случае, коррелируют с удаленностью территорий, на кот</w:t>
      </w:r>
      <w:r>
        <w:t>о</w:t>
      </w:r>
      <w:r>
        <w:t>рых циркулируют исследуемые изоляты, а также со временем их выявл</w:t>
      </w:r>
      <w:r>
        <w:t>е</w:t>
      </w:r>
      <w:r>
        <w:t>ния. Кроме того, поскольку этот фрагмент генома фланкирован консерв</w:t>
      </w:r>
      <w:r>
        <w:t>а</w:t>
      </w:r>
      <w:r>
        <w:t>тивными областями, пригодными для гибридизации праймеров, он был выбран нами для анализа.</w:t>
      </w:r>
    </w:p>
    <w:p w:rsidR="00F4654E" w:rsidRDefault="00F4654E">
      <w:pPr>
        <w:pStyle w:val="a6"/>
      </w:pPr>
      <w:r>
        <w:tab/>
        <w:t>С помощью программы Oligo 3.3 были выбраны две пары праймеров для амплификации этого участка генома. Оптимизацию условий реакции проводили с использованием вакцинного штамма ВНИИЗЖ и 8 полевых изолятов выявленных нами ранее. Положительный результат был получен во всех пробах, содержащих КВ КРС. В результате реакции после 30 ци</w:t>
      </w:r>
      <w:r>
        <w:t>к</w:t>
      </w:r>
      <w:r>
        <w:t xml:space="preserve">лов амплификации с внешней парой праймеров и 25 циклов амплификации с внутренней парой праймеров всегда выявляли только один фрагмент </w:t>
      </w:r>
      <w:r>
        <w:lastRenderedPageBreak/>
        <w:t>строго специфичной длины, неспецифических продуктов реакции не н</w:t>
      </w:r>
      <w:r>
        <w:t>а</w:t>
      </w:r>
      <w:r>
        <w:t>блюдали. Однако после постановки дополнительно нескольких циклов а</w:t>
      </w:r>
      <w:r>
        <w:t>м</w:t>
      </w:r>
      <w:r>
        <w:t>плификации с продуктами Nested ПЦР отмечали появление фрагментов неспецифичной длины.</w:t>
      </w:r>
    </w:p>
    <w:p w:rsidR="00F4654E" w:rsidRDefault="00F4654E">
      <w:pPr>
        <w:pStyle w:val="a6"/>
      </w:pPr>
      <w:r>
        <w:tab/>
        <w:t>Полученные нами нуклеотидные последовательности амплифицир</w:t>
      </w:r>
      <w:r>
        <w:t>о</w:t>
      </w:r>
      <w:r>
        <w:t>ванного фрагмента генома сравнили с аналогичными последовательност</w:t>
      </w:r>
      <w:r>
        <w:t>я</w:t>
      </w:r>
      <w:r>
        <w:t>ми штаммов и изолятов, выявленных в Америке и Европе. Всего в сравн</w:t>
      </w:r>
      <w:r>
        <w:t>и</w:t>
      </w:r>
      <w:r>
        <w:t>тельном анализе были использованы нуклеотидные последовательности 30 штаммов и изолятов КВ КРС.</w:t>
      </w:r>
    </w:p>
    <w:p w:rsidR="00F4654E" w:rsidRDefault="00F4654E">
      <w:pPr>
        <w:pStyle w:val="a6"/>
      </w:pPr>
      <w:r>
        <w:tab/>
        <w:t>Первичная структура анализируемой области генома сравниваемых штаммов и изолятов вируса отличалась менее чем на 4%. Однако, нукле</w:t>
      </w:r>
      <w:r>
        <w:t>о</w:t>
      </w:r>
      <w:r>
        <w:t>тидная последовательность анализируемого фрагмента гена была иденти</w:t>
      </w:r>
      <w:r>
        <w:t>ч</w:t>
      </w:r>
      <w:r>
        <w:t>на только у штаммов ВНИИЗЖ и Quebec. Подобное сходство первичной структуры, скорее всего, указывает на их общее происхождение. Это пре</w:t>
      </w:r>
      <w:r>
        <w:t>д</w:t>
      </w:r>
      <w:r>
        <w:t>положение подтверждает сравнительный анализ вариабельной области НЕ гена – сравниваемые нуклеотидные последовательности этих штаммов различаются лишь одной заменой.</w:t>
      </w:r>
    </w:p>
    <w:p w:rsidR="00F4654E" w:rsidRDefault="00F4654E">
      <w:pPr>
        <w:pStyle w:val="a6"/>
      </w:pPr>
      <w:r>
        <w:tab/>
        <w:t>По признаку сходства первичной структуры исследуемого фрагмента S гена большинство исследованных штаммов и изолятов можно разделить на группы. Три из них составляют штаммы и изоляты, выявленные в США и Канаде. Также в отдельную группу можно выделить пять выявленных нами изолятов и штамм респираторного коронавируса BRCV-G95, выд</w:t>
      </w:r>
      <w:r>
        <w:t>е</w:t>
      </w:r>
      <w:r>
        <w:t>ленный во Франции. Наибольшее сходство первичной структуры со шта</w:t>
      </w:r>
      <w:r>
        <w:t>м</w:t>
      </w:r>
      <w:r>
        <w:t>мом BRCV-G95 демонстрирует изолят, выявленный в Меленковском ра</w:t>
      </w:r>
      <w:r>
        <w:t>й</w:t>
      </w:r>
      <w:r>
        <w:t>оне Владимирской области, и несколько меньше изолят из Тюменской о</w:t>
      </w:r>
      <w:r>
        <w:t>б</w:t>
      </w:r>
      <w:r>
        <w:t>ласти. Уровень нуклеотидных отличий между двумя другими изолятами, выявленными в разных районах Владимирской области, оказался меньше, чем у изолята, выявленного в Нижегородской области. Максимальный уровень различий нуклеотидных последовательностей между представит</w:t>
      </w:r>
      <w:r>
        <w:t>е</w:t>
      </w:r>
      <w:r>
        <w:t>лями этой группы составляет 1,5%.</w:t>
      </w:r>
    </w:p>
    <w:p w:rsidR="00F4654E" w:rsidRDefault="00F4654E">
      <w:pPr>
        <w:pStyle w:val="a6"/>
      </w:pPr>
      <w:r>
        <w:tab/>
        <w:t>Разделение изолятов на группы в данном случае не связано с их свойствами, т.к. в этих группах встречаются как энтерические, так и ре</w:t>
      </w:r>
      <w:r>
        <w:t>с</w:t>
      </w:r>
      <w:r>
        <w:t>пираторные и изоляты зимней дизентерии. Скорее оно коррелирует с уд</w:t>
      </w:r>
      <w:r>
        <w:t>а</w:t>
      </w:r>
      <w:r>
        <w:t>ленностью территорий и временем выявления изолятов. Отсутствие четкой зависимости между сходством первичной структуры штаммов и изолятов и местом их выявления, принимая во внимание современный уровень разв</w:t>
      </w:r>
      <w:r>
        <w:t>и</w:t>
      </w:r>
      <w:r>
        <w:t>тия экономических отношений, вполне закономерно. Кроме того, знач</w:t>
      </w:r>
      <w:r>
        <w:t>и</w:t>
      </w:r>
      <w:r>
        <w:t>тельную роль здесь, вероятно, играют и биологические особенности вир</w:t>
      </w:r>
      <w:r>
        <w:t>у</w:t>
      </w:r>
      <w:r>
        <w:t>са, так как вирус способен долгое время изолированно персистировать в одном стаде, изоляты, выявленные в одном регионе, могут значительно о</w:t>
      </w:r>
      <w:r>
        <w:t>т</w:t>
      </w:r>
      <w:r>
        <w:t>личаться. Это, скорее всего, имеет отношение к изолятам, выявленным н</w:t>
      </w:r>
      <w:r>
        <w:t>а</w:t>
      </w:r>
      <w:r>
        <w:t xml:space="preserve">ми в Одинцовском районе Московской области и в Суздальском районе Владимирской области. Первичная структура сравниваемого фрагмента S </w:t>
      </w:r>
      <w:r>
        <w:lastRenderedPageBreak/>
        <w:t>гена этих изолятов максимально отличалась от всех других штаммов и изолятов. Оба изолята не вошли ни в одну из выделенных групп, при том, что нуклеотидные последовательности анализируемого фрагмента НЕ гена у них мало отличаются от других выявленных нами изолятов. Это же о</w:t>
      </w:r>
      <w:r>
        <w:t>б</w:t>
      </w:r>
      <w:r>
        <w:t>стоятельство, скорее всего, определяет высокое сходство первичной стру</w:t>
      </w:r>
      <w:r>
        <w:t>к</w:t>
      </w:r>
      <w:r>
        <w:t>туры исследуемого фрагмента генома изолята выявленного в Юрьев-Польском районе Владимирской области и вакцинного штамма ВНИИЗЖ, при их значительных отличиях в структуре НЕ гена.</w:t>
      </w:r>
    </w:p>
    <w:p w:rsidR="00F4654E" w:rsidRDefault="00F4654E">
      <w:pPr>
        <w:pStyle w:val="a6"/>
      </w:pPr>
      <w:r>
        <w:t>Таким образом, успешное выявление КВ КРС в образцах патматери</w:t>
      </w:r>
      <w:r>
        <w:t>а</w:t>
      </w:r>
      <w:r>
        <w:t>ла позволяет использовать предложенный метод для диагностики корон</w:t>
      </w:r>
      <w:r>
        <w:t>а</w:t>
      </w:r>
      <w:r>
        <w:t>вирусной инфекции. Выбранный для анализа фрагмент генома позволяет дифференцировать штаммы и изоляты вируса, что имеет большое практ</w:t>
      </w:r>
      <w:r>
        <w:t>и</w:t>
      </w:r>
      <w:r>
        <w:t>ческое значение, например, при дифференциации полевых изолятов от штаммов, используемых для производства живых аттенуированных ва</w:t>
      </w:r>
      <w:r>
        <w:t>к</w:t>
      </w:r>
      <w:r>
        <w:t>цин. Также, сравнительный анализ нуклеотидных последовательностей этой области генома в некоторых случаях можно будет использовать при установлении возможного источника заражения.</w:t>
      </w:r>
    </w:p>
    <w:p w:rsidR="00F4654E" w:rsidRDefault="00F4654E">
      <w:pPr>
        <w:pStyle w:val="a4"/>
      </w:pPr>
      <w:r>
        <w:t>УДК 636.1.087.7</w:t>
      </w:r>
    </w:p>
    <w:p w:rsidR="00F4654E" w:rsidRDefault="00F4654E">
      <w:pPr>
        <w:pStyle w:val="1"/>
      </w:pPr>
      <w:bookmarkStart w:id="2482" w:name="_Toc10891857"/>
      <w:bookmarkStart w:id="2483" w:name="_Toc10892532"/>
      <w:bookmarkStart w:id="2484" w:name="_Toc11390397"/>
      <w:bookmarkStart w:id="2485" w:name="_Toc11840080"/>
      <w:bookmarkStart w:id="2486" w:name="_Toc11937616"/>
      <w:r>
        <w:t xml:space="preserve">ИЗУЧЕНИЕ БЕЗВРЕДНОСТИ ПРЕПАРАТОВ ЛИКОПИНОВЫЙ ШРОТ </w:t>
      </w:r>
      <w:r>
        <w:br/>
        <w:t>И ЛИКОПИНОВОЕ МАСЛО</w:t>
      </w:r>
      <w:bookmarkEnd w:id="2482"/>
      <w:bookmarkEnd w:id="2483"/>
      <w:bookmarkEnd w:id="2484"/>
      <w:bookmarkEnd w:id="2485"/>
      <w:bookmarkEnd w:id="2486"/>
    </w:p>
    <w:p w:rsidR="00F4654E" w:rsidRDefault="00F4654E">
      <w:pPr>
        <w:pStyle w:val="2"/>
      </w:pPr>
      <w:bookmarkStart w:id="2487" w:name="_Toc10891858"/>
      <w:bookmarkStart w:id="2488" w:name="_Toc10892533"/>
      <w:bookmarkStart w:id="2489" w:name="_Toc11390398"/>
      <w:bookmarkStart w:id="2490" w:name="_Toc11937617"/>
      <w:r>
        <w:t>Кузьминова Е.В.</w:t>
      </w:r>
      <w:bookmarkEnd w:id="2487"/>
      <w:bookmarkEnd w:id="2488"/>
      <w:bookmarkEnd w:id="2489"/>
      <w:bookmarkEnd w:id="2490"/>
    </w:p>
    <w:p w:rsidR="00F4654E" w:rsidRDefault="00F4654E">
      <w:pPr>
        <w:pStyle w:val="a5"/>
      </w:pPr>
      <w:r>
        <w:t>Краснодарский научно-исследовательский ветеринарный институт</w:t>
      </w:r>
    </w:p>
    <w:p w:rsidR="00F4654E" w:rsidRDefault="00F4654E">
      <w:pPr>
        <w:pStyle w:val="a6"/>
      </w:pPr>
      <w:r>
        <w:t>Как известно, в природе существует большая группа веществ, име</w:t>
      </w:r>
      <w:r>
        <w:t>ю</w:t>
      </w:r>
      <w:r>
        <w:t>щая близкий химический состав, структуру и биологические свойства, к</w:t>
      </w:r>
      <w:r>
        <w:t>о</w:t>
      </w:r>
      <w:r>
        <w:t>торая называется каротиноиды. Это желто-оранжевые пигменты, синтез</w:t>
      </w:r>
      <w:r>
        <w:t>и</w:t>
      </w:r>
      <w:r>
        <w:t>руемые высшими растениями, грибами и бактериями. В настоящее время известно около 600 природных каротиноидов.</w:t>
      </w:r>
    </w:p>
    <w:p w:rsidR="00F4654E" w:rsidRDefault="00F4654E">
      <w:pPr>
        <w:pStyle w:val="a6"/>
      </w:pPr>
      <w:r>
        <w:t>Длительный период считалось, что их основная функция в организме обусловлена превращением в витамин А. Но сейчас доказано, что карот</w:t>
      </w:r>
      <w:r>
        <w:t>и</w:t>
      </w:r>
      <w:r>
        <w:t>ноиды обладают ценными специфическими свойствами, не связанными с провитаминной активностью. Наиболее распространенным в природе я</w:t>
      </w:r>
      <w:r>
        <w:t>в</w:t>
      </w:r>
      <w:r>
        <w:t xml:space="preserve">ляется </w:t>
      </w:r>
      <w:r>
        <w:sym w:font="Symbol" w:char="F062"/>
      </w:r>
      <w:r>
        <w:t>-каротин, он составляет от 20 до 30% от суммы природных кар</w:t>
      </w:r>
      <w:r>
        <w:t>о</w:t>
      </w:r>
      <w:r>
        <w:t>тиноидов. Все исследования по биодоступности и метаболизму карот</w:t>
      </w:r>
      <w:r>
        <w:t>и</w:t>
      </w:r>
      <w:r>
        <w:t xml:space="preserve">ноидов проведены, в основном, с использованием </w:t>
      </w:r>
      <w:r>
        <w:sym w:font="Symbol" w:char="F062"/>
      </w:r>
      <w:r>
        <w:t>-каротина. Но при этом значительное количество другого каротиноида – ликопина обнаружено в организме животных и человека.</w:t>
      </w:r>
    </w:p>
    <w:p w:rsidR="00F4654E" w:rsidRDefault="00F4654E">
      <w:pPr>
        <w:pStyle w:val="a6"/>
      </w:pPr>
      <w:r>
        <w:t>Ранее считалось, что те каротиноиды, которые в своей химической структуре не содержат один или два цикла бета-ионона, не обладают би</w:t>
      </w:r>
      <w:r>
        <w:t>о</w:t>
      </w:r>
      <w:r>
        <w:t>логической активностью. Но есть ряд научных работ которые указывают на важную роль ликопина в биологических системах, поскольку он, пре</w:t>
      </w:r>
      <w:r>
        <w:t>д</w:t>
      </w:r>
      <w:r>
        <w:t>ставляя собой ненасыщенный ацикличный каротиноидный краситель, я</w:t>
      </w:r>
      <w:r>
        <w:t>в</w:t>
      </w:r>
      <w:r>
        <w:lastRenderedPageBreak/>
        <w:t>ляется эффективным гасителем синглетного кислорода, а поэтому может обладать антиоксидантными, радиопротекторными, антиканцерогенными свойствами. Следовательно, изучение биологических свойств ликопина является перспективным направлением науки.</w:t>
      </w:r>
    </w:p>
    <w:p w:rsidR="00F4654E" w:rsidRDefault="00F4654E">
      <w:pPr>
        <w:pStyle w:val="a6"/>
      </w:pPr>
      <w:r>
        <w:t>В настоящее время ОАО «УРАЛБИОФАРМ» разработана технология получения ликопина. В основу данного метода положен микробиологич</w:t>
      </w:r>
      <w:r>
        <w:t>е</w:t>
      </w:r>
      <w:r>
        <w:t>ский синтез биомассы гриба Blaceslea trispora с последующей экстракцией ликопина растительным маслом. Масляный экстракт ликопина из биома</w:t>
      </w:r>
      <w:r>
        <w:t>с</w:t>
      </w:r>
      <w:r>
        <w:t>сы гриба назван ликопиновое масло, биомасса гриба с ликопином названа ликопиновым шротом.</w:t>
      </w:r>
    </w:p>
    <w:p w:rsidR="00F4654E" w:rsidRDefault="00F4654E">
      <w:pPr>
        <w:pStyle w:val="a6"/>
      </w:pPr>
      <w:r>
        <w:t>Целью нашей работы было проведение исследований по определению параметров острой и хронической токсичности препаратов.</w:t>
      </w:r>
    </w:p>
    <w:p w:rsidR="00F4654E" w:rsidRDefault="00F4654E">
      <w:pPr>
        <w:pStyle w:val="a6"/>
      </w:pPr>
      <w:r>
        <w:t>Острую токсичность определяли методом Deichman и le Blank, при этом был исследован широкий интервал доз ликопинового масла с 0,62 по 36,0 г/кг массы тела, ликопинового шрота с 0,62 по 24 г/кг массы тела. Препарат вводили внутрижелудочно при помощи зонда.</w:t>
      </w:r>
    </w:p>
    <w:p w:rsidR="00F4654E" w:rsidRDefault="00F4654E">
      <w:pPr>
        <w:pStyle w:val="a6"/>
      </w:pPr>
      <w:r>
        <w:t>Введение  ликопинового шрота и масла в дозах от 7,1 до 36 г/кг с</w:t>
      </w:r>
      <w:r>
        <w:t>о</w:t>
      </w:r>
      <w:r>
        <w:t>провождалось незначительным и непродолжительным угнетением живо</w:t>
      </w:r>
      <w:r>
        <w:t>т</w:t>
      </w:r>
      <w:r>
        <w:t>ных. В дальнейшем, за 2 недели наблюдений, гибели, отклонений в пов</w:t>
      </w:r>
      <w:r>
        <w:t>е</w:t>
      </w:r>
      <w:r>
        <w:t>дении и клиническом состоянии опытных крыс выявлено не было. Лишь появление желтушной окраски слизистых было зарегистрировано на 4 с</w:t>
      </w:r>
      <w:r>
        <w:t>у</w:t>
      </w:r>
      <w:r>
        <w:t>тки с момента введения препаратов у крыс, получавших дозу 16, 24, 36 г/кг массы тела. Ввиду отсутствия токсичности препаратов при однократном внутрижелудочном введении был проведен эксперимент по установлению их влияния на организм при длительном поступлении с кормом.</w:t>
      </w:r>
    </w:p>
    <w:p w:rsidR="0047197F" w:rsidRDefault="00F4654E">
      <w:pPr>
        <w:pStyle w:val="a6"/>
      </w:pPr>
      <w:r>
        <w:t>Опытные крысы групповым способом получали ликопиновый шрот и ликопиновое масло в смеси с кормом 1:1, в течение  2 месяцев ежедневно. Весь период эксперимента за животными велось наблюдение, морфолог</w:t>
      </w:r>
      <w:r>
        <w:t>и</w:t>
      </w:r>
      <w:r>
        <w:t xml:space="preserve">ческое исследование крови и взвешивание проводили на 30 и 60 сутки. За время проведения опыта гибели крыс не было. </w:t>
      </w:r>
    </w:p>
    <w:p w:rsidR="00F4654E" w:rsidRDefault="00F4654E">
      <w:pPr>
        <w:pStyle w:val="a6"/>
      </w:pPr>
      <w:r>
        <w:t>По результатам гематологических исследований при длительном скармливании ликопинового масла, было выявлено его отрицательное влияние на эритроцитарную систему, что выражалось в развитии гипе</w:t>
      </w:r>
      <w:r>
        <w:t>р</w:t>
      </w:r>
      <w:r>
        <w:t>хромной анемии. В ходе установления параметров хронической токсичн</w:t>
      </w:r>
      <w:r>
        <w:t>о</w:t>
      </w:r>
      <w:r>
        <w:t>сти ликопинового шрота достоверных изменений гематологических пок</w:t>
      </w:r>
      <w:r>
        <w:t>а</w:t>
      </w:r>
      <w:r>
        <w:t>зателей выявлено не было. Некоторые из колебаний наблюдались как в опытных, так и в контрольных группах и были синхронными.</w:t>
      </w:r>
    </w:p>
    <w:p w:rsidR="00F4654E" w:rsidRDefault="00F4654E">
      <w:pPr>
        <w:pStyle w:val="a6"/>
      </w:pPr>
      <w:r>
        <w:t>Таким образом, проведенные исследования свидетельствуют, что пр</w:t>
      </w:r>
      <w:r>
        <w:t>е</w:t>
      </w:r>
      <w:r>
        <w:t>параты ликопиновый шрот и ликопиновое масло относятся к 4 классу опасности - незначительно опасные вещества.</w:t>
      </w:r>
    </w:p>
    <w:p w:rsidR="00F4654E" w:rsidRDefault="00F4654E">
      <w:pPr>
        <w:pStyle w:val="1"/>
      </w:pPr>
      <w:bookmarkStart w:id="2491" w:name="_Toc11840084"/>
      <w:bookmarkStart w:id="2492" w:name="_Toc11937618"/>
      <w:r>
        <w:lastRenderedPageBreak/>
        <w:t>Влияние искусственной  аэроионизации на микроклимат свиноводческих помещений участка доращивания</w:t>
      </w:r>
      <w:bookmarkEnd w:id="2491"/>
      <w:bookmarkEnd w:id="2492"/>
      <w:r>
        <w:t xml:space="preserve"> </w:t>
      </w:r>
    </w:p>
    <w:p w:rsidR="00F4654E" w:rsidRDefault="00F4654E">
      <w:pPr>
        <w:pStyle w:val="2"/>
      </w:pPr>
      <w:bookmarkStart w:id="2493" w:name="_Toc10731353"/>
      <w:bookmarkStart w:id="2494" w:name="_Toc10891862"/>
      <w:bookmarkStart w:id="2495" w:name="_Toc10892537"/>
      <w:bookmarkStart w:id="2496" w:name="_Toc11390402"/>
      <w:bookmarkStart w:id="2497" w:name="_Toc11937619"/>
      <w:r>
        <w:t>Кузнецов А.А., Кузнецов Ю.А.*</w:t>
      </w:r>
      <w:bookmarkEnd w:id="2493"/>
      <w:bookmarkEnd w:id="2494"/>
      <w:bookmarkEnd w:id="2495"/>
      <w:bookmarkEnd w:id="2496"/>
      <w:bookmarkEnd w:id="2497"/>
    </w:p>
    <w:p w:rsidR="00F4654E" w:rsidRDefault="00F4654E">
      <w:pPr>
        <w:pStyle w:val="a5"/>
        <w:rPr>
          <w:b/>
        </w:rPr>
      </w:pPr>
      <w:r>
        <w:t>Башкирский государственный аграрный университет</w:t>
      </w:r>
      <w:r>
        <w:br/>
        <w:t>*Всероссийский НИИ животноводства</w:t>
      </w:r>
    </w:p>
    <w:p w:rsidR="00F4654E" w:rsidRDefault="00F4654E">
      <w:pPr>
        <w:pStyle w:val="a6"/>
      </w:pPr>
      <w:r>
        <w:t>Выполнение зоогигиенических условий содержания каждой полово</w:t>
      </w:r>
      <w:r>
        <w:t>з</w:t>
      </w:r>
      <w:r>
        <w:t>растной группы свиней продиктованы особенностями технологических процессов крупного свиноводческого комплекса по выращиванию и о</w:t>
      </w:r>
      <w:r>
        <w:t>т</w:t>
      </w:r>
      <w:r>
        <w:t>корму 54 тысяч свиней в год, и согласованы с установленными нормат</w:t>
      </w:r>
      <w:r>
        <w:t>и</w:t>
      </w:r>
      <w:r>
        <w:t>вами и требованиями ГОСТа. Однако в животноводстве, особенно при и</w:t>
      </w:r>
      <w:r>
        <w:t>н</w:t>
      </w:r>
      <w:r>
        <w:t>тенсивных формах его ведения, на специализированных фермах и ко</w:t>
      </w:r>
      <w:r>
        <w:t>м</w:t>
      </w:r>
      <w:r>
        <w:t xml:space="preserve">плексах, создание и поддержание оптимального микроклиматического равновесия является одной из самых актуальных задач, поставленных на сегодняшний день перед ветеринарными специалистами и технологами. </w:t>
      </w:r>
    </w:p>
    <w:p w:rsidR="00F4654E" w:rsidRDefault="00F4654E">
      <w:pPr>
        <w:pStyle w:val="a6"/>
      </w:pPr>
      <w:r>
        <w:t>Знание биологических особенностей организма свиней позволяет предположить, что наиболее важными для них показателями поддержания  микроклимата, являются температура окружающего воздуха, его относ</w:t>
      </w:r>
      <w:r>
        <w:t>и</w:t>
      </w:r>
      <w:r>
        <w:t xml:space="preserve">тельная влажность и скорость движения, концентрация вредных газов. </w:t>
      </w:r>
    </w:p>
    <w:p w:rsidR="00F4654E" w:rsidRDefault="00F4654E">
      <w:pPr>
        <w:pStyle w:val="a6"/>
      </w:pPr>
      <w:r>
        <w:t xml:space="preserve">Мы провели ряд исследований зависимости основных параметров микроклимата при искусственной аэроионизации, где особое внимание уделяли выше перечисленным факторам. </w:t>
      </w:r>
    </w:p>
    <w:p w:rsidR="00F4654E" w:rsidRDefault="00F4654E">
      <w:pPr>
        <w:pStyle w:val="a6"/>
      </w:pPr>
      <w:r>
        <w:t>Анализируя усредненные показатели при многократно повторяющи</w:t>
      </w:r>
      <w:r>
        <w:t>х</w:t>
      </w:r>
      <w:r>
        <w:t>ся измерениях можно отметить, что температура и скорость движения во</w:t>
      </w:r>
      <w:r>
        <w:t>з</w:t>
      </w:r>
      <w:r>
        <w:t>духа в секции участка доращивания достаточно стабильны и не выходят за пределы зоогигиенических норм. Наблюдаемые расхождения в значениях показателей по сезонам года совсем незначительны и вполне объяснимы. При окончании отопительного сезона и переходе на летний режим работы, перестройка микроклиматического равновесия неизбежна, так как прекр</w:t>
      </w:r>
      <w:r>
        <w:t>а</w:t>
      </w:r>
      <w:r>
        <w:t>щается подача тепла по центральной теплосети. С изменением темпер</w:t>
      </w:r>
      <w:r>
        <w:t>а</w:t>
      </w:r>
      <w:r>
        <w:t>турного режима меняется работа вентиляционных систем, что само по себе сказывается на показателях влажности и скорости движения воздушных масс внутри каждой секции. Что касается относительной влажности возд</w:t>
      </w:r>
      <w:r>
        <w:t>у</w:t>
      </w:r>
      <w:r>
        <w:t>ха, то необходимо отметить, что в зимний период содержание паров нах</w:t>
      </w:r>
      <w:r>
        <w:t>о</w:t>
      </w:r>
      <w:r>
        <w:t>дилось в верхних границах нормы и составляло 68,25%. Этот показатель был зафиксирован за 2...3 мин. до начала ионизации. Измерения, пров</w:t>
      </w:r>
      <w:r>
        <w:t>е</w:t>
      </w:r>
      <w:r>
        <w:t>денные через 30 минут, то есть непосредственно перед выключением и</w:t>
      </w:r>
      <w:r>
        <w:t>о</w:t>
      </w:r>
      <w:r>
        <w:t>низатора, показали снижение относительной влажности воздуха до 64,13% или на 4,12% (P&lt;0,001).</w:t>
      </w:r>
    </w:p>
    <w:p w:rsidR="00F4654E" w:rsidRDefault="00F4654E">
      <w:pPr>
        <w:pStyle w:val="a6"/>
      </w:pPr>
      <w:r>
        <w:t>С наступлением весенней оттепели температура воздуха в секциях поднялась в среднем на 1,5</w:t>
      </w:r>
      <w:r>
        <w:sym w:font="Symbol" w:char="F0B0"/>
      </w:r>
      <w:r>
        <w:t>C, что в совокупности с другими факторами явилось причиной повышения количества водяных паров в воздухе. С</w:t>
      </w:r>
      <w:r>
        <w:t>о</w:t>
      </w:r>
      <w:r>
        <w:t xml:space="preserve">держание их стало превышать допустимые нормы на 2,38%. Однако, за </w:t>
      </w:r>
      <w:r>
        <w:lastRenderedPageBreak/>
        <w:t>время ионизации воздуха относительная влажность его, с отметки 72,38% опустилась на 4,63% (P&lt;0,001). Таким образом, сеансы аэроионизации нормализовали выше указанные параметры.</w:t>
      </w:r>
    </w:p>
    <w:p w:rsidR="00F4654E" w:rsidRDefault="00F4654E">
      <w:pPr>
        <w:pStyle w:val="a6"/>
      </w:pPr>
      <w:r>
        <w:t>Небольшое, но также нормализующее снижение относительной вла</w:t>
      </w:r>
      <w:r>
        <w:t>ж</w:t>
      </w:r>
      <w:r>
        <w:t>ности под действием аэроионизации наступало и в летний - самый жаркий период  года. Так, если перед началом сеанса аэроионизации относител</w:t>
      </w:r>
      <w:r>
        <w:t>ь</w:t>
      </w:r>
      <w:r>
        <w:t>ное содержание водяных паров в воздухе животноводческого помещения в среднем было равно 74,75%, что так же выше нормы, то по окончании с</w:t>
      </w:r>
      <w:r>
        <w:t>е</w:t>
      </w:r>
      <w:r>
        <w:t>анса оно снизилось до нормы и составило 69,38% (P&lt;0,001).</w:t>
      </w:r>
    </w:p>
    <w:p w:rsidR="00F4654E" w:rsidRDefault="00F4654E">
      <w:pPr>
        <w:pStyle w:val="a6"/>
      </w:pPr>
      <w:r>
        <w:t>Менее значительные изменения были отмечены при изучении влияния искусственной аэроионизации на температуру воздуха. Под ее влиянием температура воздуха в зимний период повышалась с 17,7 до 17,94</w:t>
      </w:r>
      <w:r w:rsidR="00E0607A">
        <w:t xml:space="preserve"> </w:t>
      </w:r>
      <w:r>
        <w:sym w:font="Symbol" w:char="F0B0"/>
      </w:r>
      <w:r>
        <w:t>С, в в</w:t>
      </w:r>
      <w:r>
        <w:t>е</w:t>
      </w:r>
      <w:r>
        <w:t>сеннее время - с 19,19 до 19,61</w:t>
      </w:r>
      <w:r w:rsidR="00E0607A">
        <w:t xml:space="preserve"> </w:t>
      </w:r>
      <w:r>
        <w:sym w:font="Symbol" w:char="F0B0"/>
      </w:r>
      <w:r>
        <w:t>С. Летние наблюдения показали рост те</w:t>
      </w:r>
      <w:r>
        <w:t>м</w:t>
      </w:r>
      <w:r>
        <w:t>перат</w:t>
      </w:r>
      <w:r>
        <w:t>у</w:t>
      </w:r>
      <w:r>
        <w:t>ры воздуха с 21,4 до 21,75</w:t>
      </w:r>
      <w:r w:rsidR="00E0607A">
        <w:t xml:space="preserve"> </w:t>
      </w:r>
      <w:r>
        <w:sym w:font="Symbol" w:char="F0B0"/>
      </w:r>
      <w:r>
        <w:t>С. Хотя, достоверными можно назвать только изменения, отмеченные в зимний и весенний периоды года (p&lt;0,05).</w:t>
      </w:r>
    </w:p>
    <w:p w:rsidR="00F4654E" w:rsidRDefault="00F4654E">
      <w:pPr>
        <w:pStyle w:val="a6"/>
      </w:pPr>
      <w:r>
        <w:t>Что касается зависимости интенсивности движения воздуха помещ</w:t>
      </w:r>
      <w:r>
        <w:t>е</w:t>
      </w:r>
      <w:r>
        <w:t>ний и проводимой аэроионизации, то увеличение скорости его движения в секциях было отмечено лишь в летний период. Эти изменения,  хотя  и  с</w:t>
      </w:r>
      <w:r>
        <w:t>о</w:t>
      </w:r>
      <w:r>
        <w:t>гласуются  с  данными Н.М. Хренова (1977) и В.С. Прокопенко (1987), о</w:t>
      </w:r>
      <w:r>
        <w:t>д</w:t>
      </w:r>
      <w:r>
        <w:t>нако в нашем опыте достоверного подтверждения не получили. Использ</w:t>
      </w:r>
      <w:r>
        <w:t>о</w:t>
      </w:r>
      <w:r>
        <w:t>вание искусственной аэроионизации для коррекции микроклимата в пом</w:t>
      </w:r>
      <w:r>
        <w:t>е</w:t>
      </w:r>
      <w:r>
        <w:t>щениях свинокомплекса, приводило к стабилизации некоторых показат</w:t>
      </w:r>
      <w:r>
        <w:t>е</w:t>
      </w:r>
      <w:r>
        <w:t xml:space="preserve">лей микроклимата. </w:t>
      </w:r>
    </w:p>
    <w:p w:rsidR="00F4654E" w:rsidRDefault="00F4654E">
      <w:pPr>
        <w:pStyle w:val="1"/>
      </w:pPr>
      <w:bookmarkStart w:id="2498" w:name="_Toc10731350"/>
      <w:bookmarkStart w:id="2499" w:name="_Toc10891859"/>
      <w:bookmarkStart w:id="2500" w:name="_Toc10892534"/>
      <w:bookmarkStart w:id="2501" w:name="_Toc11390399"/>
      <w:bookmarkStart w:id="2502" w:name="_Toc11840082"/>
      <w:bookmarkStart w:id="2503" w:name="_Toc11937620"/>
      <w:r>
        <w:t>ВЛИЯНИЕ СТРЕСС-ФАКТОРОВ  НА СОСТОЯНИЕ ГРУППОВОГО ИММУНИТЕТА СВИНЕЙ  ПРОТИВ ЧУМЫ  В УСЛОВИЯХ СВИНОКОМПЛЕКСА</w:t>
      </w:r>
      <w:bookmarkEnd w:id="2498"/>
      <w:bookmarkEnd w:id="2499"/>
      <w:bookmarkEnd w:id="2500"/>
      <w:bookmarkEnd w:id="2501"/>
      <w:bookmarkEnd w:id="2502"/>
      <w:bookmarkEnd w:id="2503"/>
    </w:p>
    <w:p w:rsidR="00F4654E" w:rsidRDefault="00F4654E">
      <w:pPr>
        <w:pStyle w:val="2"/>
      </w:pPr>
      <w:bookmarkStart w:id="2504" w:name="_Toc10731351"/>
      <w:bookmarkStart w:id="2505" w:name="_Toc10891860"/>
      <w:bookmarkStart w:id="2506" w:name="_Toc10892535"/>
      <w:bookmarkStart w:id="2507" w:name="_Toc11390400"/>
      <w:bookmarkStart w:id="2508" w:name="_Toc11937621"/>
      <w:r>
        <w:t>Кузнецов А.А., Кузнецов Ю.А.*, Кузнецов А.Г.**, Коломыцев А.А.***</w:t>
      </w:r>
      <w:bookmarkEnd w:id="2504"/>
      <w:bookmarkEnd w:id="2505"/>
      <w:bookmarkEnd w:id="2506"/>
      <w:bookmarkEnd w:id="2507"/>
      <w:bookmarkEnd w:id="2508"/>
    </w:p>
    <w:p w:rsidR="00F4654E" w:rsidRDefault="00F4654E">
      <w:pPr>
        <w:pStyle w:val="a5"/>
      </w:pPr>
      <w:r>
        <w:t>Башкирский государственный аграрный университет</w:t>
      </w:r>
      <w:r>
        <w:br/>
        <w:t xml:space="preserve">*Всероссийский НИИ животноводства </w:t>
      </w:r>
      <w:r>
        <w:br/>
        <w:t xml:space="preserve">**Совхоз «Рощинский» Республика Башкортостан, </w:t>
      </w:r>
      <w:r>
        <w:br/>
        <w:t xml:space="preserve">***Всероссийский НИИ ветеринарной вирусологии и микробиологии </w:t>
      </w:r>
    </w:p>
    <w:p w:rsidR="00F4654E" w:rsidRDefault="00F4654E">
      <w:pPr>
        <w:pStyle w:val="a6"/>
        <w:rPr>
          <w:b/>
        </w:rPr>
      </w:pPr>
      <w:r>
        <w:t>О состоянии реактивности животных можно судить по показателям естественной и специфической резистентности организма. С этой целью используют различные по сложности и трудоемкости методы. Самыми и</w:t>
      </w:r>
      <w:r>
        <w:t>з</w:t>
      </w:r>
      <w:r>
        <w:t>вестными и наиболее зарекомендовавшими себя считаются методы опр</w:t>
      </w:r>
      <w:r>
        <w:t>е</w:t>
      </w:r>
      <w:r>
        <w:t>деления фаго</w:t>
      </w:r>
      <w:r w:rsidR="00D7004F">
        <w:t>цитарной, бактерицидной и компле</w:t>
      </w:r>
      <w:r>
        <w:t>ментарной активности с</w:t>
      </w:r>
      <w:r>
        <w:t>ы</w:t>
      </w:r>
      <w:r>
        <w:t>воротки  крови. Перечисленные методы требуют больших затрат врем</w:t>
      </w:r>
      <w:r>
        <w:t>е</w:t>
      </w:r>
      <w:r>
        <w:t>ни, оборудования, реактивов и пр., поэтому, мы воспользовались довольно простым, но достаточно достоверным методом для оценки иммунологич</w:t>
      </w:r>
      <w:r>
        <w:t>е</w:t>
      </w:r>
      <w:r>
        <w:t xml:space="preserve">ской реактивности организма животных. </w:t>
      </w:r>
    </w:p>
    <w:p w:rsidR="00F4654E" w:rsidRDefault="00F4654E">
      <w:pPr>
        <w:pStyle w:val="a6"/>
        <w:rPr>
          <w:i/>
        </w:rPr>
      </w:pPr>
      <w:r>
        <w:lastRenderedPageBreak/>
        <w:t>Для оценки группового иммунитета животных, о показателях реа</w:t>
      </w:r>
      <w:r>
        <w:t>к</w:t>
      </w:r>
      <w:r>
        <w:t>тивности животных, а, равно как и о его стрессового  состояния, можно использовать критерии контроля,  представленные как  соотношение ле</w:t>
      </w:r>
      <w:r>
        <w:t>й</w:t>
      </w:r>
      <w:r>
        <w:t>коцитарной формуле лимфоцитов и нейтрофилов, т. к. при стрессе соде</w:t>
      </w:r>
      <w:r>
        <w:t>р</w:t>
      </w:r>
      <w:r>
        <w:t>жание их меняется. Так, для стадии мобилизации- первой кратковременной фазы стресса, характерна мобилизация защитных механизмов для прот</w:t>
      </w:r>
      <w:r>
        <w:t>и</w:t>
      </w:r>
      <w:r>
        <w:t>водействия отрицательным факторам среды. При этой стадии наблюдается снижение иммунологической реактивности, в крови увеличивается кол</w:t>
      </w:r>
      <w:r>
        <w:t>и</w:t>
      </w:r>
      <w:r>
        <w:t>чество нейтрофилов и уменьшается количество лимфоцитов. Если защи</w:t>
      </w:r>
      <w:r>
        <w:t>т</w:t>
      </w:r>
      <w:r>
        <w:t>ные силы организма справляются с воздействием стресс фактора, то за стадией мобилизации наступает стадия адаптации. В противном случае, стадия мобилизации переходит в стадию истощения характеризующуюся  повышением количества лимфоцитов. На стадии адаптации (резистент-ности) отношение между этими типами кровяных клеток нормализуется и соответствует физиологическим показателям. Одновременно восстанавли-вается иммунологическая реактивность.</w:t>
      </w:r>
      <w:r>
        <w:rPr>
          <w:i/>
        </w:rPr>
        <w:t xml:space="preserve"> </w:t>
      </w:r>
    </w:p>
    <w:p w:rsidR="00F4654E" w:rsidRDefault="00F4654E">
      <w:pPr>
        <w:pStyle w:val="a6"/>
      </w:pPr>
      <w:r>
        <w:t>Определение группового иммунного статуса молодняка свиней мы проводили на базе свинокомплекса  «Рощинский», Стерлитамакского ра</w:t>
      </w:r>
      <w:r>
        <w:t>й</w:t>
      </w:r>
      <w:r>
        <w:t>она республики Башкортостан по выращиванию и откорму 54 тыс. голов свиней в год. Исследования были проведены на 2 группах поросят  в п</w:t>
      </w:r>
      <w:r>
        <w:t>о</w:t>
      </w:r>
      <w:r>
        <w:t>стэпизоотический период  после снятия с хозяйства карантина по класс</w:t>
      </w:r>
      <w:r>
        <w:t>и</w:t>
      </w:r>
      <w:r>
        <w:t>ческой чуме свиней. Использовали поросят отъёмного периода (40 дней), который сам по себе является значительным стресс-фактором, и  поросят 60 дневного возраста, т. е. через 20 дней после отъема и 15 дней после п</w:t>
      </w:r>
      <w:r>
        <w:t>е</w:t>
      </w:r>
      <w:r>
        <w:t>ревода на доращивание.</w:t>
      </w:r>
    </w:p>
    <w:p w:rsidR="00F4654E" w:rsidRDefault="00F4654E">
      <w:pPr>
        <w:pStyle w:val="a6"/>
      </w:pPr>
      <w:r>
        <w:t>Оценку группового иммунитета или иммунологической реактивности организма поросят проводили путем исследования проб крови,  по измен</w:t>
      </w:r>
      <w:r>
        <w:t>е</w:t>
      </w:r>
      <w:r>
        <w:t>нию соотношения лимфоцитов и нейтрофилов, используя  методику пре</w:t>
      </w:r>
      <w:r>
        <w:t>д</w:t>
      </w:r>
      <w:r>
        <w:t>ложенную Е.А. Марининым (1993).</w:t>
      </w:r>
    </w:p>
    <w:p w:rsidR="00F4654E" w:rsidRDefault="00F4654E">
      <w:pPr>
        <w:pStyle w:val="a6"/>
      </w:pPr>
      <w:r>
        <w:t>Были применены вирус-вакцины против классической чумы свиней (КЧС) из штамма ЛК-К ВНИИВВиМ  (на племферме), взятые в обычной дозе и  из штамма  ВГНКИ (в промзоне  свинокомплекса) - в 10-кратной дозе.</w:t>
      </w:r>
    </w:p>
    <w:p w:rsidR="00F4654E" w:rsidRDefault="00F4654E">
      <w:pPr>
        <w:pStyle w:val="a6"/>
      </w:pPr>
      <w:r>
        <w:t>При исследовании мазков крови поросят отъёмышей выяснилось, что 69% их имеют соотношение лимфоцитов к нейтрофилам  менее 1.6, что соответствует стадии мобилизации. Значение соотношения более 3.5, соо</w:t>
      </w:r>
      <w:r>
        <w:t>т</w:t>
      </w:r>
      <w:r>
        <w:t>ветствующее стрессовой стадии истощения, наблюдалось у 13% животных и лишь 18% животных  (с соотношением 1.6 - 3.5) находились в стадии р</w:t>
      </w:r>
      <w:r>
        <w:t>е</w:t>
      </w:r>
      <w:r>
        <w:t>зистентности с физиологическими показателями лейкоформулы.</w:t>
      </w:r>
    </w:p>
    <w:p w:rsidR="00F4654E" w:rsidRDefault="00F4654E">
      <w:pPr>
        <w:pStyle w:val="a6"/>
      </w:pPr>
      <w:r>
        <w:t>Групповая иммунологическая реактивность в данной группе оценив</w:t>
      </w:r>
      <w:r>
        <w:t>а</w:t>
      </w:r>
      <w:r>
        <w:t>ется по наличию животных со стрессовыми реакциями - 82% (69+13) и ж</w:t>
      </w:r>
      <w:r>
        <w:t>и</w:t>
      </w:r>
      <w:r>
        <w:t>вотных с физиологическими показателями отношения лимфоцитов к не</w:t>
      </w:r>
      <w:r>
        <w:t>й</w:t>
      </w:r>
      <w:r>
        <w:t>трофилам - 18%.</w:t>
      </w:r>
    </w:p>
    <w:p w:rsidR="00F4654E" w:rsidRDefault="00F4654E">
      <w:pPr>
        <w:pStyle w:val="a6"/>
      </w:pPr>
      <w:r>
        <w:lastRenderedPageBreak/>
        <w:t>При исследовании иммунного статуса по лимфоцитарно-нейтро-фильному индексу поросят 60-дневного возраста оказалось, что 46.6% п</w:t>
      </w:r>
      <w:r>
        <w:t>о</w:t>
      </w:r>
      <w:r>
        <w:t>росят имели соотношение соответствующее стадии мобилизации. В фазе стресса, соответствующее истощение находились 46.7% поросят. Прич</w:t>
      </w:r>
      <w:r>
        <w:t>и</w:t>
      </w:r>
      <w:r>
        <w:t>ной этому, по нашем мнению, является не только развитие стрессовой р</w:t>
      </w:r>
      <w:r>
        <w:t>е</w:t>
      </w:r>
      <w:r>
        <w:t xml:space="preserve">акции у животных в ответ на отъем, но и эффект от перевода поросят на доращивание. </w:t>
      </w:r>
    </w:p>
    <w:p w:rsidR="00F4654E" w:rsidRDefault="00F4654E">
      <w:pPr>
        <w:pStyle w:val="a6"/>
      </w:pPr>
      <w:r>
        <w:t>По определению Е.А. Маринина, групповую иммунологическую реа</w:t>
      </w:r>
      <w:r>
        <w:t>к</w:t>
      </w:r>
      <w:r>
        <w:t>тивность можно считать удовлетворительной только в том случае, если к</w:t>
      </w:r>
      <w:r>
        <w:t>о</w:t>
      </w:r>
      <w:r>
        <w:t xml:space="preserve">личество поросят в стрессовом состоянии составляет не более 30%. </w:t>
      </w:r>
    </w:p>
    <w:p w:rsidR="00F4654E" w:rsidRDefault="00F4654E">
      <w:pPr>
        <w:pStyle w:val="a6"/>
      </w:pPr>
      <w:r>
        <w:t>Значимость полученных нами результатов повышается в связи с тем, что согласно технологической схеме ветеринарно-профилактических обр</w:t>
      </w:r>
      <w:r>
        <w:t>а</w:t>
      </w:r>
      <w:r>
        <w:t>боток свиней на свинокомплексах именно до 90-дневного возраста пров</w:t>
      </w:r>
      <w:r>
        <w:t>о</w:t>
      </w:r>
      <w:r>
        <w:t>дится большая часть противоэпизоотических мероприятий, и только за первые три месяца жизни поросята подвергаются вакцинации 5-6 раз.</w:t>
      </w:r>
    </w:p>
    <w:p w:rsidR="00F4654E" w:rsidRDefault="00F4654E">
      <w:pPr>
        <w:pStyle w:val="a6"/>
      </w:pPr>
      <w:r>
        <w:t>Наши исследования показали крайне низкий уровень резистентности поросят в возрасте от 40 до 60 дней, так как только 6-20% животных сп</w:t>
      </w:r>
      <w:r>
        <w:t>о</w:t>
      </w:r>
      <w:r>
        <w:t>собны стойко переносить стрессовые ситуации и вероятно лишь от этой части поголовья следует ожидать достаточно хорошую реакцию на вакц</w:t>
      </w:r>
      <w:r>
        <w:t>и</w:t>
      </w:r>
      <w:r>
        <w:t>нопрофилактику.</w:t>
      </w:r>
    </w:p>
    <w:p w:rsidR="00F4654E" w:rsidRDefault="00F4654E">
      <w:pPr>
        <w:pStyle w:val="a6"/>
      </w:pPr>
      <w:r>
        <w:t>Так, анализируя многочисленные исследования, проведённые на ра</w:t>
      </w:r>
      <w:r>
        <w:t>з</w:t>
      </w:r>
      <w:r>
        <w:t>личных свиноводческих комплексах СНГ, выявилась определенная вза</w:t>
      </w:r>
      <w:r>
        <w:t>и</w:t>
      </w:r>
      <w:r>
        <w:t>мосвязь между возрастом поросят и титром специфических антител после вакцинации против КЧС. Среди поросят 40-дневного возраста нормальный титр антител - 1:8 и выше наблюдался только у 20-40% животных. Такой разброс данных объясняется тем, что эти показатели являются больше ст</w:t>
      </w:r>
      <w:r>
        <w:t>а</w:t>
      </w:r>
      <w:r>
        <w:t>тистическими данными  и собирались без учёта породных факторов, кл</w:t>
      </w:r>
      <w:r>
        <w:t>и</w:t>
      </w:r>
      <w:r>
        <w:t>матических условий, уровня кормления и содержания.</w:t>
      </w:r>
    </w:p>
    <w:p w:rsidR="00F4654E" w:rsidRDefault="00F4654E">
      <w:pPr>
        <w:pStyle w:val="a6"/>
      </w:pPr>
      <w:r>
        <w:t>Среди более взрослых животных наблюдалась несколько иная карт</w:t>
      </w:r>
      <w:r>
        <w:t>и</w:t>
      </w:r>
      <w:r>
        <w:t xml:space="preserve">на. Например, в группе 60-дневных поросят от 30 до 50% животных имеют титр специфических антител после вакцинации против КЧС 1:8 и больше. </w:t>
      </w:r>
    </w:p>
    <w:p w:rsidR="00F4654E" w:rsidRDefault="00F4654E">
      <w:pPr>
        <w:pStyle w:val="a6"/>
      </w:pPr>
      <w:r>
        <w:t>Исследования животных на свинокомплексе «Рощинский», выявили следующие показатели выраженности группового иммунитета против КЧС при использовании для оценки его специфических антител в сыворотке крови методом   РНГА.</w:t>
      </w:r>
    </w:p>
    <w:p w:rsidR="00F4654E" w:rsidRDefault="00F4654E">
      <w:pPr>
        <w:pStyle w:val="a6"/>
      </w:pPr>
      <w:r>
        <w:t>Установлено, что у поросят 20-дневного возраста, привитых согла</w:t>
      </w:r>
      <w:r>
        <w:t>с</w:t>
      </w:r>
      <w:r>
        <w:t>но инструкции по ликвидации КЧС, лишь в 10% случаев в промзоне и 40% с племфермы имели  титры антител (1:16),  свидетельствующие о выраже</w:t>
      </w:r>
      <w:r>
        <w:t>н</w:t>
      </w:r>
      <w:r>
        <w:t>ном групповом иммунитете против КЧС. Более высокие показатели имм</w:t>
      </w:r>
      <w:r>
        <w:t>у</w:t>
      </w:r>
      <w:r>
        <w:t>нитета среди поросят племенной фермы позволяют предпол</w:t>
      </w:r>
      <w:r>
        <w:t>о</w:t>
      </w:r>
      <w:r>
        <w:t>жить, что это, по-видимому, связано с более высокой стресс - устойч</w:t>
      </w:r>
      <w:r>
        <w:t>и</w:t>
      </w:r>
      <w:r>
        <w:t>востью племенного поголовья, лучшими условиями содержания и повышенной иммунореа</w:t>
      </w:r>
      <w:r>
        <w:t>к</w:t>
      </w:r>
      <w:r>
        <w:t xml:space="preserve">тивностью. </w:t>
      </w:r>
    </w:p>
    <w:p w:rsidR="00F4654E" w:rsidRDefault="00F4654E">
      <w:pPr>
        <w:pStyle w:val="a6"/>
      </w:pPr>
      <w:r>
        <w:lastRenderedPageBreak/>
        <w:t>У поросят 80-дневного возраста, вынуждено привитых против КЧС в 65 дневном возрасте, (а именно среди этой возрастной группы и моложе наблюдалась КЧС), только 40% имеют защитные титры антител 1:8 и в</w:t>
      </w:r>
      <w:r>
        <w:t>ы</w:t>
      </w:r>
      <w:r>
        <w:t>ше. Среди откормочного поголовья свиней в возрасте 210 дней у 80% имелся устойчивый иммунитет. Достаточный титр антител имели и другие группы животных. Этот факт в сочетании с проведёнными противоэпиз</w:t>
      </w:r>
      <w:r>
        <w:t>о</w:t>
      </w:r>
      <w:r>
        <w:t>отическими мероприятиями, имел значение в предотвращении распростр</w:t>
      </w:r>
      <w:r>
        <w:t>а</w:t>
      </w:r>
      <w:r>
        <w:t xml:space="preserve">нения КЧС на взрослое поголовье. </w:t>
      </w:r>
    </w:p>
    <w:p w:rsidR="00F4654E" w:rsidRDefault="00F4654E">
      <w:pPr>
        <w:pStyle w:val="a6"/>
      </w:pPr>
      <w:r>
        <w:t xml:space="preserve"> Итогом наших исследований явилось установление низкой иммун</w:t>
      </w:r>
      <w:r>
        <w:t>о</w:t>
      </w:r>
      <w:r>
        <w:t>логической реактивности поросят на свинокомплексе  «Рощинский». Ж</w:t>
      </w:r>
      <w:r>
        <w:t>и</w:t>
      </w:r>
      <w:r>
        <w:t>вотные в возрасте 80 дней и моложе отличаются недостаточной способн</w:t>
      </w:r>
      <w:r>
        <w:t>о</w:t>
      </w:r>
      <w:r>
        <w:t>стью отвечать синтезом антител на проводимые иммунизации. Подобное состояние может быть снято введением больших доз антигена, чем это н</w:t>
      </w:r>
      <w:r>
        <w:t>е</w:t>
      </w:r>
      <w:r>
        <w:t xml:space="preserve">обходимо для иммунного ответа взрослых животных.   </w:t>
      </w:r>
    </w:p>
    <w:p w:rsidR="00F4654E" w:rsidRDefault="00F4654E">
      <w:pPr>
        <w:pStyle w:val="a6"/>
      </w:pPr>
      <w:r>
        <w:t>Факт вынужденной иммунизации поросят в послеотъемный период вакциной против КЧС в повышенных дозах,  на фоне недостаточной и</w:t>
      </w:r>
      <w:r>
        <w:t>м</w:t>
      </w:r>
      <w:r>
        <w:t>мунореактивности и наличия у них колостральных антител, ставит вопрос о целесообразности проведения вакцинации с использованием соответс</w:t>
      </w:r>
      <w:r>
        <w:t>т</w:t>
      </w:r>
      <w:r>
        <w:t xml:space="preserve">вующей иммунокоррекции. </w:t>
      </w:r>
    </w:p>
    <w:p w:rsidR="0047197F" w:rsidRDefault="0047197F">
      <w:pPr>
        <w:pStyle w:val="1"/>
      </w:pPr>
      <w:bookmarkStart w:id="2509" w:name="_Toc10731354"/>
      <w:bookmarkStart w:id="2510" w:name="_Toc10891863"/>
      <w:bookmarkStart w:id="2511" w:name="_Toc10892538"/>
      <w:bookmarkStart w:id="2512" w:name="_Toc11390403"/>
      <w:bookmarkStart w:id="2513" w:name="_Toc11840086"/>
      <w:bookmarkStart w:id="2514" w:name="_Toc11937622"/>
    </w:p>
    <w:p w:rsidR="00F4654E" w:rsidRDefault="00F4654E">
      <w:pPr>
        <w:pStyle w:val="1"/>
      </w:pPr>
      <w:r>
        <w:t>ЭКОЛОГИЯ И АЭРОИОННЫЙ ФОН СВИНОКОМПЛЕКСА «РОЩИНСКИЙ» И ИХ СВЯЗЬ С ПАРАМЕТРАМИ МИКРОКЛИМАТА</w:t>
      </w:r>
      <w:bookmarkEnd w:id="2509"/>
      <w:bookmarkEnd w:id="2510"/>
      <w:bookmarkEnd w:id="2511"/>
      <w:bookmarkEnd w:id="2512"/>
      <w:bookmarkEnd w:id="2513"/>
      <w:bookmarkEnd w:id="2514"/>
    </w:p>
    <w:p w:rsidR="00F4654E" w:rsidRDefault="00F4654E">
      <w:pPr>
        <w:pStyle w:val="2"/>
      </w:pPr>
      <w:bookmarkStart w:id="2515" w:name="_Toc10731355"/>
      <w:bookmarkStart w:id="2516" w:name="_Toc10891864"/>
      <w:bookmarkStart w:id="2517" w:name="_Toc10892539"/>
      <w:bookmarkStart w:id="2518" w:name="_Toc11390404"/>
      <w:bookmarkStart w:id="2519" w:name="_Toc11937623"/>
      <w:r>
        <w:t>Кузнецов А.Г., Кузнецов А.А.*</w:t>
      </w:r>
      <w:bookmarkEnd w:id="2515"/>
      <w:bookmarkEnd w:id="2516"/>
      <w:bookmarkEnd w:id="2517"/>
      <w:bookmarkEnd w:id="2518"/>
      <w:bookmarkEnd w:id="2519"/>
    </w:p>
    <w:p w:rsidR="00F4654E" w:rsidRDefault="00F4654E">
      <w:pPr>
        <w:pStyle w:val="a5"/>
      </w:pPr>
      <w:r>
        <w:t xml:space="preserve">Свинокомплекс  «Рощинский» Республика Башкортостан </w:t>
      </w:r>
      <w:r>
        <w:br/>
        <w:t xml:space="preserve">* Башкирский государственный аграрный университет </w:t>
      </w:r>
    </w:p>
    <w:p w:rsidR="00F4654E" w:rsidRPr="0047197F" w:rsidRDefault="00F4654E">
      <w:pPr>
        <w:pStyle w:val="a6"/>
        <w:rPr>
          <w:spacing w:val="-2"/>
        </w:rPr>
      </w:pPr>
      <w:r w:rsidRPr="0047197F">
        <w:rPr>
          <w:spacing w:val="-2"/>
        </w:rPr>
        <w:t>Неоспоримым можно считать тот факт, что в достижении цели получ</w:t>
      </w:r>
      <w:r w:rsidRPr="0047197F">
        <w:rPr>
          <w:spacing w:val="-2"/>
        </w:rPr>
        <w:t>е</w:t>
      </w:r>
      <w:r w:rsidRPr="0047197F">
        <w:rPr>
          <w:spacing w:val="-2"/>
        </w:rPr>
        <w:t>ния здорового поголовья, наибольших привесов при одновременно ни</w:t>
      </w:r>
      <w:r w:rsidRPr="0047197F">
        <w:rPr>
          <w:spacing w:val="-2"/>
        </w:rPr>
        <w:t>з</w:t>
      </w:r>
      <w:r w:rsidRPr="0047197F">
        <w:rPr>
          <w:spacing w:val="-2"/>
        </w:rPr>
        <w:t>ких затратах кормов, равно как снижении общей себестоимости конечной пр</w:t>
      </w:r>
      <w:r w:rsidRPr="0047197F">
        <w:rPr>
          <w:spacing w:val="-2"/>
        </w:rPr>
        <w:t>о</w:t>
      </w:r>
      <w:r w:rsidRPr="0047197F">
        <w:rPr>
          <w:spacing w:val="-2"/>
        </w:rPr>
        <w:t>дукции, а соответственно повышении рентабельности производства в ц</w:t>
      </w:r>
      <w:r w:rsidRPr="0047197F">
        <w:rPr>
          <w:spacing w:val="-2"/>
        </w:rPr>
        <w:t>е</w:t>
      </w:r>
      <w:r w:rsidRPr="0047197F">
        <w:rPr>
          <w:spacing w:val="-2"/>
        </w:rPr>
        <w:t>лом, наибольшую значимость после полноценного кормления, имеет пр</w:t>
      </w:r>
      <w:r w:rsidRPr="0047197F">
        <w:rPr>
          <w:spacing w:val="-2"/>
        </w:rPr>
        <w:t>и</w:t>
      </w:r>
      <w:r w:rsidRPr="0047197F">
        <w:rPr>
          <w:spacing w:val="-2"/>
        </w:rPr>
        <w:t>емлемость условий в которых содержатся животные. В условиях интенси</w:t>
      </w:r>
      <w:r w:rsidRPr="0047197F">
        <w:rPr>
          <w:spacing w:val="-2"/>
        </w:rPr>
        <w:t>в</w:t>
      </w:r>
      <w:r w:rsidRPr="0047197F">
        <w:rPr>
          <w:spacing w:val="-2"/>
        </w:rPr>
        <w:t>ной технологии производства, биологического старения комплекса, огро</w:t>
      </w:r>
      <w:r w:rsidRPr="0047197F">
        <w:rPr>
          <w:spacing w:val="-2"/>
        </w:rPr>
        <w:t>м</w:t>
      </w:r>
      <w:r w:rsidRPr="0047197F">
        <w:rPr>
          <w:spacing w:val="-2"/>
        </w:rPr>
        <w:t>ное влияние на организм свиней имеет микроклимат, поскольку оздоравл</w:t>
      </w:r>
      <w:r w:rsidRPr="0047197F">
        <w:rPr>
          <w:spacing w:val="-2"/>
        </w:rPr>
        <w:t>и</w:t>
      </w:r>
      <w:r w:rsidRPr="0047197F">
        <w:rPr>
          <w:spacing w:val="-2"/>
        </w:rPr>
        <w:t>вающее действие солнца и свежего воздуха практически исключ</w:t>
      </w:r>
      <w:r w:rsidRPr="0047197F">
        <w:rPr>
          <w:spacing w:val="-2"/>
        </w:rPr>
        <w:t>а</w:t>
      </w:r>
      <w:r w:rsidRPr="0047197F">
        <w:rPr>
          <w:spacing w:val="-2"/>
        </w:rPr>
        <w:t>ется.</w:t>
      </w:r>
    </w:p>
    <w:p w:rsidR="00F4654E" w:rsidRDefault="00F4654E">
      <w:pPr>
        <w:pStyle w:val="a6"/>
      </w:pPr>
      <w:r>
        <w:t>Свиноводческий комплекс «Рощинский» Республики Башкортостан работает беспрерывно более 17 лет. В связи с длительным сроком эксплу</w:t>
      </w:r>
      <w:r>
        <w:t>а</w:t>
      </w:r>
      <w:r>
        <w:t>тации более остро встаёт вопрос о экологии, контроле и внедрении новых и не дорогостоящих методов улучшения микроклимата животноводческих помещений в дополнение к  уже существующим системам отопления и воздухообмена.</w:t>
      </w:r>
    </w:p>
    <w:p w:rsidR="00F4654E" w:rsidRDefault="00F4654E">
      <w:pPr>
        <w:pStyle w:val="a6"/>
      </w:pPr>
      <w:r>
        <w:lastRenderedPageBreak/>
        <w:t>Проведённые нами исследования зоогигиенических показателей во</w:t>
      </w:r>
      <w:r>
        <w:t>з</w:t>
      </w:r>
      <w:r>
        <w:t>духа на территории Д.П. "Рощинский" летом 1997 и зимой 1998г, а так же в секциях производственных помещений, позволили нам дать сравнител</w:t>
      </w:r>
      <w:r>
        <w:t>ь</w:t>
      </w:r>
      <w:r>
        <w:t>ную характеристику состояния воздушного бассейна территории предпр</w:t>
      </w:r>
      <w:r>
        <w:t>и</w:t>
      </w:r>
      <w:r>
        <w:t>ятия и воздуха внутри животноводческих помещений. Исследования пр</w:t>
      </w:r>
      <w:r>
        <w:t>о</w:t>
      </w:r>
      <w:r>
        <w:t>ведены в критический для свинокомплекса период осуществления  ко</w:t>
      </w:r>
      <w:r>
        <w:t>м</w:t>
      </w:r>
      <w:r>
        <w:t>плекса противоэп</w:t>
      </w:r>
      <w:r>
        <w:t>и</w:t>
      </w:r>
      <w:r>
        <w:t xml:space="preserve">зоотических мероприятий против классической чумы свиней.   </w:t>
      </w:r>
    </w:p>
    <w:p w:rsidR="00F4654E" w:rsidRDefault="00F4654E">
      <w:pPr>
        <w:pStyle w:val="a6"/>
      </w:pPr>
      <w:r>
        <w:t>Несмотря на значительные отличия качественного состава воздуха снаружи и внутри помещений, не зависимо от сезона года, микроклимат животноводческих помещений большей частью был стабилен и не проя</w:t>
      </w:r>
      <w:r>
        <w:t>в</w:t>
      </w:r>
      <w:r>
        <w:t>лял резких колебаний связанных с переменой сезона года. Однако большая часть показателей (углекислый газ, аммиак, микробная обсеменённость) находилась несколько выше предельно допустимых значений, и лишь по температуре и количеству пыли в воздухе помещений мы отмечали норму.</w:t>
      </w:r>
    </w:p>
    <w:p w:rsidR="00F4654E" w:rsidRDefault="00F4654E">
      <w:pPr>
        <w:pStyle w:val="a6"/>
      </w:pPr>
      <w:r>
        <w:t>Отмечено так же, что существует, хотя и не резко выраженная, обра</w:t>
      </w:r>
      <w:r>
        <w:t>т</w:t>
      </w:r>
      <w:r>
        <w:t>ная связь между количеством примесей в воздухе и концентрацией лёгких отрицательных аэроионов.</w:t>
      </w:r>
    </w:p>
    <w:p w:rsidR="00F4654E" w:rsidRDefault="00F4654E">
      <w:pPr>
        <w:pStyle w:val="a6"/>
      </w:pPr>
      <w:r>
        <w:t>Исследование показателей аэроионного фона помещений цеха репр</w:t>
      </w:r>
      <w:r>
        <w:t>о</w:t>
      </w:r>
      <w:r>
        <w:t>дукции по месяцам показали, что максимум легких отрицательных ионов наблюдался в мае, июне месяце и составлял 280...290 ионов/см</w:t>
      </w:r>
      <w:r>
        <w:rPr>
          <w:vertAlign w:val="superscript"/>
        </w:rPr>
        <w:t>3</w:t>
      </w:r>
      <w:r>
        <w:t>. Примерно на этот же период пришлось минимальное количество тяжелых ионов: в июне - 43,9, июле - 42,2 тысячи ионов/см</w:t>
      </w:r>
      <w:r>
        <w:rPr>
          <w:vertAlign w:val="superscript"/>
        </w:rPr>
        <w:t>3</w:t>
      </w:r>
      <w:r>
        <w:t>, что является довольно знач</w:t>
      </w:r>
      <w:r>
        <w:t>и</w:t>
      </w:r>
      <w:r>
        <w:t>мым показателем. Увеличение количества тяжелых ионов начинается в осенне - зимние периоды, например, в январе их было больше по сравн</w:t>
      </w:r>
      <w:r>
        <w:t>е</w:t>
      </w:r>
      <w:r>
        <w:t>нию с июлем на 15,4%. В то же время легких ионов в январе месяце было в 1,5 раза меньше чем в мае.</w:t>
      </w:r>
    </w:p>
    <w:p w:rsidR="00F4654E" w:rsidRDefault="00F4654E">
      <w:pPr>
        <w:pStyle w:val="a6"/>
      </w:pPr>
      <w:r>
        <w:t>Так же необходимо отметить, что в те месяцы, когда основные зоог</w:t>
      </w:r>
      <w:r>
        <w:t>и</w:t>
      </w:r>
      <w:r>
        <w:t>гиенические показатели воздуха помещений соответствовали или прибл</w:t>
      </w:r>
      <w:r>
        <w:t>и</w:t>
      </w:r>
      <w:r>
        <w:t>жались к норме, наблюдался и более благоприятный аэроионный фон. Так, в мае ионный коэффициент загрязнения был равен 76,33, а в январе - 121,7. Такая же картина наблюдалась и в воздушном бассейне производственной территории, измерения, проведенные в эти периоды показали, что ионный коэффициент загрязнения был на уровне 39,2 - 42,4 соответственно.</w:t>
      </w:r>
    </w:p>
    <w:p w:rsidR="00F4654E" w:rsidRDefault="00F4654E">
      <w:pPr>
        <w:pStyle w:val="a6"/>
      </w:pPr>
      <w:r>
        <w:t>Присутствие в воздухе территории свиноводческого комплекса бол</w:t>
      </w:r>
      <w:r>
        <w:t>ь</w:t>
      </w:r>
      <w:r>
        <w:t>шего количества тяжелых ионов и высокий ионный коэффициент загря</w:t>
      </w:r>
      <w:r>
        <w:t>з</w:t>
      </w:r>
      <w:r>
        <w:t>нения говорит о загрязнении воздушного бассейна промышленными в</w:t>
      </w:r>
      <w:r>
        <w:t>ы</w:t>
      </w:r>
      <w:r>
        <w:t>бросами.  Изучение показателей содержания ионного состава воздуха пр</w:t>
      </w:r>
      <w:r>
        <w:t>о</w:t>
      </w:r>
      <w:r>
        <w:t>изводственных помещений показало, что оно связано с сезоном года и др</w:t>
      </w:r>
      <w:r>
        <w:t>у</w:t>
      </w:r>
      <w:r>
        <w:t>гими факторами. Коэффициент преобладания тяжелых ионов над легкими был минимальным  в мае-августе.</w:t>
      </w:r>
    </w:p>
    <w:p w:rsidR="0047197F" w:rsidRDefault="0047197F">
      <w:pPr>
        <w:pStyle w:val="a4"/>
      </w:pPr>
    </w:p>
    <w:p w:rsidR="00F4654E" w:rsidRDefault="00F4654E">
      <w:pPr>
        <w:pStyle w:val="a4"/>
      </w:pPr>
      <w:r>
        <w:lastRenderedPageBreak/>
        <w:t>УДК 636.087.7:636.084.1.</w:t>
      </w:r>
    </w:p>
    <w:p w:rsidR="00F4654E" w:rsidRDefault="00F4654E">
      <w:pPr>
        <w:pStyle w:val="1"/>
      </w:pPr>
      <w:bookmarkStart w:id="2520" w:name="_Toc10731366"/>
      <w:bookmarkStart w:id="2521" w:name="_Toc11390415"/>
      <w:bookmarkStart w:id="2522" w:name="_Toc11840098"/>
      <w:bookmarkStart w:id="2523" w:name="_Toc11937624"/>
      <w:r>
        <w:t>ОБМЕН ВЕЩЕСТВ В ОРГАНИЗМЕ РЕМОНТНЫХ СВИНОК ПРИ  РАЗНОМ СОЧЕТАНИИ ВЫСОКОПРОТЕИНОВЫХ КОРМОВ В РАЦИОНЕ</w:t>
      </w:r>
      <w:bookmarkEnd w:id="2520"/>
      <w:bookmarkEnd w:id="2521"/>
      <w:bookmarkEnd w:id="2522"/>
      <w:bookmarkEnd w:id="2523"/>
    </w:p>
    <w:p w:rsidR="00F4654E" w:rsidRDefault="00F4654E">
      <w:pPr>
        <w:pStyle w:val="2"/>
      </w:pPr>
      <w:bookmarkStart w:id="2524" w:name="_Toc10731367"/>
      <w:bookmarkStart w:id="2525" w:name="_Toc11032261"/>
      <w:bookmarkStart w:id="2526" w:name="_Toc11390416"/>
      <w:bookmarkStart w:id="2527" w:name="_Toc11937625"/>
      <w:r>
        <w:t xml:space="preserve">Кузнецов Н.И., Елизарова Т.И., Потапов А.И., </w:t>
      </w:r>
      <w:r>
        <w:br/>
        <w:t>Гарковенко О.В., Черных Н.И., Вислогузов А.М.</w:t>
      </w:r>
      <w:bookmarkEnd w:id="2524"/>
      <w:bookmarkEnd w:id="2525"/>
      <w:bookmarkEnd w:id="2526"/>
      <w:bookmarkEnd w:id="2527"/>
    </w:p>
    <w:p w:rsidR="00F4654E" w:rsidRDefault="00F4654E">
      <w:pPr>
        <w:pStyle w:val="a5"/>
      </w:pPr>
      <w:r>
        <w:t>Воронежский государственный аграрный университет им. К.Д. Глинки</w:t>
      </w:r>
    </w:p>
    <w:p w:rsidR="00F4654E" w:rsidRDefault="00F4654E">
      <w:pPr>
        <w:pStyle w:val="a6"/>
      </w:pPr>
      <w:r>
        <w:t>Переваримость питательных веществ рациона и состояние показат</w:t>
      </w:r>
      <w:r>
        <w:t>е</w:t>
      </w:r>
      <w:r>
        <w:t>лей обмена веществ в крови  изучали на 6 группах ремонтных свинок: в конце первого периода выращивания (возраст 5-5,5 месяцев, живая масса 50-60 кг) и в конце второго периода выращивания (возраст 9-10 месяцев, живая масса тела 120-132 кг). Рационы ремонтных свинок (полнорацио</w:t>
      </w:r>
      <w:r>
        <w:t>н</w:t>
      </w:r>
      <w:r>
        <w:t xml:space="preserve">ные комбикорма) включали ячмень (55,9-66,9%), пшеницу (11-9%), горох (0-20%), жмых подсолнечниковый (1,5-10%), травяную муку (4-32,2%), дрожжи кормовые (0-3%). </w:t>
      </w:r>
    </w:p>
    <w:p w:rsidR="00F4654E" w:rsidRDefault="00F4654E">
      <w:pPr>
        <w:pStyle w:val="a6"/>
      </w:pPr>
      <w:r>
        <w:t>В рационы свинок контрольной группы мы вводили гороха 11,2-15%, травяной муки 8,9-9,6%, жмыха 1,5-2%. Рационы свинок контрольной группы соответствовали нормам кормления по содержанию кормовых единиц, переваримого протеина, метионина, каротина, но имели небол</w:t>
      </w:r>
      <w:r>
        <w:t>ь</w:t>
      </w:r>
      <w:r>
        <w:t>шой дефицит обменной энергии, кальция, фосфора, лизина и избыток с</w:t>
      </w:r>
      <w:r>
        <w:t>ы</w:t>
      </w:r>
      <w:r>
        <w:t>рой клетчатки. В комбикорме опытной группы 1 протеин был в основном сбалансирован за счет  жмыха подсолнечника, на долю которого приход</w:t>
      </w:r>
      <w:r>
        <w:t>и</w:t>
      </w:r>
      <w:r>
        <w:t>лось 10%, травяную муку и горох вводили в состав комбикорма в колич</w:t>
      </w:r>
      <w:r>
        <w:t>е</w:t>
      </w:r>
      <w:r>
        <w:t>стве 5%. Содержание травяной муки в рационе свинок опытной группы 2 было ниже, чем в контроле (4%), а в рационах животных опытных групп 3-5 выше (в первый период выращивания соответственно: 20,9;  26,6;  32,2% и во второй – 16,8;  20,8;  24,7 %). Уровень гороха  в  опытной  группе 2  был выше, чем в контроле (20-14%) и ниже в рационах остальных опытных групп 3-5 (в первый период выращивания его содержалось 8;  4; 0 %, во второй – 5,6;  2,8;  0 % соответственно).</w:t>
      </w:r>
    </w:p>
    <w:p w:rsidR="00F4654E" w:rsidRDefault="00F4654E">
      <w:pPr>
        <w:pStyle w:val="a6"/>
      </w:pPr>
      <w:r>
        <w:t>Питательность комбикорма для свинок опытной группы 1, включа</w:t>
      </w:r>
      <w:r>
        <w:t>в</w:t>
      </w:r>
      <w:r>
        <w:t>шего 10% жмыха, была выше, чем в рационе животных контрольной и в остальных опытных группах по кормовым единицам, протеину, метион</w:t>
      </w:r>
      <w:r>
        <w:t>и</w:t>
      </w:r>
      <w:r>
        <w:t>ну. Увеличение в комбикорме ремонтных свинок опытных групп 2-5 тр</w:t>
      </w:r>
      <w:r>
        <w:t>а</w:t>
      </w:r>
      <w:r>
        <w:t xml:space="preserve">вяной муки и снижение гороха сопровождалось снижением содержания протеина, кормовых единиц и увеличением лизина, метионина, каротина и сырой клетчатки. </w:t>
      </w:r>
    </w:p>
    <w:p w:rsidR="00F4654E" w:rsidRDefault="00F4654E">
      <w:pPr>
        <w:pStyle w:val="a6"/>
      </w:pPr>
      <w:r>
        <w:t xml:space="preserve">Свинки контрольной группы потребляли в среднем 2,42 кг корма в первый период выращивания и 2,6 кг – во второй. Увеличение в рационе доли травяной муки отрицательно сказалось на аппетите животных, что вероятно обусловлено высоким содержанием в ней клетчатки (до 9,8%). Вследствие этого, в первый период выращивания суточное потребление комбикорма снижалось и у животных  опытной группы 5, получавших  </w:t>
      </w:r>
      <w:r>
        <w:lastRenderedPageBreak/>
        <w:t>комбикорм с наиболее высоким содержанием (32,2%) травяной муки, с</w:t>
      </w:r>
      <w:r>
        <w:t>о</w:t>
      </w:r>
      <w:r>
        <w:t>ставило 1,91 кг или  78,9% относительно контроля.</w:t>
      </w:r>
    </w:p>
    <w:p w:rsidR="00F4654E" w:rsidRDefault="00F4654E">
      <w:pPr>
        <w:pStyle w:val="a6"/>
      </w:pPr>
      <w:r>
        <w:t>В связи с этим животные опытных групп 3-5 в первый период выр</w:t>
      </w:r>
      <w:r>
        <w:t>а</w:t>
      </w:r>
      <w:r>
        <w:t>щивания потребляли меньше, чем  контрольные свинки, энергии, перев</w:t>
      </w:r>
      <w:r>
        <w:t>а</w:t>
      </w:r>
      <w:r>
        <w:t>римого протеина, аминокислот и больше – клетчатки и каротина, а живо</w:t>
      </w:r>
      <w:r>
        <w:t>т</w:t>
      </w:r>
      <w:r>
        <w:t>ные опытных  групп 1 и 2 наоборот – больше энергии, протеина, амин</w:t>
      </w:r>
      <w:r>
        <w:t>о</w:t>
      </w:r>
      <w:r>
        <w:t xml:space="preserve">кислот  и меньше каротина и клетчатки. </w:t>
      </w:r>
    </w:p>
    <w:p w:rsidR="00F4654E" w:rsidRDefault="00F4654E">
      <w:pPr>
        <w:pStyle w:val="a6"/>
      </w:pPr>
      <w:r>
        <w:t>Во второй период выращивания аппетит животных опытных групп улучшился и свинки опытных групп 1,3 и 5 потребляли корма больше, чем свинки контрольной группы. Соответственно, и питательных веществ свинки опытных групп потребляли во второй период выращивания в о</w:t>
      </w:r>
      <w:r>
        <w:t>с</w:t>
      </w:r>
      <w:r>
        <w:t>новном столько же, а в ряде случаев и больше, чем контрольные.</w:t>
      </w:r>
    </w:p>
    <w:p w:rsidR="00F4654E" w:rsidRDefault="00F4654E">
      <w:pPr>
        <w:pStyle w:val="a6"/>
      </w:pPr>
      <w:r>
        <w:t>Переваримость БЭВ и органического вещества у свинок контрольной группы была 92,8-81,4%, переваримость сухого вещества и протеина с</w:t>
      </w:r>
      <w:r>
        <w:t>о</w:t>
      </w:r>
      <w:r>
        <w:t>ставляла 82,8-77,6%, а коэффициенты переваримости клетчатки и жира были ниже (34,4-57,4 и 48,1-55,3).</w:t>
      </w:r>
    </w:p>
    <w:p w:rsidR="00F4654E" w:rsidRDefault="00F4654E">
      <w:pPr>
        <w:pStyle w:val="a6"/>
      </w:pPr>
      <w:r>
        <w:t>Наиболее высокая переваримость сухого и органического вещества рациона, протеина, клетчатки и БЭВ была в первый период выращивания  у свинок контрольной и опытной группы 5, а низкая – у животных опы</w:t>
      </w:r>
      <w:r>
        <w:t>т</w:t>
      </w:r>
      <w:r>
        <w:t>ной группы 4 с наибольшим количеством клетчатки в рационе – 171 г. Во второй период выращивания довольно высокие коэффициенты перевар</w:t>
      </w:r>
      <w:r>
        <w:t>и</w:t>
      </w:r>
      <w:r>
        <w:t>мости были у животных с наименьшим количеством клетчатки в рационе (147 г, опытная группа 2), а низкие коэффициенты – с наибольшим колич</w:t>
      </w:r>
      <w:r>
        <w:t>е</w:t>
      </w:r>
      <w:r>
        <w:t>ством клетчатки (217г, опытная группа 5).</w:t>
      </w:r>
    </w:p>
    <w:p w:rsidR="00F4654E" w:rsidRDefault="00F4654E">
      <w:pPr>
        <w:pStyle w:val="a6"/>
      </w:pPr>
      <w:r>
        <w:t>Наиболее низкая переваримость при высоким уровне в рационе св</w:t>
      </w:r>
      <w:r>
        <w:t>и</w:t>
      </w:r>
      <w:r>
        <w:t>номаток травяной муки установлена по клетчатке, жиру и минеральным веществам.</w:t>
      </w:r>
    </w:p>
    <w:p w:rsidR="00F4654E" w:rsidRDefault="00F4654E">
      <w:pPr>
        <w:pStyle w:val="a6"/>
      </w:pPr>
      <w:r>
        <w:t>Результаты балансового опыта свидетельствуют, что в  I период в</w:t>
      </w:r>
      <w:r>
        <w:t>ы</w:t>
      </w:r>
      <w:r>
        <w:t>ращивания в организме свинок контрольной группы откладывалось пр</w:t>
      </w:r>
      <w:r>
        <w:t>о</w:t>
      </w:r>
      <w:r>
        <w:t>теина 95,2 г  или 31 % от принятого и 39,3 % - от переваримого, кальция соответственно  42,4% и 59,2% и фосфора –35,5% и 88,4%.</w:t>
      </w:r>
    </w:p>
    <w:p w:rsidR="00F4654E" w:rsidRDefault="00F4654E">
      <w:pPr>
        <w:pStyle w:val="a6"/>
      </w:pPr>
      <w:r>
        <w:t>Во второй период выращивания отложение протеина и кальция у ж</w:t>
      </w:r>
      <w:r>
        <w:t>и</w:t>
      </w:r>
      <w:r>
        <w:t>вотных контрольной группы увеличилось (160,8</w:t>
      </w:r>
      <w:r>
        <w:sym w:font="Symbol" w:char="F0B1"/>
      </w:r>
      <w:r>
        <w:t>5,1 и 7,1</w:t>
      </w:r>
      <w:r>
        <w:sym w:font="Symbol" w:char="F0B1"/>
      </w:r>
      <w:r>
        <w:t>0,7 г), а фосф</w:t>
      </w:r>
      <w:r>
        <w:t>о</w:t>
      </w:r>
      <w:r>
        <w:t>ра – уменьшилось (4,05</w:t>
      </w:r>
      <w:r>
        <w:sym w:font="Symbol" w:char="F0B1"/>
      </w:r>
      <w:r>
        <w:t xml:space="preserve">0,39 г). </w:t>
      </w:r>
    </w:p>
    <w:p w:rsidR="00F4654E" w:rsidRDefault="00F4654E">
      <w:pPr>
        <w:pStyle w:val="a6"/>
      </w:pPr>
      <w:r>
        <w:t>Наиболее высокий положительный баланс протеина в первый период выращивания установлен у животных опытных групп 1,3 и 4, кальция – у свинок  опытных групп 4 и 5, фосфора – у опытных групп 1 и 4. Следует отметить, что в большей степени усвоение протеина и кальция организмом свинок коррелирует с содержанием в рационе кальция и фосфора (r = 0,72 и 0,91 соответственно).</w:t>
      </w:r>
    </w:p>
    <w:p w:rsidR="00F4654E" w:rsidRDefault="00F4654E">
      <w:pPr>
        <w:pStyle w:val="a6"/>
      </w:pPr>
      <w:r>
        <w:t>Наиболее низкое отложение протеина (78,6</w:t>
      </w:r>
      <w:r>
        <w:sym w:font="Symbol" w:char="F0B1"/>
      </w:r>
      <w:r>
        <w:t>4,6 г или 25,3% от прин</w:t>
      </w:r>
      <w:r>
        <w:t>я</w:t>
      </w:r>
      <w:r>
        <w:t>того и 33% от переваримого) и кальция – соответственно 33,5 и 48,7% б</w:t>
      </w:r>
      <w:r>
        <w:t>ы</w:t>
      </w:r>
      <w:r>
        <w:lastRenderedPageBreak/>
        <w:t>ло у свинок опытной группы 2, а фосфора – у свинок опытной группы 3 (16,4% от принятого и 50,9 от переваримого).</w:t>
      </w:r>
    </w:p>
    <w:p w:rsidR="00F4654E" w:rsidRDefault="00F4654E">
      <w:pPr>
        <w:pStyle w:val="a6"/>
      </w:pPr>
      <w:r>
        <w:t>Таким образом, наименьшая конверсия протеинового корма в протеин продукции, а также наименьшие отложения кальция и фосфора установл</w:t>
      </w:r>
      <w:r>
        <w:t>е</w:t>
      </w:r>
      <w:r>
        <w:t>ны у свинок при низких и средних уровнях содержания травяной муки в рационах.</w:t>
      </w:r>
    </w:p>
    <w:p w:rsidR="00F4654E" w:rsidRDefault="00F4654E">
      <w:pPr>
        <w:pStyle w:val="a6"/>
      </w:pPr>
      <w:r>
        <w:t>Во второй период выращивания наиболее высокое отложение проте</w:t>
      </w:r>
      <w:r>
        <w:t>и</w:t>
      </w:r>
      <w:r>
        <w:t>на и кальция наблюдалось у животных контрольной и опытной группы 5 (160,8-133,0 г и 7,1 г соответственно), фосфора – у свинок контрольной и опытной группы 1 (4,06-4,28 г).</w:t>
      </w:r>
    </w:p>
    <w:p w:rsidR="00F4654E" w:rsidRDefault="00F4654E">
      <w:pPr>
        <w:pStyle w:val="a6"/>
      </w:pPr>
      <w:r>
        <w:t>Низкий уровень конверсии протеина и кальция во второй период в</w:t>
      </w:r>
      <w:r>
        <w:t>ы</w:t>
      </w:r>
      <w:r>
        <w:t>ращивания установлен у свинок опытных групп 1 и 2, т.е. при наиболее низком содержании травяной муки и клетчатки в рационе, отложение фо</w:t>
      </w:r>
      <w:r>
        <w:t>с</w:t>
      </w:r>
      <w:r>
        <w:t>фора – у свинок опытных групп 2 и 5.</w:t>
      </w:r>
    </w:p>
    <w:p w:rsidR="00F4654E" w:rsidRDefault="00F4654E">
      <w:pPr>
        <w:pStyle w:val="a6"/>
      </w:pPr>
      <w:r>
        <w:t>Биохимические показатели крови у подопытных животных наход</w:t>
      </w:r>
      <w:r>
        <w:t>и</w:t>
      </w:r>
      <w:r>
        <w:t xml:space="preserve">лись в пределах физиологической нормы. </w:t>
      </w:r>
    </w:p>
    <w:p w:rsidR="00F4654E" w:rsidRDefault="00F4654E">
      <w:pPr>
        <w:pStyle w:val="a6"/>
      </w:pPr>
      <w:r>
        <w:t>В крови животных контрольной группы в первый период выращив</w:t>
      </w:r>
      <w:r>
        <w:t>а</w:t>
      </w:r>
      <w:r>
        <w:t>ния содержалось гемоглобина 10,7±2,6 г%, общего белка – 8,07±0,5 г%, кальция – 9,9±1,2 мг%, фосфора – 9,25±1,3 мг%, альбуминов – 3,46±1,4, альфа-глобулинов – 0,81±0,16, бета-глобулинов – 1,46±0,18 и гамма-глобулинов – 2,67±0,19 г%. Отмечено некоторое снижение содержания общего белка и альбуминов и увеличения гемоглобина в крови животных опытных групп.</w:t>
      </w:r>
    </w:p>
    <w:p w:rsidR="00F4654E" w:rsidRDefault="00F4654E">
      <w:pPr>
        <w:pStyle w:val="a6"/>
      </w:pPr>
      <w:r>
        <w:t>Во II период выращивания уровень гемоглобина был ниже на 5,6-11,4%, а общего кальция – на 4,4-8,2% в крови животных всех опытных групп, а общего белка -  в сыворотке крови свинок опытной группы 5.</w:t>
      </w:r>
    </w:p>
    <w:p w:rsidR="00F4654E" w:rsidRDefault="00F4654E">
      <w:pPr>
        <w:pStyle w:val="a6"/>
      </w:pPr>
      <w:r>
        <w:t>Следовательно, разное содержание в рационе протеиновых растител</w:t>
      </w:r>
      <w:r>
        <w:t>ь</w:t>
      </w:r>
      <w:r>
        <w:t>ных кормов существенно не отражается на биохимическом статусе орг</w:t>
      </w:r>
      <w:r>
        <w:t>а</w:t>
      </w:r>
      <w:r>
        <w:t>низма ремонтных свинок.</w:t>
      </w:r>
    </w:p>
    <w:p w:rsidR="00F4654E" w:rsidRDefault="00F4654E">
      <w:pPr>
        <w:pStyle w:val="a4"/>
      </w:pPr>
      <w:r>
        <w:t>УДК 619:618-084-085</w:t>
      </w:r>
    </w:p>
    <w:p w:rsidR="00F4654E" w:rsidRDefault="00F4654E">
      <w:pPr>
        <w:pStyle w:val="1"/>
      </w:pPr>
      <w:bookmarkStart w:id="2528" w:name="_Toc10731356"/>
      <w:bookmarkStart w:id="2529" w:name="_Toc11390405"/>
      <w:bookmarkStart w:id="2530" w:name="_Toc11840088"/>
      <w:bookmarkStart w:id="2531" w:name="_Toc11937626"/>
      <w:r>
        <w:t>«Метритил» при Лечении коров, больных субклиническим эндометритом</w:t>
      </w:r>
      <w:bookmarkEnd w:id="2528"/>
      <w:bookmarkEnd w:id="2529"/>
      <w:bookmarkEnd w:id="2530"/>
      <w:bookmarkEnd w:id="2531"/>
    </w:p>
    <w:p w:rsidR="00F4654E" w:rsidRDefault="00F4654E">
      <w:pPr>
        <w:pStyle w:val="2"/>
      </w:pPr>
      <w:bookmarkStart w:id="2532" w:name="_Toc11032256"/>
      <w:bookmarkStart w:id="2533" w:name="_Toc11390406"/>
      <w:bookmarkStart w:id="2534" w:name="_Toc11937627"/>
      <w:r>
        <w:t>Кузьмич Р. Г., Яцына В. В.</w:t>
      </w:r>
      <w:bookmarkEnd w:id="2532"/>
      <w:bookmarkEnd w:id="2533"/>
      <w:bookmarkEnd w:id="2534"/>
    </w:p>
    <w:p w:rsidR="00F4654E" w:rsidRDefault="00F4654E">
      <w:pPr>
        <w:pStyle w:val="a5"/>
      </w:pPr>
      <w:r>
        <w:t>Витебская государственная академия ветеринарной медицины</w:t>
      </w:r>
    </w:p>
    <w:p w:rsidR="00F4654E" w:rsidRDefault="00F4654E">
      <w:pPr>
        <w:pStyle w:val="a6"/>
      </w:pPr>
      <w:r>
        <w:t>В ветеринарном акушерстве и гинекологии применяется большой а</w:t>
      </w:r>
      <w:r>
        <w:t>с</w:t>
      </w:r>
      <w:r>
        <w:t>сортимент лекарственных препаратов предназначенных для лечения ж</w:t>
      </w:r>
      <w:r>
        <w:t>и</w:t>
      </w:r>
      <w:r>
        <w:t>вотных с воспалительными процессами в половых органах. Многие из них не приемлемы для внутриматочного введения при скрытом эндометрите из-за несоответствия фармакологических форм функциональному состо</w:t>
      </w:r>
      <w:r>
        <w:t>я</w:t>
      </w:r>
      <w:r>
        <w:t xml:space="preserve">нию матки. Другие обладают свойствами  токсичными для спермиев, у </w:t>
      </w:r>
      <w:r>
        <w:lastRenderedPageBreak/>
        <w:t>третьих - достаточно высокая стоимость при низкой терапевтической э</w:t>
      </w:r>
      <w:r>
        <w:t>ф</w:t>
      </w:r>
      <w:r>
        <w:t>фективности.</w:t>
      </w:r>
    </w:p>
    <w:p w:rsidR="00F4654E" w:rsidRDefault="00F4654E">
      <w:pPr>
        <w:pStyle w:val="a6"/>
      </w:pPr>
      <w:r>
        <w:t>При проведении исследований установлено, что субклинический э</w:t>
      </w:r>
      <w:r>
        <w:t>н</w:t>
      </w:r>
      <w:r>
        <w:t>дометрит протекает при наличии микрофлоры в полости матки, снижении резистентности организма с морфологическими изменениями в эндоме</w:t>
      </w:r>
      <w:r>
        <w:t>т</w:t>
      </w:r>
      <w:r>
        <w:t>рии и миометрии, что проводит к нарушению сократительной функции матки и изменению динамики половых гормонов в крови животных.</w:t>
      </w:r>
    </w:p>
    <w:p w:rsidR="00F4654E" w:rsidRDefault="00F4654E">
      <w:pPr>
        <w:pStyle w:val="a6"/>
      </w:pPr>
      <w:r>
        <w:t>Поэтому для лечения коров, больных субклиническим эндометритом, мы разработали препарат «Метритил». Это комплексный препарат для л</w:t>
      </w:r>
      <w:r>
        <w:t>е</w:t>
      </w:r>
      <w:r>
        <w:t>чения коров, больных субклиническим эндометритом. В состав его входит антибиотик широкого спектра действия тилозина тартрат, карбахолин, а</w:t>
      </w:r>
      <w:r>
        <w:t>с</w:t>
      </w:r>
      <w:r>
        <w:t>корбиновая кислота и основа. Данные компоненты были подобраны не случайно: тилозина тартрат является антибиотиком сугубо ветеринарной медицины и находит широкое применение во многих странах мира, явл</w:t>
      </w:r>
      <w:r>
        <w:t>я</w:t>
      </w:r>
      <w:r>
        <w:t>ется эффективным лечебно-профилактическим средством при различных заболеваниях, имеет широкий спектр противомикробного действия. Ка</w:t>
      </w:r>
      <w:r>
        <w:t>р</w:t>
      </w:r>
      <w:r>
        <w:t>бахолин усиливает сократительную функцию матки. Кислота аскорбин</w:t>
      </w:r>
      <w:r>
        <w:t>о</w:t>
      </w:r>
      <w:r>
        <w:t>вая играет важную роль в регуляции окислительно-восстановительных процессов, способствует регенерации тканей свертываемости крови, обе</w:t>
      </w:r>
      <w:r>
        <w:t>с</w:t>
      </w:r>
      <w:r>
        <w:t>печивает противовоспалительное влияние ионизированного кальция, улучшает деятельность адренергической иннервации.</w:t>
      </w:r>
    </w:p>
    <w:p w:rsidR="00F4654E" w:rsidRDefault="00F4654E">
      <w:pPr>
        <w:pStyle w:val="a6"/>
      </w:pPr>
      <w:r>
        <w:t>Определяя дозу и объем препарата на одно внутриматочное введение коровам, больным субклиническим эндометритом мы исходим из размеров небеременной матки с таким расчетом, чтобы вводимый в полость матки препарат не поступал в яйцеводы. Поэтому объем препарата составил 10 мл, в котором содержится 1,0  тилозин тартрата, 3 мг карбахолина, 1,0  а</w:t>
      </w:r>
      <w:r>
        <w:t>с</w:t>
      </w:r>
      <w:r>
        <w:t>корбиновой кислоты.</w:t>
      </w:r>
    </w:p>
    <w:p w:rsidR="00F4654E" w:rsidRDefault="00F4654E">
      <w:pPr>
        <w:pStyle w:val="a6"/>
      </w:pPr>
      <w:r>
        <w:t>Терапевтическую эффективность «Метритила» изучали в учхозе “Подберезье” Витебской области. Для этого были сформированы три группы коров, больных субклиническим эндометритом. Диагностировали субклинический эндометрит на основании ректального исследования: н</w:t>
      </w:r>
      <w:r>
        <w:t>е</w:t>
      </w:r>
      <w:r>
        <w:t>значительная гипотония матки, рога матки удлиненные сплюснутые, у н</w:t>
      </w:r>
      <w:r>
        <w:t>е</w:t>
      </w:r>
      <w:r>
        <w:t>которых животных отмечены перетяжки рогов матки. Течковая слизь пр</w:t>
      </w:r>
      <w:r>
        <w:t>о</w:t>
      </w:r>
      <w:r>
        <w:t>зрачная, слегка мутная, у отдельных животных отмечаются незначител</w:t>
      </w:r>
      <w:r>
        <w:t>ь</w:t>
      </w:r>
      <w:r>
        <w:t>ные прожилки гноя. Подтверждали диагноз на основании обнаружения в мазках отпечатках лейкоцитов от 5 и более в поле зрения микроскопа.</w:t>
      </w:r>
    </w:p>
    <w:p w:rsidR="00F4654E" w:rsidRDefault="00F4654E">
      <w:pPr>
        <w:pStyle w:val="a6"/>
      </w:pPr>
      <w:r>
        <w:t>Коровам опытной группы вводили внутриматочно «Метритил» одн</w:t>
      </w:r>
      <w:r>
        <w:t>о</w:t>
      </w:r>
      <w:r>
        <w:t>кратно в дозе 10 мл на одно введение. Коров контрольной группы лечили неомицином – 1,0 растворенным в 10 мл 0,9 % натрия хлорида. Коров вт</w:t>
      </w:r>
      <w:r>
        <w:t>о</w:t>
      </w:r>
      <w:r>
        <w:t>рой контрольной группы лечили тилозин тартратом 1,0 предварительно растворенным в 10 мл 0,9 %-го натрия хлорида. Данные препараты ввод</w:t>
      </w:r>
      <w:r>
        <w:t>и</w:t>
      </w:r>
      <w:r>
        <w:t>ли однократно внутриматочно через 8-12 часов после последнего осемен</w:t>
      </w:r>
      <w:r>
        <w:t>е</w:t>
      </w:r>
      <w:r>
        <w:t xml:space="preserve">ния животных. </w:t>
      </w:r>
    </w:p>
    <w:p w:rsidR="00F4654E" w:rsidRDefault="00F4654E">
      <w:pPr>
        <w:pStyle w:val="a6"/>
        <w:rPr>
          <w:caps/>
        </w:rPr>
      </w:pPr>
      <w:r>
        <w:lastRenderedPageBreak/>
        <w:t>В результате проведенного исследования было установлено, что 50 % животных стали стельными в первую половую охоту после внутримато</w:t>
      </w:r>
      <w:r>
        <w:t>ч</w:t>
      </w:r>
      <w:r>
        <w:t>ного введения «Метритила», что на 21,4 % больше по сравнению со второй и на 16,7 % по сравнению с третьей группой животных. После второго осеменения в первой группе стельными оказались 35,7% животных, что на 14,3 % выше, чем во второй группе и на 9% выше, чем в третьей. По р</w:t>
      </w:r>
      <w:r>
        <w:t>е</w:t>
      </w:r>
      <w:r>
        <w:t>зультатам трех осеменений, при лечении коров «Метритилом» оплодотв</w:t>
      </w:r>
      <w:r>
        <w:t>о</w:t>
      </w:r>
      <w:r>
        <w:t>рились 85,7 % животных, что на 21,4 % эффективнее по сравнению с леч</w:t>
      </w:r>
      <w:r>
        <w:t>е</w:t>
      </w:r>
      <w:r>
        <w:t>нием коров, больных скрытым эндометритом неомицином и на 19 % э</w:t>
      </w:r>
      <w:r>
        <w:t>ф</w:t>
      </w:r>
      <w:r>
        <w:t>фективнее по сравнению с лечением животных тилозина тартратом. Э</w:t>
      </w:r>
      <w:r>
        <w:t>ф</w:t>
      </w:r>
      <w:r>
        <w:t>фективность лечения «Метритилом» выражается в снижении периода от отела до плодотворного осеменения на 23,4 дня по сравнению с животн</w:t>
      </w:r>
      <w:r>
        <w:t>ы</w:t>
      </w:r>
      <w:r>
        <w:t>ми первой контрольной группы. Такая же тенденция отмечается в колич</w:t>
      </w:r>
      <w:r>
        <w:t>е</w:t>
      </w:r>
      <w:r>
        <w:t>стве дней бесплодия. В опытной группе она достоверно ниже. При лечении коров «Метритилом» индекс оплодотворения был равен 1,85</w:t>
      </w:r>
      <w:r>
        <w:sym w:font="Symbol" w:char="F0B1"/>
      </w:r>
      <w:r>
        <w:t>0,27 по сра</w:t>
      </w:r>
      <w:r>
        <w:t>в</w:t>
      </w:r>
      <w:r>
        <w:t>нению с животными, которым внутриматочно вводили неомицин  и ниже на 0,95 по сравнению с животными, которых лечили тилозина тартратом. У животных опытной группы по сравнению с коровами контрольных групп, больше процент выздоровевших животных, снижается количество дней от отела до плодотворного осеменения и количество  дней бесплодия.</w:t>
      </w:r>
      <w:r>
        <w:rPr>
          <w:caps/>
        </w:rPr>
        <w:t xml:space="preserve"> </w:t>
      </w:r>
    </w:p>
    <w:p w:rsidR="00F4654E" w:rsidRDefault="00F4654E">
      <w:pPr>
        <w:pStyle w:val="a6"/>
      </w:pPr>
      <w:r>
        <w:t>Полученная терапевтическая активность «Метритила» объясняется высокой чувствительностью выделенной микрофлоры к данному препар</w:t>
      </w:r>
      <w:r>
        <w:t>а</w:t>
      </w:r>
      <w:r>
        <w:t>ту. Установлено, что противомикробная активность «Метритила» самая высокая для всех выделенных микроорганизмов особенно к Bac. subtilis 35,3 мм, что достоверно выше, чем тилозина тартрата. В результате этого можно отметить, что компоненты, входящие в состав «Метритила», сп</w:t>
      </w:r>
      <w:r>
        <w:t>о</w:t>
      </w:r>
      <w:r>
        <w:t xml:space="preserve">собствуют повышению антимикробного действия тилозина тартрата. </w:t>
      </w:r>
    </w:p>
    <w:p w:rsidR="00F4654E" w:rsidRDefault="00F4654E">
      <w:pPr>
        <w:pStyle w:val="a6"/>
      </w:pPr>
      <w:r>
        <w:rPr>
          <w:caps/>
        </w:rPr>
        <w:t>П</w:t>
      </w:r>
      <w:r>
        <w:t>олученные данные свидетельствует о том, что комплексный преп</w:t>
      </w:r>
      <w:r>
        <w:t>а</w:t>
      </w:r>
      <w:r>
        <w:t>рат «Метритил» способствует быстрейшему восстановлению поврежде</w:t>
      </w:r>
      <w:r>
        <w:t>н</w:t>
      </w:r>
      <w:r>
        <w:t xml:space="preserve">ного эндометрия за счет высокого антимикробного действия, регенерации эндометрия и усиления сократительной функции матки. </w:t>
      </w:r>
    </w:p>
    <w:p w:rsidR="00F4654E" w:rsidRDefault="00F4654E">
      <w:pPr>
        <w:pStyle w:val="a4"/>
      </w:pPr>
      <w:r>
        <w:t>УДК 619:618-084-085</w:t>
      </w:r>
    </w:p>
    <w:p w:rsidR="00F4654E" w:rsidRDefault="00F4654E">
      <w:pPr>
        <w:pStyle w:val="1"/>
      </w:pPr>
      <w:bookmarkStart w:id="2535" w:name="_Toc10731360"/>
      <w:bookmarkStart w:id="2536" w:name="_Toc11390407"/>
      <w:bookmarkStart w:id="2537" w:name="_Toc11840090"/>
      <w:bookmarkStart w:id="2538" w:name="_Toc11937628"/>
      <w:r>
        <w:t>Этиология развития воспалительного процесса</w:t>
      </w:r>
      <w:r>
        <w:br/>
        <w:t>в матке у коров при ее субинволюции</w:t>
      </w:r>
      <w:bookmarkEnd w:id="2535"/>
      <w:bookmarkEnd w:id="2536"/>
      <w:bookmarkEnd w:id="2537"/>
      <w:bookmarkEnd w:id="2538"/>
    </w:p>
    <w:p w:rsidR="00F4654E" w:rsidRDefault="00F4654E">
      <w:pPr>
        <w:pStyle w:val="2"/>
      </w:pPr>
      <w:bookmarkStart w:id="2539" w:name="_Toc10731361"/>
      <w:bookmarkStart w:id="2540" w:name="_Toc11032257"/>
      <w:bookmarkStart w:id="2541" w:name="_Toc11390408"/>
      <w:bookmarkStart w:id="2542" w:name="_Toc11937629"/>
      <w:r>
        <w:t>Кузьмич Р.Г., Пилейко В.В.</w:t>
      </w:r>
      <w:bookmarkEnd w:id="2539"/>
      <w:bookmarkEnd w:id="2540"/>
      <w:bookmarkEnd w:id="2541"/>
      <w:bookmarkEnd w:id="2542"/>
    </w:p>
    <w:p w:rsidR="00F4654E" w:rsidRDefault="00F4654E">
      <w:pPr>
        <w:pStyle w:val="a5"/>
      </w:pPr>
      <w:r>
        <w:t>Витебская государственная академия ветеринарной медицины</w:t>
      </w:r>
    </w:p>
    <w:p w:rsidR="00F4654E" w:rsidRDefault="00F4654E">
      <w:pPr>
        <w:pStyle w:val="a6"/>
      </w:pPr>
      <w:r>
        <w:t>Считается, что субинволюция матки у коров относится к заболеван</w:t>
      </w:r>
      <w:r>
        <w:t>и</w:t>
      </w:r>
      <w:r>
        <w:t>ям невоспалительного характера и обусловлена нарушением сократител</w:t>
      </w:r>
      <w:r>
        <w:t>ь</w:t>
      </w:r>
      <w:r>
        <w:t>ной активности миометрия и регенерации эндометрия вследствие фун</w:t>
      </w:r>
      <w:r>
        <w:t>к</w:t>
      </w:r>
      <w:r>
        <w:t>ционального нарушения нейро-гуморальной  системы. Однако имеются сведения, что при нарушении сократительной функции матки не происх</w:t>
      </w:r>
      <w:r>
        <w:t>о</w:t>
      </w:r>
      <w:r>
        <w:lastRenderedPageBreak/>
        <w:t>дит формирования слизистой пробки в канале шейки матки на вторые с</w:t>
      </w:r>
      <w:r>
        <w:t>у</w:t>
      </w:r>
      <w:r>
        <w:t>тки после родов и микрофлора беспрепятственно проникает в полость ма</w:t>
      </w:r>
      <w:r>
        <w:t>т</w:t>
      </w:r>
      <w:r>
        <w:t>ки. В ходе наших исследований установлено, что у 100 % коров с субинв</w:t>
      </w:r>
      <w:r>
        <w:t>о</w:t>
      </w:r>
      <w:r>
        <w:t>люцией  матки наблюдается инфицирование ее полости различными гру</w:t>
      </w:r>
      <w:r>
        <w:t>п</w:t>
      </w:r>
      <w:r>
        <w:t>пами микроорганизмов, в то время как у животных с нормально протека</w:t>
      </w:r>
      <w:r>
        <w:t>в</w:t>
      </w:r>
      <w:r>
        <w:t>шим послеродовым периодом только у 22,2 %  выявлена микробная обс</w:t>
      </w:r>
      <w:r>
        <w:t>е</w:t>
      </w:r>
      <w:r>
        <w:t xml:space="preserve">мененность. Во всех случаях субинволюции матки отмечалась ассоциация микроорганизмов:  E. coli - 81,8 %, Staph.aureus - 27,3 %, Staph. epidermidis - 36,4 %, Str. pyogenes - 27,3 %, Str. agalactiae -  27,3 %, Cor. vaginalis - 18,2 %, Prot. vulgaris - 18,2 %, Bac. subtilis - 18,2 %  и Candida albicans - 27,3 %. </w:t>
      </w:r>
    </w:p>
    <w:p w:rsidR="00F4654E" w:rsidRDefault="00F4654E">
      <w:pPr>
        <w:pStyle w:val="a6"/>
      </w:pPr>
      <w:r>
        <w:t>При нормальном течении послеродового периода матка опущена в брюшную полость, стенка ее утолщена, упругой консистенции  и имеет четко выраженную складчатость. На разрезе слизистая оболочка трудно отделима от миометрия, имеет бледно-розовый цвет. В полости матки н</w:t>
      </w:r>
      <w:r>
        <w:t>а</w:t>
      </w:r>
      <w:r>
        <w:t xml:space="preserve">ходится небольшое количество лохий коричневого или светло-шоколад-ного цвета. </w:t>
      </w:r>
    </w:p>
    <w:p w:rsidR="00F4654E" w:rsidRDefault="00F4654E">
      <w:pPr>
        <w:pStyle w:val="a6"/>
      </w:pPr>
      <w:r>
        <w:t>При исследовании гистопрепаратов обнаруживаются спавшиеся м</w:t>
      </w:r>
      <w:r>
        <w:t>а</w:t>
      </w:r>
      <w:r>
        <w:t>точные железы или же желез с небольшим просветом, заполненным отто</w:t>
      </w:r>
      <w:r>
        <w:t>р</w:t>
      </w:r>
      <w:r>
        <w:t>гающимися эпителиальными клетками  и слизистым содержимым. Вну</w:t>
      </w:r>
      <w:r>
        <w:t>т</w:t>
      </w:r>
      <w:r>
        <w:t>ренняя поверхность маточных желез выстлана однослойным призматич</w:t>
      </w:r>
      <w:r>
        <w:t>е</w:t>
      </w:r>
      <w:r>
        <w:t>ским эпителием, местами подвергающимся десквамации. Также наблюд</w:t>
      </w:r>
      <w:r>
        <w:t>а</w:t>
      </w:r>
      <w:r>
        <w:t>ется облитерация и запустение кровеносных сосудов. Небольшими очаг</w:t>
      </w:r>
      <w:r>
        <w:t>а</w:t>
      </w:r>
      <w:r>
        <w:t>ми (на месте облитерирующих сосудов и желез) образуются лейкоцита</w:t>
      </w:r>
      <w:r>
        <w:t>р</w:t>
      </w:r>
      <w:r>
        <w:t>ные скопления, представленные преимущественно нейтрофилами. В суб</w:t>
      </w:r>
      <w:r>
        <w:t>э</w:t>
      </w:r>
      <w:r>
        <w:t>пителиальном слое имеется большое количество гистиоцитов. Четко оформлены миоциты без пространства между ними.</w:t>
      </w:r>
    </w:p>
    <w:p w:rsidR="00F4654E" w:rsidRDefault="00F4654E">
      <w:pPr>
        <w:pStyle w:val="a6"/>
      </w:pPr>
      <w:r>
        <w:t>При субинволюции матка опущена в брюшную полость; стенка ее и</w:t>
      </w:r>
      <w:r>
        <w:t>с</w:t>
      </w:r>
      <w:r>
        <w:t>тонченная, дряблая, лишена складок; вибрирует маточная артерия со ст</w:t>
      </w:r>
      <w:r>
        <w:t>о</w:t>
      </w:r>
      <w:r>
        <w:t>роны рога-плодовместилища. На разрезе слизистая оболочка студневидная. Эндометрий набухший, грязно-розового цвета, с точечными кровоизли</w:t>
      </w:r>
      <w:r>
        <w:t>я</w:t>
      </w:r>
      <w:r>
        <w:t>ниями. В полости матки обнаруживается большое количество лохий вод</w:t>
      </w:r>
      <w:r>
        <w:t>я</w:t>
      </w:r>
      <w:r>
        <w:t>нистой консистенции, красновато-бурого цвета, с гнилостным запахом.</w:t>
      </w:r>
    </w:p>
    <w:p w:rsidR="00F4654E" w:rsidRDefault="00F4654E">
      <w:pPr>
        <w:pStyle w:val="a6"/>
      </w:pPr>
      <w:r>
        <w:t>Эпителий эндометрия и маточных желез подвергается зернистой ди</w:t>
      </w:r>
      <w:r>
        <w:t>с</w:t>
      </w:r>
      <w:r>
        <w:t>трофии, некрозу и десквамации. В некоторых железах  сохранен одн</w:t>
      </w:r>
      <w:r>
        <w:t>о</w:t>
      </w:r>
      <w:r>
        <w:t>слойный плоский эпителий. Маточные железы имеют вид вытянутых ме</w:t>
      </w:r>
      <w:r>
        <w:t>ш</w:t>
      </w:r>
      <w:r>
        <w:t>ковидных образований, заполненных продуктами распада эпителия или серозным экссудатом. Рыхлая соединительная ткань представляет собой сеть, образованную набухшими, разволокненными коллагеновыми пучк</w:t>
      </w:r>
      <w:r>
        <w:t>а</w:t>
      </w:r>
      <w:r>
        <w:t>ми или волокнами. Большая часть экссудата выделяется в просвет матки, часть же его инфильтрирует основу слизистой и особенно подслизистый слой.</w:t>
      </w:r>
    </w:p>
    <w:p w:rsidR="00F4654E" w:rsidRDefault="00F4654E">
      <w:pPr>
        <w:pStyle w:val="a6"/>
      </w:pPr>
      <w:r>
        <w:rPr>
          <w:caps/>
        </w:rPr>
        <w:t>л</w:t>
      </w:r>
      <w:r>
        <w:t xml:space="preserve">охии, полученные у здоровых коров через 4 -5 дней после родов, при центрифугировании с использованием цетрифуги ЦЛН-2 при 9000 об./мин. </w:t>
      </w:r>
      <w:r>
        <w:lastRenderedPageBreak/>
        <w:t>в течение 10 минут, на фракции не разбиваются, тем временем лохии от коров с субинволюцией матки, подвергшиеся центрифугированию, обр</w:t>
      </w:r>
      <w:r>
        <w:t>а</w:t>
      </w:r>
      <w:r>
        <w:t>зуют твердый осадок высотой 3,3</w:t>
      </w:r>
      <w:r>
        <w:sym w:font="Symbol" w:char="F0B1"/>
      </w:r>
      <w:r>
        <w:t>0,15 мм. Лохии от здоровых коров ра</w:t>
      </w:r>
      <w:r>
        <w:t>с</w:t>
      </w:r>
      <w:r>
        <w:t>творенного белка не содержат, в то время как у больных субинволюцией матки коров определено наличие белка в надосадочной жидкости в пред</w:t>
      </w:r>
      <w:r>
        <w:t>е</w:t>
      </w:r>
      <w:r>
        <w:t>лах 4,5 % .</w:t>
      </w:r>
    </w:p>
    <w:p w:rsidR="00F4654E" w:rsidRDefault="00F4654E">
      <w:pPr>
        <w:pStyle w:val="a6"/>
      </w:pPr>
      <w:r>
        <w:t>Распространение инфекции в матке может быть ограничено ферме</w:t>
      </w:r>
      <w:r>
        <w:t>н</w:t>
      </w:r>
      <w:r>
        <w:t>тами, из которых наиболее активным является лизоцим, высвобожда</w:t>
      </w:r>
      <w:r>
        <w:t>ю</w:t>
      </w:r>
      <w:r>
        <w:t>щийся из поврежденных микробами и их токсинами тканей. Причем де</w:t>
      </w:r>
      <w:r>
        <w:t>й</w:t>
      </w:r>
      <w:r>
        <w:t>ствие данного фермента не зависит от присутствия кислорода, что акт</w:t>
      </w:r>
      <w:r>
        <w:t>у</w:t>
      </w:r>
      <w:r>
        <w:t>ально для полости матки.</w:t>
      </w:r>
    </w:p>
    <w:p w:rsidR="00F4654E" w:rsidRDefault="00F4654E">
      <w:pPr>
        <w:pStyle w:val="a6"/>
      </w:pPr>
      <w:r>
        <w:rPr>
          <w:caps/>
        </w:rPr>
        <w:t>у</w:t>
      </w:r>
      <w:r>
        <w:t xml:space="preserve"> коров с нормально протекающим послеродовым периодом на всем его протяжении концентрация лизоцима в маточном секрете находится на постоянном уровне - 8,0</w:t>
      </w:r>
      <w:r>
        <w:sym w:font="Symbol" w:char="F0B1"/>
      </w:r>
      <w:r>
        <w:t>0,40 ммоль/л, в то время как у животных с о</w:t>
      </w:r>
      <w:r>
        <w:t>с</w:t>
      </w:r>
      <w:r>
        <w:t>ложненным субинволюцией матки послеродовым периодом в первые две недели после родов концентрация данного фермента находится в пределах 5,2</w:t>
      </w:r>
      <w:r>
        <w:sym w:font="Symbol" w:char="F0B1"/>
      </w:r>
      <w:r>
        <w:t>0,40 ммоль/л, что ниже, чем у здоровых на 35% и только к 25-му дню после родов его концентрация достигает 7,7</w:t>
      </w:r>
      <w:r>
        <w:sym w:font="Symbol" w:char="F0B1"/>
      </w:r>
      <w:r>
        <w:t>0,31 ммоль/л.</w:t>
      </w:r>
    </w:p>
    <w:p w:rsidR="00F4654E" w:rsidRDefault="00F4654E">
      <w:pPr>
        <w:pStyle w:val="a6"/>
      </w:pPr>
      <w:r>
        <w:t>Бактерицидная активность маточного секрета коров может рассматр</w:t>
      </w:r>
      <w:r>
        <w:t>и</w:t>
      </w:r>
      <w:r>
        <w:t>ваться как совокупный показатель состояния иммунной реактивности о</w:t>
      </w:r>
      <w:r>
        <w:t>р</w:t>
      </w:r>
      <w:r>
        <w:t>ганизма. Установлено, что во время всего послеродового периода у коров с его нормальным течением  данный показатель составляет 22</w:t>
      </w:r>
      <w:r>
        <w:sym w:font="Symbol" w:char="F0B1"/>
      </w:r>
      <w:r>
        <w:t>1,1%, что значительно выше, чем у животных, заболевших субинволюцией матки, у которых бактерицидная активность маточного секрета находится в пред</w:t>
      </w:r>
      <w:r>
        <w:t>е</w:t>
      </w:r>
      <w:r>
        <w:t>лах 11</w:t>
      </w:r>
      <w:r>
        <w:sym w:font="Symbol" w:char="F0B1"/>
      </w:r>
      <w:r>
        <w:t>0,5 %.</w:t>
      </w:r>
    </w:p>
    <w:p w:rsidR="00F4654E" w:rsidRDefault="00F4654E">
      <w:pPr>
        <w:pStyle w:val="a6"/>
      </w:pPr>
      <w:r>
        <w:t>Сдерживают развитие микрофлоры в полости матки у коров иммуно</w:t>
      </w:r>
      <w:r>
        <w:t>г</w:t>
      </w:r>
      <w:r>
        <w:t>лобулины маточного секрета. У животных с нормально протекающим п</w:t>
      </w:r>
      <w:r>
        <w:t>о</w:t>
      </w:r>
      <w:r>
        <w:t>слеродовым периодом титр  Ig G на третьи сутки после отела находится в пределах 1,9</w:t>
      </w:r>
      <w:r>
        <w:sym w:font="Symbol" w:char="F0B1"/>
      </w:r>
      <w:r>
        <w:t>0,01 log 2 и на седьмые сутки послеродового периода данный показатель составляет 2,9</w:t>
      </w:r>
      <w:r>
        <w:sym w:font="Symbol" w:char="F0B1"/>
      </w:r>
      <w:r>
        <w:t>0,01 log 2.</w:t>
      </w:r>
    </w:p>
    <w:p w:rsidR="00F4654E" w:rsidRDefault="00F4654E">
      <w:pPr>
        <w:pStyle w:val="a6"/>
      </w:pPr>
      <w:r>
        <w:t>У коров, заболевших субинволюцией матки, уже спустя трое суток после родов  отмечается более высокий титр Ig G, составляющий 2,5</w:t>
      </w:r>
      <w:r>
        <w:sym w:font="Symbol" w:char="F0B1"/>
      </w:r>
      <w:r>
        <w:t>0,15 log 2. На седьмой день после родов отмечается дальнейшее возрастание титра иммуноглобулинов в маточном секрете у животных с субинволюц</w:t>
      </w:r>
      <w:r>
        <w:t>и</w:t>
      </w:r>
      <w:r>
        <w:t>ей матки до 3,9</w:t>
      </w:r>
      <w:r>
        <w:sym w:font="Symbol" w:char="F0B1"/>
      </w:r>
      <w:r>
        <w:t>0,29 log 2.</w:t>
      </w:r>
    </w:p>
    <w:p w:rsidR="00F4654E" w:rsidRDefault="00F4654E">
      <w:pPr>
        <w:pStyle w:val="a6"/>
      </w:pPr>
      <w:r>
        <w:t>Аналогичные изменения регистрируются и в динамике титра секр</w:t>
      </w:r>
      <w:r>
        <w:t>е</w:t>
      </w:r>
      <w:r>
        <w:t>торного иммуноглобулина А (SIg A). В первые дни послеродового периода у коров с нормальным течением инволюционных процессов в половых о</w:t>
      </w:r>
      <w:r>
        <w:t>р</w:t>
      </w:r>
      <w:r>
        <w:t>ганах данный показатель составляет 1,1</w:t>
      </w:r>
      <w:r>
        <w:sym w:font="Symbol" w:char="F0B1"/>
      </w:r>
      <w:r>
        <w:t>0,03 log 2  и к седьмому дню п</w:t>
      </w:r>
      <w:r>
        <w:t>о</w:t>
      </w:r>
      <w:r>
        <w:t>сле родов он достигает 2,6</w:t>
      </w:r>
      <w:r>
        <w:sym w:font="Symbol" w:char="F0B1"/>
      </w:r>
      <w:r>
        <w:t>0,40.</w:t>
      </w:r>
    </w:p>
    <w:p w:rsidR="00F4654E" w:rsidRDefault="00F4654E">
      <w:pPr>
        <w:pStyle w:val="a6"/>
      </w:pPr>
      <w:r>
        <w:t>При субинволюции  матки у коров через три дня после отела титр SIg A в маточном секрете составляет 1,9</w:t>
      </w:r>
      <w:r>
        <w:sym w:font="Symbol" w:char="F0B1"/>
      </w:r>
      <w:r>
        <w:t xml:space="preserve">0,03 log 2, что выше на 72,7 %, чем у </w:t>
      </w:r>
      <w:r>
        <w:lastRenderedPageBreak/>
        <w:t>здоровых животных. К концу первой недели послеродового периода ра</w:t>
      </w:r>
      <w:r>
        <w:t>з</w:t>
      </w:r>
      <w:r>
        <w:t>ница титров SIg A составляет 40,7 % (у коров с субинволюцией матки титр SIg A в это время находится в пределах 3,8</w:t>
      </w:r>
      <w:r>
        <w:sym w:font="Symbol" w:char="F0B1"/>
      </w:r>
      <w:r>
        <w:t>0,07 log 2).</w:t>
      </w:r>
    </w:p>
    <w:p w:rsidR="00F4654E" w:rsidRDefault="00F4654E">
      <w:pPr>
        <w:pStyle w:val="a6"/>
      </w:pPr>
      <w:r>
        <w:t>Приведенные данные позволяют предположить, что немаловажную роль в развитии воспалительного процесса при субинволюции матки у к</w:t>
      </w:r>
      <w:r>
        <w:t>о</w:t>
      </w:r>
      <w:r>
        <w:t>ров играет условно-патогенная микрофлора, которая на фоне снижения р</w:t>
      </w:r>
      <w:r>
        <w:t>е</w:t>
      </w:r>
      <w:r>
        <w:t>зистентности организма приводит к развитию серозного воспаления тканей матки, их деструктивным изменениям и общему токсикозу животного пр</w:t>
      </w:r>
      <w:r>
        <w:t>о</w:t>
      </w:r>
      <w:r>
        <w:t>дуктами распада тканей и жизнедеятельности микробов.</w:t>
      </w:r>
    </w:p>
    <w:p w:rsidR="00F4654E" w:rsidRDefault="00F4654E">
      <w:pPr>
        <w:pStyle w:val="a4"/>
      </w:pPr>
      <w:r>
        <w:t>УДК 619:618.19-002:615.8:574</w:t>
      </w:r>
    </w:p>
    <w:p w:rsidR="00F4654E" w:rsidRDefault="00F4654E">
      <w:pPr>
        <w:pStyle w:val="1"/>
      </w:pPr>
      <w:bookmarkStart w:id="2543" w:name="_Toc10731358"/>
      <w:bookmarkStart w:id="2544" w:name="_Toc11390409"/>
      <w:bookmarkStart w:id="2545" w:name="_Toc11840092"/>
      <w:bookmarkStart w:id="2546" w:name="_Toc11937630"/>
      <w:r>
        <w:t>Экологические аспекты лазеротерапии коров,</w:t>
      </w:r>
      <w:r>
        <w:br/>
        <w:t xml:space="preserve"> больных маститами</w:t>
      </w:r>
      <w:bookmarkEnd w:id="2543"/>
      <w:bookmarkEnd w:id="2544"/>
      <w:bookmarkEnd w:id="2545"/>
      <w:bookmarkEnd w:id="2546"/>
    </w:p>
    <w:p w:rsidR="00F4654E" w:rsidRDefault="00F4654E">
      <w:pPr>
        <w:pStyle w:val="2"/>
      </w:pPr>
      <w:bookmarkStart w:id="2547" w:name="_Toc10731359"/>
      <w:bookmarkStart w:id="2548" w:name="_Toc11032258"/>
      <w:bookmarkStart w:id="2549" w:name="_Toc11390410"/>
      <w:bookmarkStart w:id="2550" w:name="_Toc11937631"/>
      <w:r>
        <w:t>Кузьмич Р.Г., Кузьмич О.В.</w:t>
      </w:r>
      <w:bookmarkEnd w:id="2547"/>
      <w:bookmarkEnd w:id="2548"/>
      <w:bookmarkEnd w:id="2549"/>
      <w:bookmarkEnd w:id="2550"/>
    </w:p>
    <w:p w:rsidR="00F4654E" w:rsidRDefault="00F4654E">
      <w:pPr>
        <w:pStyle w:val="a5"/>
      </w:pPr>
      <w:r>
        <w:t>Витебская государственная академия ветеринарной медицины</w:t>
      </w:r>
    </w:p>
    <w:p w:rsidR="00F4654E" w:rsidRDefault="00F4654E">
      <w:pPr>
        <w:pStyle w:val="a6"/>
      </w:pPr>
      <w:r>
        <w:t>Заболевания молочной железы у коров представляют собой актуал</w:t>
      </w:r>
      <w:r>
        <w:t>ь</w:t>
      </w:r>
      <w:r>
        <w:t>ную хозяйственно-экономическую проблему во многих странах мира с и</w:t>
      </w:r>
      <w:r>
        <w:t>н</w:t>
      </w:r>
      <w:r>
        <w:t>тенсивным молочным скотоводством. Поражения вымени широко распр</w:t>
      </w:r>
      <w:r>
        <w:t>о</w:t>
      </w:r>
      <w:r>
        <w:t>странены и причиняют животноводству большой экономический ущерб. Они обусловливают огромные потери за счет снижения молочной проду</w:t>
      </w:r>
      <w:r>
        <w:t>к</w:t>
      </w:r>
      <w:r>
        <w:t>тивности, ограничения сроков продуктивного использования коров, уху</w:t>
      </w:r>
      <w:r>
        <w:t>д</w:t>
      </w:r>
      <w:r>
        <w:t>шения качества молока и молочных продуктов. Среди различных забол</w:t>
      </w:r>
      <w:r>
        <w:t>е</w:t>
      </w:r>
      <w:r>
        <w:t>ваний и функциональных расстройств вымени особое место занимают ма</w:t>
      </w:r>
      <w:r>
        <w:t>с</w:t>
      </w:r>
      <w:r>
        <w:t>титы.</w:t>
      </w:r>
    </w:p>
    <w:p w:rsidR="00F4654E" w:rsidRDefault="00F4654E">
      <w:pPr>
        <w:pStyle w:val="a6"/>
      </w:pPr>
      <w:r>
        <w:t>Процент поражения коров маститами в различных странах мира к</w:t>
      </w:r>
      <w:r>
        <w:t>о</w:t>
      </w:r>
      <w:r>
        <w:t>леблется в пределах от 19 до 40 %. В хозяйствах Республики Беларусь ст</w:t>
      </w:r>
      <w:r>
        <w:t>е</w:t>
      </w:r>
      <w:r>
        <w:t>пень заболевания коров маститом также находится на высоком уровне. Однако этому вопросу уделяется недостаточно внимания. В республике не существует серьезной программы по борьбе с маститом коров.</w:t>
      </w:r>
    </w:p>
    <w:p w:rsidR="00F4654E" w:rsidRDefault="00F4654E">
      <w:pPr>
        <w:pStyle w:val="a6"/>
      </w:pPr>
      <w:r>
        <w:t>Определенная работа в этом направлении проводится в Брестской о</w:t>
      </w:r>
      <w:r>
        <w:t>б</w:t>
      </w:r>
      <w:r>
        <w:t>ласти. Организованы целенаправленные мероприятия по ранней диагн</w:t>
      </w:r>
      <w:r>
        <w:t>о</w:t>
      </w:r>
      <w:r>
        <w:t>стике, профилактике и лечению мастита у коров. В хозяйствах этой обла</w:t>
      </w:r>
      <w:r>
        <w:t>с</w:t>
      </w:r>
      <w:r>
        <w:t>ти мы и проводили научно-исследовательскую работу. Было изучено с</w:t>
      </w:r>
      <w:r>
        <w:t>о</w:t>
      </w:r>
      <w:r>
        <w:t>держание количества соматических клеток в молоке и определена завис</w:t>
      </w:r>
      <w:r>
        <w:t>и</w:t>
      </w:r>
      <w:r>
        <w:t xml:space="preserve">мость между их количеством и степенью заболеваемости коров маститом. Всего исследовано 13702 коровы в хозяйствах всех районов области. </w:t>
      </w:r>
    </w:p>
    <w:p w:rsidR="00F4654E" w:rsidRDefault="00F4654E">
      <w:pPr>
        <w:pStyle w:val="a6"/>
      </w:pPr>
      <w:r>
        <w:t>Установлено, что у 65,2 % коров количество соматических клеток с</w:t>
      </w:r>
      <w:r>
        <w:t>о</w:t>
      </w:r>
      <w:r>
        <w:t>ставляет ниже 500000 в одном миллилитре, у 15,1 % - их количество сост</w:t>
      </w:r>
      <w:r>
        <w:t>а</w:t>
      </w:r>
      <w:r>
        <w:t>вило от 500000 до 1000000 и у 19,7 % - свыше 1000000. В результате тре</w:t>
      </w:r>
      <w:r>
        <w:t>х</w:t>
      </w:r>
      <w:r>
        <w:t>летних исследований молочных стад на заболеваемость маститом мы в</w:t>
      </w:r>
      <w:r>
        <w:t>ы</w:t>
      </w:r>
      <w:r>
        <w:t xml:space="preserve">яснили, что при среднем содержании соматических клеток – 300 тыс/мл </w:t>
      </w:r>
      <w:r>
        <w:lastRenderedPageBreak/>
        <w:t>маститом болели 12,8 % коров, 500 тыс/мл – 19,7 %, от 500 до 1000 тыс/мл – 29,1 % и более 1000 тыс/мл – 45,8 %.</w:t>
      </w:r>
    </w:p>
    <w:p w:rsidR="00F4654E" w:rsidRDefault="00F4654E">
      <w:pPr>
        <w:pStyle w:val="a6"/>
      </w:pPr>
      <w:r>
        <w:t>Установлено, что клиническая форма мастита регистрируется относ</w:t>
      </w:r>
      <w:r>
        <w:t>и</w:t>
      </w:r>
      <w:r>
        <w:t>тельно редко. Основное количество маститов приходится на субклинич</w:t>
      </w:r>
      <w:r>
        <w:t>е</w:t>
      </w:r>
      <w:r>
        <w:t>скую форму. У коров, в молоке которых содержится от 500000 до 1000000 соматических клеток, диагностировали клиническую форму мастита у 10% и субклиническую – у 19,1 %. Клиническая форма мастита у коров, в м</w:t>
      </w:r>
      <w:r>
        <w:t>о</w:t>
      </w:r>
      <w:r>
        <w:t>локе которых содержалось 1000000 соматических клеток и более, была з</w:t>
      </w:r>
      <w:r>
        <w:t>а</w:t>
      </w:r>
      <w:r>
        <w:t xml:space="preserve">регистрирована у 15,2 %, а субклиническая – у 30, 6 %. </w:t>
      </w:r>
    </w:p>
    <w:p w:rsidR="00F4654E" w:rsidRDefault="00F4654E">
      <w:pPr>
        <w:pStyle w:val="a6"/>
      </w:pPr>
      <w:r>
        <w:t>Выявлена определенная зависимость между увеличением количества соматических клеток в молоке и молочной продуктивностью. При колич</w:t>
      </w:r>
      <w:r>
        <w:t>е</w:t>
      </w:r>
      <w:r>
        <w:t>стве соматических клеток 500000 молочная продуктивность снижалась на 7 %, до 1000000 – на 15,3 %, более 1000000 – на 19,5 % (на 1 животное).</w:t>
      </w:r>
    </w:p>
    <w:p w:rsidR="00F4654E" w:rsidRDefault="00F4654E">
      <w:pPr>
        <w:pStyle w:val="a6"/>
      </w:pPr>
      <w:r>
        <w:t>Практика показала, что наиболее раннее выявление скрытых форм воспаления в молочной железе коров возможно проведением подсчета к</w:t>
      </w:r>
      <w:r>
        <w:t>о</w:t>
      </w:r>
      <w:r>
        <w:t>личества соматических клеток в молоке (секрете). Однако существуют з</w:t>
      </w:r>
      <w:r>
        <w:t>а</w:t>
      </w:r>
      <w:r>
        <w:t>трудн</w:t>
      </w:r>
      <w:r>
        <w:t>е</w:t>
      </w:r>
      <w:r>
        <w:t>ния при дифференциации субклинического мастита от раздражения вымени (нарушение секреции). Это не дает возможности более эффекти</w:t>
      </w:r>
      <w:r>
        <w:t>в</w:t>
      </w:r>
      <w:r>
        <w:t>но организовывать и проводить лечебные и профилактические меропри</w:t>
      </w:r>
      <w:r>
        <w:t>я</w:t>
      </w:r>
      <w:r>
        <w:t>тия.</w:t>
      </w:r>
    </w:p>
    <w:p w:rsidR="00F4654E" w:rsidRDefault="00F4654E">
      <w:pPr>
        <w:pStyle w:val="a6"/>
      </w:pPr>
      <w:r>
        <w:t>В литературе имеется достаточно сведений о применении лазера при акушерской и гинекологической патологии у людей и животных (Г.Г. Джкебелава, Ц.Е. Дидя, М.М. Бакрадзе, 1984 ; Н.И. Штельмах, С.М. Ф</w:t>
      </w:r>
      <w:r>
        <w:t>и</w:t>
      </w:r>
      <w:r>
        <w:t>липпова, 1981; И.М. Побединский и др., 1987; А.С. Крюк и др., 1986; К.И. Малевич, П.С. Русакевич, 1992; В.П. Иноземцев, И.И. Балковой,1998; В.П. Иноземцев, 2000). Анализируя научные сообщения по этой проблеме мо</w:t>
      </w:r>
      <w:r>
        <w:t>ж</w:t>
      </w:r>
      <w:r>
        <w:t>но отметить о недостаточной изученности вопросов диагностики, проф</w:t>
      </w:r>
      <w:r>
        <w:t>и</w:t>
      </w:r>
      <w:r>
        <w:t>лактики и терапии при мастите у коров с использованием лазера.</w:t>
      </w:r>
    </w:p>
    <w:p w:rsidR="00F4654E" w:rsidRDefault="00F4654E">
      <w:pPr>
        <w:pStyle w:val="a6"/>
      </w:pPr>
      <w:r>
        <w:t>Решение вопроса повышения эффективности диагностики, профила</w:t>
      </w:r>
      <w:r>
        <w:t>к</w:t>
      </w:r>
      <w:r>
        <w:t>тики и лечения при этой патологии у коров представляется возможным и</w:t>
      </w:r>
      <w:r>
        <w:t>с</w:t>
      </w:r>
      <w:r>
        <w:t>пользуя лазерное облучение. Нами проведена работа по изучению влияния лазерного излучения на функциональное состояние молочной железы у коров во время лактации в норме,  и при субклиническом мастите с и</w:t>
      </w:r>
      <w:r>
        <w:t>с</w:t>
      </w:r>
      <w:r>
        <w:t>пользованием лазерного аппарата «ЛЮЗАР – МП».</w:t>
      </w:r>
    </w:p>
    <w:p w:rsidR="00F4654E" w:rsidRDefault="00F4654E">
      <w:pPr>
        <w:pStyle w:val="a6"/>
      </w:pPr>
      <w:r>
        <w:t>С диагностической целью воздействовали лазером на молочную жел</w:t>
      </w:r>
      <w:r>
        <w:t>е</w:t>
      </w:r>
      <w:r>
        <w:t>зу в различных диапазонах и экспозициях. Клиническим методом было у</w:t>
      </w:r>
      <w:r>
        <w:t>с</w:t>
      </w:r>
      <w:r>
        <w:t>тановлено, что у коров, больных субклиническим маститом отмечалось обострение воспалительного процесса при использовании лазера мощн</w:t>
      </w:r>
      <w:r>
        <w:t>о</w:t>
      </w:r>
      <w:r>
        <w:t xml:space="preserve">стью 25 мВт с длиной волны 0,78 мкм, экспозицией 6 минут, интервалом 24 часа (3 процедуры), которое проявлялось катаральным воспалением. У коров с нарушением секреции молочной железы клинические признаки воспаления не выявлялись. Это говорит о том, что данные показатели </w:t>
      </w:r>
      <w:r>
        <w:lastRenderedPageBreak/>
        <w:t>можно использовать при дифференциальной диагностике субклинического мастита от нарушения секреции молочной железы.</w:t>
      </w:r>
    </w:p>
    <w:p w:rsidR="00F4654E" w:rsidRDefault="00F4654E">
      <w:pPr>
        <w:pStyle w:val="a6"/>
      </w:pPr>
      <w:r>
        <w:t>Применение новых лечебных и диагностических препаратов, сове</w:t>
      </w:r>
      <w:r>
        <w:t>р</w:t>
      </w:r>
      <w:r>
        <w:t>шенствование техники машинного доения в настоящее время не дает ж</w:t>
      </w:r>
      <w:r>
        <w:t>е</w:t>
      </w:r>
      <w:r>
        <w:t xml:space="preserve">лаемых результатов в профилактике и лечении  маститов. </w:t>
      </w:r>
      <w:r>
        <w:rPr>
          <w:caps/>
        </w:rPr>
        <w:t>в</w:t>
      </w:r>
      <w:r>
        <w:t>о многие пр</w:t>
      </w:r>
      <w:r>
        <w:t>е</w:t>
      </w:r>
      <w:r>
        <w:t>параты включены гормональные компоненты и антибиотики, обладающие ксенобиотическим действием. Все это осложняет экологическую обст</w:t>
      </w:r>
      <w:r>
        <w:t>а</w:t>
      </w:r>
      <w:r>
        <w:t>новку.</w:t>
      </w:r>
    </w:p>
    <w:p w:rsidR="00F4654E" w:rsidRDefault="00F4654E">
      <w:pPr>
        <w:pStyle w:val="a6"/>
      </w:pPr>
      <w:r>
        <w:t xml:space="preserve"> Поэтому большой научный и хозяйственно-экономический интерес представляет использование лазеротерапии в ветеринарном акушерстве, в том числе и при лечении коров, больных маститом. Механизм действия л</w:t>
      </w:r>
      <w:r>
        <w:t>а</w:t>
      </w:r>
      <w:r>
        <w:t>зерных лучей на организм животных при различном его патологическом состоянии еще не достаточно изучен, а это означает, что при каждой фо</w:t>
      </w:r>
      <w:r>
        <w:t>р</w:t>
      </w:r>
      <w:r>
        <w:t>ме воспалительного процесса в молочной железе необходимо использовать определенные параметры воздействия.</w:t>
      </w:r>
    </w:p>
    <w:p w:rsidR="00F4654E" w:rsidRDefault="00F4654E">
      <w:pPr>
        <w:pStyle w:val="a6"/>
      </w:pPr>
      <w:r>
        <w:t>Мы изучили эффективность лазеротерапии с использованием внутр</w:t>
      </w:r>
      <w:r>
        <w:t>и</w:t>
      </w:r>
      <w:r>
        <w:t>венного и транскутанного (надвенного) облучения при серозном мастите у коров с целью выяснения оптимальных параметров воздействия. Серозный мастит выбран не случайно. Это связано с тем, что по данным многих а</w:t>
      </w:r>
      <w:r>
        <w:t>в</w:t>
      </w:r>
      <w:r>
        <w:t>торов серозный мастит, в большинстве случаев, не микробного происхо</w:t>
      </w:r>
      <w:r>
        <w:t>ж</w:t>
      </w:r>
      <w:r>
        <w:t>дения, а основной причиной его возникновения является стрессовое с</w:t>
      </w:r>
      <w:r>
        <w:t>о</w:t>
      </w:r>
      <w:r>
        <w:t>стояние организма, что дает показания для физиотерапии.</w:t>
      </w:r>
    </w:p>
    <w:p w:rsidR="00F4654E" w:rsidRDefault="00F4654E">
      <w:pPr>
        <w:pStyle w:val="a6"/>
      </w:pPr>
      <w:r>
        <w:t>С этой целью были сформированы две группы коров, больных серо</w:t>
      </w:r>
      <w:r>
        <w:t>з</w:t>
      </w:r>
      <w:r>
        <w:t>ным маститом. Животным первой группы проводили внутривенное лазе</w:t>
      </w:r>
      <w:r>
        <w:t>р</w:t>
      </w:r>
      <w:r>
        <w:t>ное облучение крови в молочной вене по следующей схеме: мощность л</w:t>
      </w:r>
      <w:r>
        <w:t>а</w:t>
      </w:r>
      <w:r>
        <w:t xml:space="preserve">зерного излучения 25 мВт, длина волны 0,78 мкм, экспозиция 5, 10, 15 и 20 минут  с интервалом 24 часа. </w:t>
      </w:r>
    </w:p>
    <w:p w:rsidR="00F4654E" w:rsidRDefault="00F4654E">
      <w:pPr>
        <w:pStyle w:val="a6"/>
      </w:pPr>
      <w:r>
        <w:t>Коровам второй группы проводили транскутанное облучение крови в области молочной вены по такой же схеме, как и животным первой гру</w:t>
      </w:r>
      <w:r>
        <w:t>п</w:t>
      </w:r>
      <w:r>
        <w:t>пы. За животными обеих групп вели клиническое наблюдение. Определяли температуру тела, пульс, частоту дыхания и сокращения рубца, а так же состояние молочной железы (симметричность, местная температура, б</w:t>
      </w:r>
      <w:r>
        <w:t>о</w:t>
      </w:r>
      <w:r>
        <w:t>лезненность, консистенция, характер секрета). На основании клинических признаков и пробы с бромтимоловым синим устанавливали сроки насту</w:t>
      </w:r>
      <w:r>
        <w:t>п</w:t>
      </w:r>
      <w:r>
        <w:t xml:space="preserve">ления клинического выздоровления. </w:t>
      </w:r>
    </w:p>
    <w:p w:rsidR="00F4654E" w:rsidRDefault="00F4654E">
      <w:pPr>
        <w:pStyle w:val="a6"/>
      </w:pPr>
      <w:r>
        <w:t>Анализ полученных данных позволяет судить о том, что самая выс</w:t>
      </w:r>
      <w:r>
        <w:t>о</w:t>
      </w:r>
      <w:r>
        <w:t>кая терапевтическая эффективность получена от применения лазерных л</w:t>
      </w:r>
      <w:r>
        <w:t>у</w:t>
      </w:r>
      <w:r>
        <w:t>чей мощностью 25 мВт, длиной волны 0,75 мкм, экспозицией 20 минут при внутривенном облучении крови в молочной вене. Терапевтическая эффе</w:t>
      </w:r>
      <w:r>
        <w:t>к</w:t>
      </w:r>
      <w:r>
        <w:t>тивность при транскутанном воздействии достоверно ниже.</w:t>
      </w:r>
    </w:p>
    <w:p w:rsidR="00F4654E" w:rsidRDefault="00F4654E">
      <w:pPr>
        <w:pStyle w:val="a6"/>
      </w:pPr>
      <w:r>
        <w:t>При внутривенном облучении, у животных уже на второй день сн</w:t>
      </w:r>
      <w:r>
        <w:t>и</w:t>
      </w:r>
      <w:r>
        <w:t>жалась болевая реакция и местная температура, что, по-видимому, спосо</w:t>
      </w:r>
      <w:r>
        <w:t>б</w:t>
      </w:r>
      <w:r>
        <w:t xml:space="preserve">ствовало восстановлению трофической функции тканей в патологическом </w:t>
      </w:r>
      <w:r>
        <w:lastRenderedPageBreak/>
        <w:t>очаге и наступлению быстрого выздоровления. Изучение этого предпол</w:t>
      </w:r>
      <w:r>
        <w:t>о</w:t>
      </w:r>
      <w:r>
        <w:t>жения мы будем проводить в дальнейших наших исследованиях.</w:t>
      </w:r>
    </w:p>
    <w:p w:rsidR="00F4654E" w:rsidRDefault="00F4654E">
      <w:pPr>
        <w:pStyle w:val="a4"/>
      </w:pPr>
      <w:r>
        <w:t>УДК 619:616.98:578.833:636.4:579.843.95</w:t>
      </w:r>
    </w:p>
    <w:p w:rsidR="00F4654E" w:rsidRDefault="00F4654E">
      <w:pPr>
        <w:pStyle w:val="1"/>
      </w:pPr>
      <w:bookmarkStart w:id="2551" w:name="_Toc10731362"/>
      <w:bookmarkStart w:id="2552" w:name="_Toc11390411"/>
      <w:bookmarkStart w:id="2553" w:name="_Toc11840094"/>
      <w:bookmarkStart w:id="2554" w:name="_Toc11937632"/>
      <w:r>
        <w:t>Смешанное течение РРСС и пастереллеза в экспериментальных условиях</w:t>
      </w:r>
      <w:bookmarkEnd w:id="2551"/>
      <w:bookmarkEnd w:id="2552"/>
      <w:bookmarkEnd w:id="2553"/>
      <w:bookmarkEnd w:id="2554"/>
    </w:p>
    <w:p w:rsidR="00F4654E" w:rsidRDefault="00F4654E">
      <w:pPr>
        <w:pStyle w:val="2"/>
      </w:pPr>
      <w:bookmarkStart w:id="2555" w:name="_Toc10731363"/>
      <w:bookmarkStart w:id="2556" w:name="_Toc11032259"/>
      <w:bookmarkStart w:id="2557" w:name="_Toc11390412"/>
      <w:bookmarkStart w:id="2558" w:name="_Toc11937633"/>
      <w:r>
        <w:t xml:space="preserve">Кукушкин С.А., Курман И.Я., Байбиков Т.З., Баборенко Е.П., </w:t>
      </w:r>
      <w:r>
        <w:br/>
        <w:t>Ковалишин В.Ф., Шадрова Н.Б.</w:t>
      </w:r>
      <w:bookmarkEnd w:id="2555"/>
      <w:bookmarkEnd w:id="2556"/>
      <w:bookmarkEnd w:id="2557"/>
      <w:bookmarkEnd w:id="2558"/>
    </w:p>
    <w:p w:rsidR="00F4654E" w:rsidRDefault="00F4654E">
      <w:pPr>
        <w:pStyle w:val="a5"/>
      </w:pPr>
      <w:r>
        <w:t>Всероссийский  научно-исследовательский институт защиты животных</w:t>
      </w:r>
    </w:p>
    <w:p w:rsidR="00F4654E" w:rsidRDefault="00F4654E">
      <w:pPr>
        <w:pStyle w:val="a6"/>
      </w:pPr>
      <w:r>
        <w:t>РРСС представляет собой высококонтагиозную вирусную болезнь, характеризующуюся поздними абортами, преждевременными родами, прохолостами свиноматок, рождением мертвых, мумифицированных, н</w:t>
      </w:r>
      <w:r>
        <w:t>е</w:t>
      </w:r>
      <w:r>
        <w:t>жизнеспособных поросят, гибелью новорожденных поросят и поражением органов дыхания. Болезнь широко распространена в Северной Америке, Европе, а также регистрируется в ряде стран Южной Америки и Юго-Восточной Азии (Christianson W.T., Joo H.S.,1994; Albina E.,1997;1998). В России РРСС официально зарегистрирован в 1993 году (В.А. Мищенко и др.,1994-1996; А.Г. Шахов и др.,1999).</w:t>
      </w:r>
    </w:p>
    <w:p w:rsidR="00F4654E" w:rsidRDefault="00F4654E">
      <w:pPr>
        <w:pStyle w:val="a6"/>
      </w:pPr>
      <w:r>
        <w:t>Рядом исследователей (Joo H.S. et al.,1992; Gordon S.C.,1992; Blaha T.,1992; В.А. Мищенко,1995) установлено, что вирус РРСС обладает и</w:t>
      </w:r>
      <w:r>
        <w:t>м</w:t>
      </w:r>
      <w:r>
        <w:t>муносупрессивными свойствами. Это связано с тем, что клетками-мишенями вируса РРСС являются альвеолярные макрофаги. После инф</w:t>
      </w:r>
      <w:r>
        <w:t>и</w:t>
      </w:r>
      <w:r>
        <w:t>цирования у свиней снижается количество макрофагов, лимфоцитов и м</w:t>
      </w:r>
      <w:r>
        <w:t>о</w:t>
      </w:r>
      <w:r>
        <w:t>ноцитов. Все это создает предпосылки для возникновения вторичных в</w:t>
      </w:r>
      <w:r>
        <w:t>и</w:t>
      </w:r>
      <w:r>
        <w:t xml:space="preserve">русных или бактериальных инфекций (В.А. Мищенко,1995). </w:t>
      </w:r>
    </w:p>
    <w:p w:rsidR="00F4654E" w:rsidRDefault="00F4654E">
      <w:pPr>
        <w:pStyle w:val="a6"/>
      </w:pPr>
      <w:r>
        <w:t>В литературе сообщалось о смешанном течении РРСС с такими в</w:t>
      </w:r>
      <w:r>
        <w:t>и</w:t>
      </w:r>
      <w:r>
        <w:t>русными и бактериальными инфекциями, как классическая чума свиней (КЧС), грипп, пастереллез, гемофилез и др. (L. Carvalho et al.,1997; G. Salano et al., 1997; Т.З. Байбиков и др., 1998; С.А. Кукушкин и др.,1999,2000). Однако, в большинстве из имеющихся сообщений опис</w:t>
      </w:r>
      <w:r>
        <w:t>ы</w:t>
      </w:r>
      <w:r>
        <w:t>вается ассоциативное течение РРСС с другими инфекциями в условиях х</w:t>
      </w:r>
      <w:r>
        <w:t>о</w:t>
      </w:r>
      <w:r>
        <w:t>зяйств и лишь в отдельных из них – в условиях лабораторного экспериме</w:t>
      </w:r>
      <w:r>
        <w:t>н</w:t>
      </w:r>
      <w:r>
        <w:t>та.</w:t>
      </w:r>
    </w:p>
    <w:p w:rsidR="00F4654E" w:rsidRDefault="00F4654E">
      <w:pPr>
        <w:pStyle w:val="a6"/>
      </w:pPr>
      <w:r>
        <w:t>Целью наших исследований являлось изучение смешанного течения РРСС и пастереллеза в экспериментальных условиях.</w:t>
      </w:r>
    </w:p>
    <w:p w:rsidR="00F4654E" w:rsidRDefault="00F4654E">
      <w:pPr>
        <w:pStyle w:val="a6"/>
      </w:pPr>
      <w:r>
        <w:t>Для проведения эксперимента в одном из хозяйств Владимирской о</w:t>
      </w:r>
      <w:r>
        <w:t>б</w:t>
      </w:r>
      <w:r>
        <w:t>ласти, неблагополучном по пастереллезу, были закуплены восемь поросят 2-месячного возраста. В этом хозяйстве пастереллез протекал в острой форме, в органах павших и вынужденно убитых поросят  был обнаружен геном Pasteurella multocida. Вирусологическими и серологическими иссл</w:t>
      </w:r>
      <w:r>
        <w:t>е</w:t>
      </w:r>
      <w:r>
        <w:t>довани</w:t>
      </w:r>
      <w:r>
        <w:t>я</w:t>
      </w:r>
      <w:r>
        <w:t>ми были исключены РРСС, болезнь Ауески, грипп, энзоотическая пневмония (микоплазмоз). Специфическую профилактику и лечение па</w:t>
      </w:r>
      <w:r>
        <w:t>с</w:t>
      </w:r>
      <w:r>
        <w:lastRenderedPageBreak/>
        <w:t>тереллеза в хозяйстве не проводили. У поросят, приобретенных для эксп</w:t>
      </w:r>
      <w:r>
        <w:t>е</w:t>
      </w:r>
      <w:r>
        <w:t>римента, на момент покупки клиническая картина заболевания не набл</w:t>
      </w:r>
      <w:r>
        <w:t>ю</w:t>
      </w:r>
      <w:r>
        <w:t xml:space="preserve">далась. </w:t>
      </w:r>
    </w:p>
    <w:p w:rsidR="00F4654E" w:rsidRDefault="00F4654E">
      <w:pPr>
        <w:pStyle w:val="a6"/>
      </w:pPr>
      <w:r>
        <w:t>Спустя неделю после постановки этих животных в виварий института у них стали отмечать угнетение, кашель, однако аппетит и температура т</w:t>
      </w:r>
      <w:r>
        <w:t>е</w:t>
      </w:r>
      <w:r>
        <w:t>ла оставались в пределах нормы (39.0-39.7</w:t>
      </w:r>
      <w:r>
        <w:rPr>
          <w:vertAlign w:val="superscript"/>
        </w:rPr>
        <w:t>0</w:t>
      </w:r>
      <w:r>
        <w:t>С). За животными вели набл</w:t>
      </w:r>
      <w:r>
        <w:t>ю</w:t>
      </w:r>
      <w:r>
        <w:t>дение в течение двух месяцев. Спустя месяц у шести поросят из восьми клинические признаки заболевания угасли и лишь у двух животных отм</w:t>
      </w:r>
      <w:r>
        <w:t>е</w:t>
      </w:r>
      <w:r>
        <w:t>чали периодический кашель, температура тела за этот период не повыш</w:t>
      </w:r>
      <w:r>
        <w:t>а</w:t>
      </w:r>
      <w:r>
        <w:t>лась.</w:t>
      </w:r>
      <w:r w:rsidR="0001153D">
        <w:t xml:space="preserve"> </w:t>
      </w:r>
      <w:r>
        <w:t>Через 50 суток после проявления вышеописанных клинических пр</w:t>
      </w:r>
      <w:r>
        <w:t>и</w:t>
      </w:r>
      <w:r>
        <w:t>знаков эти подсвинки были заражены вирулентным вирусом РРСС, изолят «Белорусский-01». В эту группу в качестве контроля был введен девятый подсвинок (здоровый), который до заражения вирусом РРСС был иммун</w:t>
      </w:r>
      <w:r>
        <w:t>и</w:t>
      </w:r>
      <w:r>
        <w:t>зирован против РРСС эмульсионной инактивированной вакциной прои</w:t>
      </w:r>
      <w:r>
        <w:t>з</w:t>
      </w:r>
      <w:r>
        <w:t>водства ВНИИЗЖ.</w:t>
      </w:r>
    </w:p>
    <w:p w:rsidR="00F4654E" w:rsidRDefault="00F4654E">
      <w:pPr>
        <w:pStyle w:val="a6"/>
      </w:pPr>
      <w:r>
        <w:t>Перед заражением вирусом РРСС у подопытных подсвинков были отобраны пробы крови и сыворотки исследованы на наличие антител к Pasteurella multocida. Все пробы оказались положительными. Известно, что после переболевания пастереллезом свиньи длительное время остаются микробоносителями с непродолжительным периодом невосприимчивости к повторному заражению (И.Н. Гладенко и др.,1</w:t>
      </w:r>
      <w:r w:rsidR="0001153D">
        <w:t xml:space="preserve">981; И.А. Бакулов и др.,1987). В </w:t>
      </w:r>
      <w:r>
        <w:t>качестве контроля другая группа из 4 здоровых поросят анал</w:t>
      </w:r>
      <w:r>
        <w:t>о</w:t>
      </w:r>
      <w:r>
        <w:t>гичного возраста была также заражена этим изолятом вируса РРСС и с</w:t>
      </w:r>
      <w:r>
        <w:t>о</w:t>
      </w:r>
      <w:r>
        <w:t>держалась в другом изолированном помещении.</w:t>
      </w:r>
    </w:p>
    <w:p w:rsidR="00F4654E" w:rsidRPr="0001153D" w:rsidRDefault="00F4654E">
      <w:pPr>
        <w:pStyle w:val="a6"/>
        <w:rPr>
          <w:spacing w:val="-2"/>
        </w:rPr>
      </w:pPr>
      <w:r w:rsidRPr="0001153D">
        <w:rPr>
          <w:spacing w:val="-2"/>
        </w:rPr>
        <w:t>Наблюдения за животными показали, что через 2-5 суток после зар</w:t>
      </w:r>
      <w:r w:rsidRPr="0001153D">
        <w:rPr>
          <w:spacing w:val="-2"/>
        </w:rPr>
        <w:t>а</w:t>
      </w:r>
      <w:r w:rsidRPr="0001153D">
        <w:rPr>
          <w:spacing w:val="-2"/>
        </w:rPr>
        <w:t>жения вирусом РРСС у сероположительных в отношении пастереллеза по</w:t>
      </w:r>
      <w:r w:rsidRPr="0001153D">
        <w:rPr>
          <w:spacing w:val="-2"/>
        </w:rPr>
        <w:t>д</w:t>
      </w:r>
      <w:r w:rsidRPr="0001153D">
        <w:rPr>
          <w:spacing w:val="-2"/>
        </w:rPr>
        <w:t>свинков отмечали подъем температуры тела до 40.6-41.6</w:t>
      </w:r>
      <w:r w:rsidRPr="0001153D">
        <w:rPr>
          <w:spacing w:val="-2"/>
          <w:vertAlign w:val="superscript"/>
        </w:rPr>
        <w:t>0</w:t>
      </w:r>
      <w:r w:rsidRPr="0001153D">
        <w:rPr>
          <w:spacing w:val="-2"/>
        </w:rPr>
        <w:t>С, угнетение. В т</w:t>
      </w:r>
      <w:r w:rsidRPr="0001153D">
        <w:rPr>
          <w:spacing w:val="-2"/>
        </w:rPr>
        <w:t>е</w:t>
      </w:r>
      <w:r w:rsidRPr="0001153D">
        <w:rPr>
          <w:spacing w:val="-2"/>
        </w:rPr>
        <w:t>чение последующих 11-21 суток  у них наблюдали гипертермию до 42.1</w:t>
      </w:r>
      <w:r w:rsidRPr="0001153D">
        <w:rPr>
          <w:spacing w:val="-2"/>
          <w:vertAlign w:val="superscript"/>
        </w:rPr>
        <w:t>0</w:t>
      </w:r>
      <w:r w:rsidRPr="0001153D">
        <w:rPr>
          <w:spacing w:val="-2"/>
        </w:rPr>
        <w:t>С, понижение или отсутствие аппетита, конъюнктивит, кашель, кр</w:t>
      </w:r>
      <w:r w:rsidRPr="0001153D">
        <w:rPr>
          <w:spacing w:val="-2"/>
        </w:rPr>
        <w:t>о</w:t>
      </w:r>
      <w:r w:rsidRPr="0001153D">
        <w:rPr>
          <w:spacing w:val="-2"/>
        </w:rPr>
        <w:t>вотечения из носа, залеживание, поносы у части животных. Из 8 зараженных живо</w:t>
      </w:r>
      <w:r w:rsidRPr="0001153D">
        <w:rPr>
          <w:spacing w:val="-2"/>
        </w:rPr>
        <w:t>т</w:t>
      </w:r>
      <w:r w:rsidRPr="0001153D">
        <w:rPr>
          <w:spacing w:val="-2"/>
        </w:rPr>
        <w:t>ных 3 пали на 18, 19 и 21 сутки. Необходимо отметить, что у подсвинка, вакцинированного против РРСС, также отмечали описанные признаки, о</w:t>
      </w:r>
      <w:r w:rsidRPr="0001153D">
        <w:rPr>
          <w:spacing w:val="-2"/>
        </w:rPr>
        <w:t>д</w:t>
      </w:r>
      <w:r w:rsidRPr="0001153D">
        <w:rPr>
          <w:spacing w:val="-2"/>
        </w:rPr>
        <w:t>нако их и</w:t>
      </w:r>
      <w:r w:rsidRPr="0001153D">
        <w:rPr>
          <w:spacing w:val="-2"/>
        </w:rPr>
        <w:t>н</w:t>
      </w:r>
      <w:r w:rsidRPr="0001153D">
        <w:rPr>
          <w:spacing w:val="-2"/>
        </w:rPr>
        <w:t>тенсивность была менее выражена (гипертермия – 4-14 сутки с максимальным значением 41.7</w:t>
      </w:r>
      <w:r w:rsidRPr="0001153D">
        <w:rPr>
          <w:spacing w:val="-2"/>
          <w:vertAlign w:val="superscript"/>
        </w:rPr>
        <w:t>0</w:t>
      </w:r>
      <w:r w:rsidRPr="0001153D">
        <w:rPr>
          <w:spacing w:val="-2"/>
        </w:rPr>
        <w:t>С на 8 сутки, кашель - 11-14 сутки, вызд</w:t>
      </w:r>
      <w:r w:rsidRPr="0001153D">
        <w:rPr>
          <w:spacing w:val="-2"/>
        </w:rPr>
        <w:t>о</w:t>
      </w:r>
      <w:r w:rsidRPr="0001153D">
        <w:rPr>
          <w:spacing w:val="-2"/>
        </w:rPr>
        <w:t>ровление на 15 сутки после заражения). При патологоанатомическом вскр</w:t>
      </w:r>
      <w:r w:rsidRPr="0001153D">
        <w:rPr>
          <w:spacing w:val="-2"/>
        </w:rPr>
        <w:t>ы</w:t>
      </w:r>
      <w:r w:rsidRPr="0001153D">
        <w:rPr>
          <w:spacing w:val="-2"/>
        </w:rPr>
        <w:t>тии вынужденно убитых и павших поросят отмечали фи</w:t>
      </w:r>
      <w:r w:rsidRPr="0001153D">
        <w:rPr>
          <w:spacing w:val="-2"/>
        </w:rPr>
        <w:t>б</w:t>
      </w:r>
      <w:r w:rsidRPr="0001153D">
        <w:rPr>
          <w:spacing w:val="-2"/>
        </w:rPr>
        <w:t>ринозно-катаральную и гнойно-катаральную пневмонии лобарного характера, гип</w:t>
      </w:r>
      <w:r w:rsidRPr="0001153D">
        <w:rPr>
          <w:spacing w:val="-2"/>
        </w:rPr>
        <w:t>е</w:t>
      </w:r>
      <w:r w:rsidRPr="0001153D">
        <w:rPr>
          <w:spacing w:val="-2"/>
        </w:rPr>
        <w:t>ремию бронхиальных лимфоузлов, дистрофию сердечной мы</w:t>
      </w:r>
      <w:r w:rsidRPr="0001153D">
        <w:rPr>
          <w:spacing w:val="-2"/>
        </w:rPr>
        <w:t>ш</w:t>
      </w:r>
      <w:r w:rsidRPr="0001153D">
        <w:rPr>
          <w:spacing w:val="-2"/>
        </w:rPr>
        <w:t xml:space="preserve">цы, у части животных хронический плеврит, катарально-геморрагический колит.      </w:t>
      </w:r>
    </w:p>
    <w:p w:rsidR="00F4654E" w:rsidRDefault="00F4654E">
      <w:pPr>
        <w:pStyle w:val="a6"/>
      </w:pPr>
      <w:r>
        <w:t>Результаты наблюдений после заражения вирусом РРСС контрольной группы показали, что подъем температуры тела у них наступал на 3-6 с</w:t>
      </w:r>
      <w:r>
        <w:t>у</w:t>
      </w:r>
      <w:r>
        <w:t>тки и продолжался до 13 дня, также отмечали угнетение, одышку, ухудш</w:t>
      </w:r>
      <w:r>
        <w:t>е</w:t>
      </w:r>
      <w:r>
        <w:t xml:space="preserve">ние аппетита, конъюнктивит. Максимальные значения температуры тела </w:t>
      </w:r>
      <w:r>
        <w:lastRenderedPageBreak/>
        <w:t>не превышали 41.1-41.4</w:t>
      </w:r>
      <w:r>
        <w:rPr>
          <w:vertAlign w:val="superscript"/>
        </w:rPr>
        <w:t>0</w:t>
      </w:r>
      <w:r>
        <w:t>С. Гибели в этой группе подсвинков не отмечали. Патологоанатомическое вскрытие вынужденно убитых животных этой группы показало наличие у них эмфиземы, незначительной гиперемии ле</w:t>
      </w:r>
      <w:r>
        <w:t>г</w:t>
      </w:r>
      <w:r>
        <w:t>ких, очаговой пневмонии, гиперемии бронхиальных лимфоузлов.</w:t>
      </w:r>
    </w:p>
    <w:p w:rsidR="00F4654E" w:rsidRDefault="00F4654E">
      <w:pPr>
        <w:pStyle w:val="a6"/>
      </w:pPr>
      <w:r>
        <w:t>Результаты исследований сывороток крови, отобранных от поросят обеих групп через 15 суток после заражения, показали наличие в них в</w:t>
      </w:r>
      <w:r>
        <w:t>ы</w:t>
      </w:r>
      <w:r>
        <w:t>соких титров антител к вирусу РРСС. До заражения обе группы животных, за исключением вакцинированного подсвинка, были к вирусу РРСС сер</w:t>
      </w:r>
      <w:r>
        <w:t>о</w:t>
      </w:r>
      <w:r>
        <w:t>негативными. В пробах внутренних органов, отобранных от павших и в</w:t>
      </w:r>
      <w:r>
        <w:t>ы</w:t>
      </w:r>
      <w:r>
        <w:t>нужденно убитых подсвинков опытной группы, обнаружены геномы Pasteurella multocida и вируса РРСС. Из проб патматериала, отобранных от контрольной группы, был выделен только вирус РРСС. Лабораторное и</w:t>
      </w:r>
      <w:r>
        <w:t>с</w:t>
      </w:r>
      <w:r>
        <w:t>следование проб внутренних органов, отобранных от обеих групп, на грипп, болезнь Ауески, энзоотическую пневмонию (микоплазмоз) дало о</w:t>
      </w:r>
      <w:r>
        <w:t>т</w:t>
      </w:r>
      <w:r>
        <w:t>рицательный результат.</w:t>
      </w:r>
    </w:p>
    <w:p w:rsidR="00F4654E" w:rsidRPr="0001153D" w:rsidRDefault="00F4654E">
      <w:pPr>
        <w:pStyle w:val="a6"/>
        <w:rPr>
          <w:spacing w:val="-2"/>
        </w:rPr>
      </w:pPr>
      <w:r w:rsidRPr="0001153D">
        <w:rPr>
          <w:spacing w:val="-2"/>
        </w:rPr>
        <w:t>Таким образом, нами в экспериментальных условиях было воспроизв</w:t>
      </w:r>
      <w:r w:rsidRPr="0001153D">
        <w:rPr>
          <w:spacing w:val="-2"/>
        </w:rPr>
        <w:t>е</w:t>
      </w:r>
      <w:r w:rsidRPr="0001153D">
        <w:rPr>
          <w:spacing w:val="-2"/>
        </w:rPr>
        <w:t>дено и изучено клиническое и патологоанатомическое проявление смеша</w:t>
      </w:r>
      <w:r w:rsidRPr="0001153D">
        <w:rPr>
          <w:spacing w:val="-2"/>
        </w:rPr>
        <w:t>н</w:t>
      </w:r>
      <w:r w:rsidRPr="0001153D">
        <w:rPr>
          <w:spacing w:val="-2"/>
        </w:rPr>
        <w:t>ного течения РРСС и пастереллеза. Проведенное исследование показало, что вирус РРСС оказывает иммуносупрессорное действие, снижающее р</w:t>
      </w:r>
      <w:r w:rsidRPr="0001153D">
        <w:rPr>
          <w:spacing w:val="-2"/>
        </w:rPr>
        <w:t>е</w:t>
      </w:r>
      <w:r w:rsidRPr="0001153D">
        <w:rPr>
          <w:spacing w:val="-2"/>
        </w:rPr>
        <w:t>зистентность организма, что привело к осложнению ассоциативного теч</w:t>
      </w:r>
      <w:r w:rsidRPr="0001153D">
        <w:rPr>
          <w:spacing w:val="-2"/>
        </w:rPr>
        <w:t>е</w:t>
      </w:r>
      <w:r w:rsidRPr="0001153D">
        <w:rPr>
          <w:spacing w:val="-2"/>
        </w:rPr>
        <w:t>ния  с пастереллезом и вызвало гибель части зараженных поросят в о</w:t>
      </w:r>
      <w:r w:rsidRPr="0001153D">
        <w:rPr>
          <w:spacing w:val="-2"/>
        </w:rPr>
        <w:t>т</w:t>
      </w:r>
      <w:r w:rsidRPr="0001153D">
        <w:rPr>
          <w:spacing w:val="-2"/>
        </w:rPr>
        <w:t>личие от ж</w:t>
      </w:r>
      <w:r w:rsidRPr="0001153D">
        <w:rPr>
          <w:spacing w:val="-2"/>
        </w:rPr>
        <w:t>и</w:t>
      </w:r>
      <w:r w:rsidRPr="0001153D">
        <w:rPr>
          <w:spacing w:val="-2"/>
        </w:rPr>
        <w:t xml:space="preserve">вотных контрольной группы, зараженных только вирусом </w:t>
      </w:r>
      <w:r w:rsidR="0001153D">
        <w:rPr>
          <w:spacing w:val="-2"/>
        </w:rPr>
        <w:t xml:space="preserve"> </w:t>
      </w:r>
      <w:r w:rsidRPr="0001153D">
        <w:rPr>
          <w:spacing w:val="-2"/>
        </w:rPr>
        <w:t xml:space="preserve">РРСС. </w:t>
      </w:r>
    </w:p>
    <w:p w:rsidR="00F4654E" w:rsidRDefault="00F4654E">
      <w:pPr>
        <w:pStyle w:val="a4"/>
      </w:pPr>
      <w:r>
        <w:t>УДК 610-002.5:579.873.21+610:614.48</w:t>
      </w:r>
    </w:p>
    <w:p w:rsidR="00F4654E" w:rsidRDefault="00F4654E">
      <w:pPr>
        <w:pStyle w:val="1"/>
      </w:pPr>
      <w:bookmarkStart w:id="2559" w:name="_Toc10731364"/>
      <w:bookmarkStart w:id="2560" w:name="_Toc11390413"/>
      <w:bookmarkStart w:id="2561" w:name="_Toc11840096"/>
      <w:bookmarkStart w:id="2562" w:name="_Toc11937634"/>
      <w:r>
        <w:t>Способ определения жизнеспособности микобактерий по цитохимическим тестам</w:t>
      </w:r>
      <w:bookmarkEnd w:id="2559"/>
      <w:bookmarkEnd w:id="2560"/>
      <w:bookmarkEnd w:id="2561"/>
      <w:bookmarkEnd w:id="2562"/>
    </w:p>
    <w:p w:rsidR="00F4654E" w:rsidRDefault="00F4654E">
      <w:pPr>
        <w:pStyle w:val="2"/>
      </w:pPr>
      <w:bookmarkStart w:id="2563" w:name="_Toc10731365"/>
      <w:bookmarkStart w:id="2564" w:name="_Toc11032260"/>
      <w:bookmarkStart w:id="2565" w:name="_Toc11390414"/>
      <w:bookmarkStart w:id="2566" w:name="_Toc11937635"/>
      <w:r>
        <w:t>Куликов К.В., Жмуров Н.Г., Субботина С.Г.</w:t>
      </w:r>
      <w:bookmarkEnd w:id="2563"/>
      <w:bookmarkEnd w:id="2564"/>
      <w:bookmarkEnd w:id="2565"/>
      <w:bookmarkEnd w:id="2566"/>
    </w:p>
    <w:p w:rsidR="00F4654E" w:rsidRDefault="00F4654E">
      <w:pPr>
        <w:pStyle w:val="a5"/>
      </w:pPr>
      <w:r>
        <w:t>Воронежский государственный аграрный университет им. К.Д. Глинки</w:t>
      </w:r>
    </w:p>
    <w:p w:rsidR="00F4654E" w:rsidRDefault="00F4654E">
      <w:pPr>
        <w:pStyle w:val="a6"/>
      </w:pPr>
      <w:r>
        <w:t>Трудности диагностики туберкулёза в современных условиях, когда возросло количество больных людей и сельскохозяйственных животных, часто с латентно протекающей формой, обусловили необходимость поиска дополнительных бактериологических методов, позволяющих, наряду с другими диагностическими исследованиями, дать оценку качества спец</w:t>
      </w:r>
      <w:r>
        <w:t>и</w:t>
      </w:r>
      <w:r>
        <w:t>альных ветеринарно-санитарных мероприятий в неблагополучных по т</w:t>
      </w:r>
      <w:r>
        <w:t>у</w:t>
      </w:r>
      <w:r>
        <w:t>беркулёзу хозяйствах по выявлению, с полным охватом, общего количес</w:t>
      </w:r>
      <w:r>
        <w:t>т</w:t>
      </w:r>
      <w:r>
        <w:t>ва контаминированных объектов внешней среды и результатам обнаруж</w:t>
      </w:r>
      <w:r>
        <w:t>е</w:t>
      </w:r>
      <w:r>
        <w:t>ния на них жизнеспособных микобактерий.</w:t>
      </w:r>
    </w:p>
    <w:p w:rsidR="00F4654E" w:rsidRDefault="00F4654E">
      <w:pPr>
        <w:pStyle w:val="a6"/>
      </w:pPr>
      <w:r>
        <w:t>В доступной нам литературе мы нашли, что суспензии живых мик</w:t>
      </w:r>
      <w:r>
        <w:t>о</w:t>
      </w:r>
      <w:r>
        <w:t>бактерий вызывают обесцвечивание растворов малахитовой зелени (Вей</w:t>
      </w:r>
      <w:r>
        <w:t>с</w:t>
      </w:r>
      <w:r>
        <w:t>фейлер Ю.К. 1975) и метиленовой сини (Sula, 1947), что обусловлено во</w:t>
      </w:r>
      <w:r>
        <w:t>с</w:t>
      </w:r>
      <w:r>
        <w:t>становлением растворов этих красок ферментом дегидрогеназой. ( Dubos Retal, 1948) для определения живых вирулентных микобактерий туберк</w:t>
      </w:r>
      <w:r>
        <w:t>у</w:t>
      </w:r>
      <w:r>
        <w:lastRenderedPageBreak/>
        <w:t>лёза использовали  их окрашивание нейтральротом, так как в них соде</w:t>
      </w:r>
      <w:r>
        <w:t>р</w:t>
      </w:r>
      <w:r>
        <w:t>жатся миколовые кислоты, которые с основными анилиновыми красками образуют стойкие соединения в кислой среде. Подкисление же среды идёт за счёт разложения микобактериями туберкулёза содержащегося в пит</w:t>
      </w:r>
      <w:r>
        <w:t>а</w:t>
      </w:r>
      <w:r>
        <w:t xml:space="preserve">тельной среде 5% глицерина. </w:t>
      </w:r>
    </w:p>
    <w:p w:rsidR="00F4654E" w:rsidRDefault="00F4654E">
      <w:pPr>
        <w:pStyle w:val="a6"/>
      </w:pPr>
      <w:r>
        <w:t>Учитывая эти сообщения, нами была изучена возможность определ</w:t>
      </w:r>
      <w:r>
        <w:t>е</w:t>
      </w:r>
      <w:r>
        <w:t>ния жизнеспособности микобактерий по изменению цвета 0,01% растворов метиленовой сини, малахитового зелёного и нейтральрота, раздельно с</w:t>
      </w:r>
      <w:r>
        <w:t>о</w:t>
      </w:r>
      <w:r>
        <w:t>держащихся в 5% МПГБ, в различные сроки их инкубирования на параф</w:t>
      </w:r>
      <w:r>
        <w:t>и</w:t>
      </w:r>
      <w:r>
        <w:t>новых дисках.</w:t>
      </w:r>
    </w:p>
    <w:p w:rsidR="00F4654E" w:rsidRDefault="00F4654E">
      <w:pPr>
        <w:pStyle w:val="a6"/>
      </w:pPr>
      <w:r>
        <w:t>Материалом для исследования служили 54 культуры М. bovis, 20 культур M.avium и 6 культур M. tuberculosis, выделенные нами от живо</w:t>
      </w:r>
      <w:r>
        <w:t>т</w:t>
      </w:r>
      <w:r>
        <w:t>ных и с объектов внешней среды 5-ти хозяйств Воронежской и Липецкой областей, неблагополучных по туберкулёзу крупного рогатого скота. B к</w:t>
      </w:r>
      <w:r>
        <w:t>а</w:t>
      </w:r>
      <w:r>
        <w:t>честве контроля использовали 5 музейных штаммов (патогенные, атипи</w:t>
      </w:r>
      <w:r>
        <w:t>ч</w:t>
      </w:r>
      <w:r>
        <w:t>ные и сапрофиты). Из каждой исследуемой культуры микобактерий гот</w:t>
      </w:r>
      <w:r>
        <w:t>о</w:t>
      </w:r>
      <w:r>
        <w:t>вили бактер</w:t>
      </w:r>
      <w:r>
        <w:t>и</w:t>
      </w:r>
      <w:r>
        <w:t>альные суспензии в 3-х концентрациях: 250 млн., 500млн и 2 млрд. микробных тел/мл, которые параллельно вносили в заранее приг</w:t>
      </w:r>
      <w:r>
        <w:t>о</w:t>
      </w:r>
      <w:r>
        <w:t>товленные стерильные питательные среды накопления (5% МПГБ, с нан</w:t>
      </w:r>
      <w:r>
        <w:t>е</w:t>
      </w:r>
      <w:r>
        <w:t>сёнными на его поверхность парафиновыми дисками).</w:t>
      </w:r>
    </w:p>
    <w:p w:rsidR="00F4654E" w:rsidRDefault="00F4654E">
      <w:pPr>
        <w:pStyle w:val="a6"/>
      </w:pPr>
      <w:r>
        <w:t>Посевы инкубировали в термостате при 37,5 градусах Цельсия в теч</w:t>
      </w:r>
      <w:r>
        <w:t>е</w:t>
      </w:r>
      <w:r>
        <w:t>ние 2-х недель, присматривая первые двое суток через каждые 2 часа, а з</w:t>
      </w:r>
      <w:r>
        <w:t>а</w:t>
      </w:r>
      <w:r>
        <w:t>тем, через 6-8 часов, каждый раз отмечая сроки и степень изменения цвета среды и наличие роста микобактерий на нижних поверхностях парафин</w:t>
      </w:r>
      <w:r>
        <w:t>о</w:t>
      </w:r>
      <w:r>
        <w:t>вых дисков. Для учёта последнего, в сроки визуального контроля, пров</w:t>
      </w:r>
      <w:r>
        <w:t>о</w:t>
      </w:r>
      <w:r>
        <w:t>дили микроскопию мазков, которые готовили двумя способами:</w:t>
      </w:r>
    </w:p>
    <w:p w:rsidR="00F4654E" w:rsidRDefault="00F4654E">
      <w:pPr>
        <w:pStyle w:val="a6"/>
      </w:pPr>
      <w:r>
        <w:t>1. Мазки-соскобы с нижней поверхности парафиновых дисков, с п</w:t>
      </w:r>
      <w:r>
        <w:t>о</w:t>
      </w:r>
      <w:r>
        <w:t>следующей их окраской по Циль-Нильсену;</w:t>
      </w:r>
    </w:p>
    <w:p w:rsidR="00F4654E" w:rsidRDefault="00F4654E">
      <w:pPr>
        <w:pStyle w:val="a6"/>
      </w:pPr>
      <w:r>
        <w:t>2. Мазки, изготовленные путём раскладки на предметных стёклах с</w:t>
      </w:r>
      <w:r>
        <w:t>а</w:t>
      </w:r>
      <w:r>
        <w:t>мих дисков, нижней поверхностно вверх; в которых с использованием об</w:t>
      </w:r>
      <w:r>
        <w:t>ъ</w:t>
      </w:r>
      <w:r>
        <w:t>ектива 20x и окуляра 7x, изучали наличие и особенности характера роста в микро-   и макроколониях различных видов микобактерий.</w:t>
      </w:r>
    </w:p>
    <w:p w:rsidR="00F4654E" w:rsidRDefault="00F4654E">
      <w:pPr>
        <w:pStyle w:val="a6"/>
      </w:pPr>
      <w:r>
        <w:t xml:space="preserve"> Анализ результатов исследования показал, что присутствие в исполь-зованной нами питательной среде 5% глицерина, и в заданной 0,01% ко</w:t>
      </w:r>
      <w:r>
        <w:t>н</w:t>
      </w:r>
      <w:r>
        <w:t>центрации, раздельно, метиленовой сини, малахитового зелёного и не</w:t>
      </w:r>
      <w:r>
        <w:t>й</w:t>
      </w:r>
      <w:r>
        <w:t>тральрот, не угнетали микобактерии. На нижних поверхностях парафин</w:t>
      </w:r>
      <w:r>
        <w:t>о</w:t>
      </w:r>
      <w:r>
        <w:t>вых дисков уже через 12-130 часов, под микроскопом хорошо просматр</w:t>
      </w:r>
      <w:r>
        <w:t>и</w:t>
      </w:r>
      <w:r>
        <w:t>вались микроколонии, окрашенные с различной степенью интенсивности в соответствующий цвет краски. Изменение цвета питательной среды и ми</w:t>
      </w:r>
      <w:r>
        <w:t>к</w:t>
      </w:r>
      <w:r>
        <w:t>ро- и макроколоний микобактерий зависит от вида микобактерий и сроков инкубирования. Так, M. tuberculosis в концентрации 2 млрд./мл обесцвеч</w:t>
      </w:r>
      <w:r>
        <w:t>и</w:t>
      </w:r>
      <w:r>
        <w:t>вали метиленовую синь за 12 часов, 500 млн./мл соответственно за 17 ч</w:t>
      </w:r>
      <w:r>
        <w:t>а</w:t>
      </w:r>
      <w:r>
        <w:lastRenderedPageBreak/>
        <w:t>сов и 250 млн./мл – за 18 часов. Такая тенденция прослеживалась у всех исследуемых культур микобактерий, и чётко разделялась по видам.</w:t>
      </w:r>
    </w:p>
    <w:p w:rsidR="00F4654E" w:rsidRDefault="00F4654E">
      <w:pPr>
        <w:pStyle w:val="a6"/>
      </w:pPr>
      <w:r>
        <w:t>Таким образом, культивирование микобактерий на парафиновых ди</w:t>
      </w:r>
      <w:r>
        <w:t>с</w:t>
      </w:r>
      <w:r>
        <w:t>ках в жидких питательных средах накопления, в присутствии 0,5% глиц</w:t>
      </w:r>
      <w:r>
        <w:t>е</w:t>
      </w:r>
      <w:r>
        <w:t>рина, и, раздельно, в 0,01% концентрации, некоторых анилиновых красок, позволяет в сроки от12 до 130 часов определить жизнеспособность мик</w:t>
      </w:r>
      <w:r>
        <w:t>о</w:t>
      </w:r>
      <w:r>
        <w:t>бактерий по наличию микро- и макроколоний микобактерий, а по их мо</w:t>
      </w:r>
      <w:r>
        <w:t>р</w:t>
      </w:r>
      <w:r>
        <w:t>фологическим свойствам провести их предварительную идентификацию.</w:t>
      </w:r>
    </w:p>
    <w:p w:rsidR="00F4654E" w:rsidRDefault="00F4654E">
      <w:pPr>
        <w:pStyle w:val="a6"/>
      </w:pPr>
      <w:r>
        <w:t>Разработанный нами такой порядок определения жизнеспособности микобактерий можно использовать  для санитарно- микробиологической оценки объектов внешней среды в местах содержания неблагополучных по туберкулёзу стад и объективной оценки качества проводимых механич</w:t>
      </w:r>
      <w:r>
        <w:t>е</w:t>
      </w:r>
      <w:r>
        <w:t>ской очистки и дезинфекции.</w:t>
      </w:r>
    </w:p>
    <w:p w:rsidR="00F4654E" w:rsidRDefault="00F4654E">
      <w:pPr>
        <w:pStyle w:val="a4"/>
      </w:pPr>
      <w:r>
        <w:t>УДК 619.616.095.8</w:t>
      </w:r>
    </w:p>
    <w:p w:rsidR="00F4654E" w:rsidRDefault="00F4654E">
      <w:pPr>
        <w:pStyle w:val="1"/>
      </w:pPr>
      <w:bookmarkStart w:id="2567" w:name="_Toc11137799"/>
      <w:bookmarkStart w:id="2568" w:name="_Toc11138217"/>
      <w:bookmarkStart w:id="2569" w:name="_Toc11138635"/>
      <w:bookmarkStart w:id="2570" w:name="_Toc11139053"/>
      <w:bookmarkStart w:id="2571" w:name="_Toc11139471"/>
      <w:bookmarkStart w:id="2572" w:name="_Toc11139889"/>
      <w:bookmarkStart w:id="2573" w:name="_Toc11140307"/>
      <w:bookmarkStart w:id="2574" w:name="_Toc11390417"/>
      <w:bookmarkStart w:id="2575" w:name="_Toc11840100"/>
      <w:bookmarkStart w:id="2576" w:name="_Toc11937636"/>
      <w:r>
        <w:t>ИММУННЫЙ СТАТУС ЛАБОРАТОРНЫХ ЖИВОТНЫХ</w:t>
      </w:r>
      <w:bookmarkEnd w:id="2567"/>
      <w:bookmarkEnd w:id="2568"/>
      <w:bookmarkEnd w:id="2569"/>
      <w:bookmarkEnd w:id="2570"/>
      <w:bookmarkEnd w:id="2571"/>
      <w:bookmarkEnd w:id="2572"/>
      <w:bookmarkEnd w:id="2573"/>
      <w:bookmarkEnd w:id="2574"/>
      <w:bookmarkEnd w:id="2575"/>
      <w:bookmarkEnd w:id="2576"/>
    </w:p>
    <w:p w:rsidR="00F4654E" w:rsidRDefault="00F4654E">
      <w:pPr>
        <w:pStyle w:val="2"/>
      </w:pPr>
      <w:bookmarkStart w:id="2577" w:name="_Toc10731369"/>
      <w:bookmarkStart w:id="2578" w:name="_Toc11032262"/>
      <w:bookmarkStart w:id="2579" w:name="_Toc11137800"/>
      <w:bookmarkStart w:id="2580" w:name="_Toc11138218"/>
      <w:bookmarkStart w:id="2581" w:name="_Toc11138636"/>
      <w:bookmarkStart w:id="2582" w:name="_Toc11139054"/>
      <w:bookmarkStart w:id="2583" w:name="_Toc11139472"/>
      <w:bookmarkStart w:id="2584" w:name="_Toc11139890"/>
      <w:bookmarkStart w:id="2585" w:name="_Toc11140308"/>
      <w:bookmarkStart w:id="2586" w:name="_Toc11390418"/>
      <w:bookmarkStart w:id="2587" w:name="_Toc11937637"/>
      <w:r>
        <w:t xml:space="preserve">Ламихов Б. Ю., Караблин П.М., Лумельская И. В., </w:t>
      </w:r>
      <w:r>
        <w:br/>
        <w:t>Демидова О. М., Полянина Т. В.</w:t>
      </w:r>
      <w:bookmarkEnd w:id="2577"/>
      <w:bookmarkEnd w:id="2578"/>
      <w:bookmarkEnd w:id="2579"/>
      <w:bookmarkEnd w:id="2580"/>
      <w:bookmarkEnd w:id="2581"/>
      <w:bookmarkEnd w:id="2582"/>
      <w:bookmarkEnd w:id="2583"/>
      <w:bookmarkEnd w:id="2584"/>
      <w:bookmarkEnd w:id="2585"/>
      <w:bookmarkEnd w:id="2586"/>
      <w:bookmarkEnd w:id="2587"/>
    </w:p>
    <w:p w:rsidR="00F4654E" w:rsidRDefault="00F4654E">
      <w:pPr>
        <w:pStyle w:val="a5"/>
      </w:pPr>
      <w:r>
        <w:t>Саратовская научно-исследовательская ветеринарная станция</w:t>
      </w:r>
    </w:p>
    <w:p w:rsidR="00F4654E" w:rsidRDefault="00F4654E">
      <w:pPr>
        <w:pStyle w:val="a6"/>
      </w:pPr>
      <w:r>
        <w:t>Туберкулезные поражения животных и человека обнаружены пале</w:t>
      </w:r>
      <w:r>
        <w:t>о</w:t>
      </w:r>
      <w:r>
        <w:t>археологами в захоронениях, давностью 15-10 тыс. лет до нашей эры. Только с открытием Р. Кохом возбудителя туберкулеза была доказана и</w:t>
      </w:r>
      <w:r>
        <w:t>н</w:t>
      </w:r>
      <w:r>
        <w:t xml:space="preserve">фекционная природа этого заболевания. Его же работы положили начало профилактике, а с созданием противотуберкулезных химиопрепаратов и антибиотиков – эры более или менее эффективного лечения. </w:t>
      </w:r>
    </w:p>
    <w:p w:rsidR="00F4654E" w:rsidRDefault="00F4654E">
      <w:pPr>
        <w:pStyle w:val="a6"/>
      </w:pPr>
      <w:r>
        <w:t>Всегда отмечалась волнообразность распространения вспышек под</w:t>
      </w:r>
      <w:r>
        <w:t>ъ</w:t>
      </w:r>
      <w:r>
        <w:t>емов и спадов туберкулеза среди популяций, научно доказанной причины этого явления пока не существует.  В России и других странах мира в п</w:t>
      </w:r>
      <w:r>
        <w:t>о</w:t>
      </w:r>
      <w:r>
        <w:t>следние два десятилетия отмечен выраженный рост заболеваемости и смертности от туберкулеза при сохранившейся на прежнем уровне инф</w:t>
      </w:r>
      <w:r>
        <w:t>и</w:t>
      </w:r>
      <w:r>
        <w:t>цированности членов популяций.  Следует отметить, что проблема проф</w:t>
      </w:r>
      <w:r>
        <w:t>и</w:t>
      </w:r>
      <w:r>
        <w:t>лактики (прививки БЦЖ) и антибактериального лечения болезни осложн</w:t>
      </w:r>
      <w:r>
        <w:t>и</w:t>
      </w:r>
      <w:r>
        <w:t>лась тем, что у 30-50% болеющих выделяются к химиопрепаратам и ант</w:t>
      </w:r>
      <w:r>
        <w:t>и</w:t>
      </w:r>
      <w:r>
        <w:t>биотикам устойчивые и даже зависимые штаммы микобактерий. Поэтому поиск нетрадиционных  методов профилактики и лечения заболевания я</w:t>
      </w:r>
      <w:r>
        <w:t>в</w:t>
      </w:r>
      <w:r>
        <w:t>ляется актуальным.</w:t>
      </w:r>
    </w:p>
    <w:p w:rsidR="00F4654E" w:rsidRDefault="00F4654E">
      <w:pPr>
        <w:pStyle w:val="a6"/>
      </w:pPr>
      <w:r>
        <w:t>Задача настоящего исследования – разработка профилактики и  леч</w:t>
      </w:r>
      <w:r>
        <w:t>е</w:t>
      </w:r>
      <w:r>
        <w:t>ния туберкулеза с помощью воздействия на иммунную систему инфицир</w:t>
      </w:r>
      <w:r>
        <w:t>о</w:t>
      </w:r>
      <w:r>
        <w:t>ванных и заболевших. Первым этапом исследования было изучение и</w:t>
      </w:r>
      <w:r>
        <w:t>м</w:t>
      </w:r>
      <w:r>
        <w:t>мунного статуса интактных лабораторных животных: беспородных белых крыс, кроликов и морских свинок. Изучался иммунный статус в зависим</w:t>
      </w:r>
      <w:r>
        <w:t>о</w:t>
      </w:r>
      <w:r>
        <w:t xml:space="preserve">сти от возраста, пола и биологического вида. Обсуждаемые группы были </w:t>
      </w:r>
      <w:r>
        <w:lastRenderedPageBreak/>
        <w:t>репрезентативны. У белых крыс, кроликов и морских свинок выбрана в к</w:t>
      </w:r>
      <w:r>
        <w:t>а</w:t>
      </w:r>
      <w:r>
        <w:t>честве показателя реакция спонтанной агрегации лейкоцитов, кроме этого у белых крыс определяли количество лимфоцитов периферической крови, лейкоцитарную формулу, показатели фагоцитоза, соотношение В- и Т-лимфоцитов.</w:t>
      </w:r>
    </w:p>
    <w:p w:rsidR="00F4654E" w:rsidRDefault="00F4654E">
      <w:pPr>
        <w:pStyle w:val="a6"/>
      </w:pPr>
      <w:r>
        <w:t>Исследованиями установлено, что колебания РСАЛ у белых крыс н</w:t>
      </w:r>
      <w:r>
        <w:t>а</w:t>
      </w:r>
      <w:r>
        <w:t>ходятся в пределах от 0 до 2%, у кроликов – 2-3%, у морских свинок – 15-21% в зависимости от возраста и пола. Колебания  количества лимфоцитов периферической крови белых крыс составляют около 15% в зависимости от тех же обстоятельств. Лейкоцитарная формула этих лабораторных ж</w:t>
      </w:r>
      <w:r>
        <w:t>и</w:t>
      </w:r>
      <w:r>
        <w:t>вотных всех видов отличается незначительно.</w:t>
      </w:r>
    </w:p>
    <w:p w:rsidR="00F4654E" w:rsidRDefault="00F4654E">
      <w:pPr>
        <w:pStyle w:val="a6"/>
      </w:pPr>
      <w:r>
        <w:t>Таким образом, полученные данные позволяют анализировать состо</w:t>
      </w:r>
      <w:r>
        <w:t>я</w:t>
      </w:r>
      <w:r>
        <w:t>ние иммунного статуса лабораторных животных при проведении в дал</w:t>
      </w:r>
      <w:r>
        <w:t>ь</w:t>
      </w:r>
      <w:r>
        <w:t xml:space="preserve">нейшем профилактики и различных способов лечения туберкулеза.  </w:t>
      </w:r>
    </w:p>
    <w:p w:rsidR="00F4654E" w:rsidRDefault="00F4654E">
      <w:pPr>
        <w:pStyle w:val="a4"/>
      </w:pPr>
      <w:r>
        <w:t>УДК 619.618.19 – 002:636.2</w:t>
      </w:r>
    </w:p>
    <w:p w:rsidR="00F4654E" w:rsidRDefault="00F4654E">
      <w:pPr>
        <w:pStyle w:val="1"/>
      </w:pPr>
      <w:bookmarkStart w:id="2588" w:name="_Toc10731370"/>
      <w:bookmarkStart w:id="2589" w:name="_Toc11137801"/>
      <w:bookmarkStart w:id="2590" w:name="_Toc11138219"/>
      <w:bookmarkStart w:id="2591" w:name="_Toc11138637"/>
      <w:bookmarkStart w:id="2592" w:name="_Toc11139055"/>
      <w:bookmarkStart w:id="2593" w:name="_Toc11139473"/>
      <w:bookmarkStart w:id="2594" w:name="_Toc11139891"/>
      <w:bookmarkStart w:id="2595" w:name="_Toc11140309"/>
      <w:bookmarkStart w:id="2596" w:name="_Toc11390419"/>
      <w:bookmarkStart w:id="2597" w:name="_Toc11840102"/>
      <w:bookmarkStart w:id="2598" w:name="_Toc11937638"/>
      <w:r>
        <w:t>Повышение санитарного качества молока за счет разработки и внедрения комплекса мероприятий по диагностике и лечению мастита коров</w:t>
      </w:r>
      <w:bookmarkEnd w:id="2588"/>
      <w:bookmarkEnd w:id="2589"/>
      <w:bookmarkEnd w:id="2590"/>
      <w:bookmarkEnd w:id="2591"/>
      <w:bookmarkEnd w:id="2592"/>
      <w:bookmarkEnd w:id="2593"/>
      <w:bookmarkEnd w:id="2594"/>
      <w:bookmarkEnd w:id="2595"/>
      <w:bookmarkEnd w:id="2596"/>
      <w:bookmarkEnd w:id="2597"/>
      <w:bookmarkEnd w:id="2598"/>
    </w:p>
    <w:p w:rsidR="00F4654E" w:rsidRDefault="00F4654E">
      <w:pPr>
        <w:pStyle w:val="2"/>
      </w:pPr>
      <w:bookmarkStart w:id="2599" w:name="_Toc10731371"/>
      <w:bookmarkStart w:id="2600" w:name="_Toc11032263"/>
      <w:bookmarkStart w:id="2601" w:name="_Toc11137802"/>
      <w:bookmarkStart w:id="2602" w:name="_Toc11138220"/>
      <w:bookmarkStart w:id="2603" w:name="_Toc11138638"/>
      <w:bookmarkStart w:id="2604" w:name="_Toc11139056"/>
      <w:bookmarkStart w:id="2605" w:name="_Toc11139474"/>
      <w:bookmarkStart w:id="2606" w:name="_Toc11139892"/>
      <w:bookmarkStart w:id="2607" w:name="_Toc11140310"/>
      <w:bookmarkStart w:id="2608" w:name="_Toc11390420"/>
      <w:bookmarkStart w:id="2609" w:name="_Toc11937639"/>
      <w:r>
        <w:t>Ланская Н.В., Родина Н.Д., Литвиненко М.Н.</w:t>
      </w:r>
      <w:bookmarkEnd w:id="2599"/>
      <w:bookmarkEnd w:id="2600"/>
      <w:bookmarkEnd w:id="2601"/>
      <w:bookmarkEnd w:id="2602"/>
      <w:bookmarkEnd w:id="2603"/>
      <w:bookmarkEnd w:id="2604"/>
      <w:bookmarkEnd w:id="2605"/>
      <w:bookmarkEnd w:id="2606"/>
      <w:bookmarkEnd w:id="2607"/>
      <w:bookmarkEnd w:id="2608"/>
      <w:bookmarkEnd w:id="2609"/>
    </w:p>
    <w:p w:rsidR="00F4654E" w:rsidRDefault="00F4654E">
      <w:pPr>
        <w:pStyle w:val="a5"/>
      </w:pPr>
      <w:r>
        <w:t>Орловский государственный аграрный университет</w:t>
      </w:r>
    </w:p>
    <w:p w:rsidR="00F4654E" w:rsidRDefault="00F4654E">
      <w:pPr>
        <w:pStyle w:val="a6"/>
      </w:pPr>
      <w:r>
        <w:t>Довольно часто встречаются маститы стафилококковой этиологии, что связано с широким распространением во внешней среде Staph. аureus и др. Заболевания, вызванные присутствием патогенных стафилококков св</w:t>
      </w:r>
      <w:r>
        <w:t>я</w:t>
      </w:r>
      <w:r>
        <w:t>зано с употреблением молока и молочных продуктов. Сырое молоко почти всегда содержит то или иное количество золотистого стафилококка. П</w:t>
      </w:r>
      <w:r>
        <w:t>о</w:t>
      </w:r>
      <w:r>
        <w:t>этому существует постоянная опасность возникновения у людей и моло</w:t>
      </w:r>
      <w:r>
        <w:t>д</w:t>
      </w:r>
      <w:r>
        <w:t>няка с.-х. животных стафилококкового энтеротоксического гастроэнтер</w:t>
      </w:r>
      <w:r>
        <w:t>и</w:t>
      </w:r>
      <w:r>
        <w:t>та. К тому же молоко может загрязняться антибиотиками, которые соде</w:t>
      </w:r>
      <w:r>
        <w:t>р</w:t>
      </w:r>
      <w:r>
        <w:t>жатся в большинстве противомаститных препаратов, а так же остатками моющих и дезинфицирующих средств, что делает его малопригодным для производства ценных кисломолочных продуктов.</w:t>
      </w:r>
    </w:p>
    <w:p w:rsidR="00F4654E" w:rsidRDefault="00F4654E">
      <w:pPr>
        <w:pStyle w:val="a6"/>
      </w:pPr>
      <w:r>
        <w:t>Главное условие в комплексе разрабатываемых мер – получение м</w:t>
      </w:r>
      <w:r>
        <w:t>о</w:t>
      </w:r>
      <w:r>
        <w:t>лока от здоровых животных.</w:t>
      </w:r>
    </w:p>
    <w:p w:rsidR="00F4654E" w:rsidRDefault="00F4654E">
      <w:pPr>
        <w:pStyle w:val="a6"/>
      </w:pPr>
      <w:r>
        <w:t>Из-за отсутствия своевременной диагностики субклинический мастит длительное время протекает незаметно, выделяя при этом большое колич</w:t>
      </w:r>
      <w:r>
        <w:t>е</w:t>
      </w:r>
      <w:r>
        <w:t>ство патогенной микрофлоры с молоком. На этом основании эту форму з</w:t>
      </w:r>
      <w:r>
        <w:t>а</w:t>
      </w:r>
      <w:r>
        <w:t>болевания считают наиболее опасной. Из экологически чистых безмедик</w:t>
      </w:r>
      <w:r>
        <w:t>а</w:t>
      </w:r>
      <w:r>
        <w:t>ментозных методов лечения при патологии органов размножения испол</w:t>
      </w:r>
      <w:r>
        <w:t>ь</w:t>
      </w:r>
      <w:r>
        <w:t>зуют акупунктуру, представляющую собой разновидность рецепторной и нейрогуморальной терапии. Возможности ее применения далеко не исче</w:t>
      </w:r>
      <w:r>
        <w:t>р</w:t>
      </w:r>
      <w:r>
        <w:lastRenderedPageBreak/>
        <w:t>паны. Мы предположили, что акупунктуру можно использовать для выя</w:t>
      </w:r>
      <w:r>
        <w:t>в</w:t>
      </w:r>
      <w:r>
        <w:t>ления дисфункции молочной железы.</w:t>
      </w:r>
    </w:p>
    <w:p w:rsidR="00F4654E" w:rsidRDefault="00F4654E">
      <w:pPr>
        <w:pStyle w:val="a6"/>
      </w:pPr>
      <w:r>
        <w:t>Измерение уровня биопотенциала (УБП) в поверхностно локализ</w:t>
      </w:r>
      <w:r>
        <w:t>о</w:t>
      </w:r>
      <w:r>
        <w:t>ванных биологически активных точках (ПЛБАТ) у здоровых, больных маститом и вылеченных коров проводили с помощью прибора ЭЛАП - 1 по методике Г. В. Казеева и др. (1994) модифицированной А. М. Гуськ</w:t>
      </w:r>
      <w:r>
        <w:t>о</w:t>
      </w:r>
      <w:r>
        <w:t>вым и А. В. Мамаевым (1996) в центрах 5, 7, 11, 41, 44. Измерение УБП ПЛБАТ проводились до лечения больных маститом коров, во время леч</w:t>
      </w:r>
      <w:r>
        <w:t>е</w:t>
      </w:r>
      <w:r>
        <w:t>ния и через семь суток после его окончания. Значения УБП фиксировались у 132 здоровых коров; у 144 больных животных (2 групп по 72 животного в каждой). Всего исследовано 276 голов.</w:t>
      </w:r>
    </w:p>
    <w:p w:rsidR="00F4654E" w:rsidRDefault="00F4654E">
      <w:pPr>
        <w:pStyle w:val="a6"/>
      </w:pPr>
      <w:r>
        <w:t>В каждой серии опытов было по три группы коров черно-пестрой п</w:t>
      </w:r>
      <w:r>
        <w:t>о</w:t>
      </w:r>
      <w:r>
        <w:t>роды по 6 животных. В первой группе находились коровы, больные кл</w:t>
      </w:r>
      <w:r>
        <w:t>и</w:t>
      </w:r>
      <w:r>
        <w:t>нической формой мастита, во второй - субклинической, третья группа служила контролем, и в ней находились клинически здоровые животные.</w:t>
      </w:r>
    </w:p>
    <w:p w:rsidR="00F4654E" w:rsidRDefault="00F4654E">
      <w:pPr>
        <w:pStyle w:val="a6"/>
      </w:pPr>
      <w:r>
        <w:t>У клинически здоровых коров средний биопотенциал по 5 точкам и</w:t>
      </w:r>
      <w:r>
        <w:t>з</w:t>
      </w:r>
      <w:r>
        <w:t>мерения составил 70,26 мкА, у животных, больных субклиническим ма</w:t>
      </w:r>
      <w:r>
        <w:t>с</w:t>
      </w:r>
      <w:r>
        <w:t>титом, биопотенциал, в среднем, составил 49,05 мкА, но при этом макс</w:t>
      </w:r>
      <w:r>
        <w:t>и</w:t>
      </w:r>
      <w:r>
        <w:t xml:space="preserve">мальное значение УБП в этой группе коров было 51,96 </w:t>
      </w:r>
      <w:r>
        <w:sym w:font="Symbol" w:char="F0B1"/>
      </w:r>
      <w:r>
        <w:t xml:space="preserve"> 3,94 мкА. След</w:t>
      </w:r>
      <w:r>
        <w:t>о</w:t>
      </w:r>
      <w:r>
        <w:t xml:space="preserve">вательно, у животных, биопотенциал которых ниже 51,96 мкА, следует рассматривать как имеющих скрытое воспаление молочной железы. </w:t>
      </w:r>
    </w:p>
    <w:p w:rsidR="00F4654E" w:rsidRDefault="00F4654E">
      <w:pPr>
        <w:pStyle w:val="a6"/>
      </w:pPr>
      <w:r>
        <w:t>Обращая внимание на вред ряда используемых традиционных прот</w:t>
      </w:r>
      <w:r>
        <w:t>и</w:t>
      </w:r>
      <w:r>
        <w:t>вомаститных лекарственных средств, содержащих антибиотики, для чел</w:t>
      </w:r>
      <w:r>
        <w:t>о</w:t>
      </w:r>
      <w:r>
        <w:t>века, целесообразно применение фитотерапии для борьбы с маститом.</w:t>
      </w:r>
    </w:p>
    <w:p w:rsidR="00F4654E" w:rsidRDefault="00F4654E">
      <w:pPr>
        <w:pStyle w:val="a6"/>
      </w:pPr>
      <w:r>
        <w:t>Изучение возможности использования лекарственных растений пр</w:t>
      </w:r>
      <w:r>
        <w:t>о</w:t>
      </w:r>
      <w:r>
        <w:t>ведено на лактирующих коровах, больных маститом. Во второй серии опытов испытывали наиболее эффективные настои лекарственных раст</w:t>
      </w:r>
      <w:r>
        <w:t>е</w:t>
      </w:r>
      <w:r>
        <w:t>ний различного состава: настои крапивы двудомной (группа алкалоидс</w:t>
      </w:r>
      <w:r>
        <w:t>о</w:t>
      </w:r>
      <w:r>
        <w:t>держащих), тысячелистника лекарственного (группа эфиромасличных), толокнянки обыкновенной, зверобоя продырявленного (группа фенолс</w:t>
      </w:r>
      <w:r>
        <w:t>о</w:t>
      </w:r>
      <w:r>
        <w:t>держащих).</w:t>
      </w:r>
    </w:p>
    <w:p w:rsidR="00F4654E" w:rsidRDefault="00F4654E">
      <w:pPr>
        <w:pStyle w:val="a6"/>
      </w:pPr>
      <w:r>
        <w:t xml:space="preserve">При пятикратном интрацистернальном введении 20 % настоя крапивы двудомной после вечернего доения коровам с субклинической формой мастита (опытная группа) выздоровление наступало в 93,6 % случаев через 7 суток. Контролем служили животные, которых лечили мастисаном Е (контрольная группа). Выздоровление наблюдалось в 94,7 %. При серозной форме мастита эффективность составила 90,9 и 92,9 %, соответственно, а при катаральной - 42,1 и 72,7 %. </w:t>
      </w:r>
    </w:p>
    <w:p w:rsidR="00F4654E" w:rsidRDefault="00F4654E">
      <w:pPr>
        <w:pStyle w:val="a6"/>
      </w:pPr>
      <w:r>
        <w:t>При применении 20 % настоя толокнянки обыкновенной (опытная группа) для лечения субклинического мастита терапевтическая эффекти</w:t>
      </w:r>
      <w:r>
        <w:t>в</w:t>
      </w:r>
      <w:r>
        <w:t>ность составила 94,1 %, тогда как мастисана Е (контрольная группа) - 94,7 % пораженных четвертей вымени. При лечении серозного мастита фито-</w:t>
      </w:r>
      <w:r>
        <w:br/>
        <w:t xml:space="preserve">средством результат составил 91,7 %, а в контрольной группе - 92,9 %, в то </w:t>
      </w:r>
      <w:r>
        <w:lastRenderedPageBreak/>
        <w:t>время как терапевтическая эффективность при лечении катаральной фо</w:t>
      </w:r>
      <w:r>
        <w:t>р</w:t>
      </w:r>
      <w:r>
        <w:t>мы мастита составила, соответственно, 72,7 и 30,8 %.</w:t>
      </w:r>
    </w:p>
    <w:p w:rsidR="00F4654E" w:rsidRDefault="00F4654E">
      <w:pPr>
        <w:pStyle w:val="a6"/>
      </w:pPr>
      <w:r>
        <w:t>Интерцистернальное введение 20 % настоя тысячелистника лекарс</w:t>
      </w:r>
      <w:r>
        <w:t>т</w:t>
      </w:r>
      <w:r>
        <w:t>венного обеспечивало выздоровление 92,6 % четвертей молочной железы при субклинической форме мастита (опытная группа). Результат лечения в ко</w:t>
      </w:r>
      <w:r>
        <w:t>н</w:t>
      </w:r>
      <w:r>
        <w:t>трольной группе составил 94,7 %. При применении фитосредства для лечения серозной формы мастита получили результат 89,3 %, а лечение мастисаном Е привело к выздоровлению 92,9 % четвертей вымени; тогда как терапия катарального мастита настоем тысячелистника оказалась м</w:t>
      </w:r>
      <w:r>
        <w:t>а</w:t>
      </w:r>
      <w:r>
        <w:t>лоэффективной. Так, вылеченными оказались лишь 35,0 % четвертей в</w:t>
      </w:r>
      <w:r>
        <w:t>ы</w:t>
      </w:r>
      <w:r>
        <w:t>мени, а в контрольной группе терапевтическая эффективность составила 72,7 %.</w:t>
      </w:r>
    </w:p>
    <w:p w:rsidR="00F4654E" w:rsidRDefault="00F4654E">
      <w:pPr>
        <w:pStyle w:val="a6"/>
      </w:pPr>
      <w:r>
        <w:t>Наиболее благоприятный эффект от применения настоя зверобоя пр</w:t>
      </w:r>
      <w:r>
        <w:t>о</w:t>
      </w:r>
      <w:r>
        <w:t>дырявленного получили при лечении как субклинического, так и клинич</w:t>
      </w:r>
      <w:r>
        <w:t>е</w:t>
      </w:r>
      <w:r>
        <w:t>ского серозного маститов, вероятно, в результате усиленного кровообр</w:t>
      </w:r>
      <w:r>
        <w:t>а</w:t>
      </w:r>
      <w:r>
        <w:t>щения, повышения обмена веществ, ускорения репаративных и регенер</w:t>
      </w:r>
      <w:r>
        <w:t>а</w:t>
      </w:r>
      <w:r>
        <w:t>тивных процессов. При субклиническом мастите обеспечивалось вызд</w:t>
      </w:r>
      <w:r>
        <w:t>о</w:t>
      </w:r>
      <w:r>
        <w:t>ровление 92,8 % четвертей вымени. Высока так же эффективность настоя зверобоя и при серозной форме воспаления вымени - 92,0 %. При лечении катарального мастита было вылечено лишь 58,3 % четвертей вымени.</w:t>
      </w:r>
    </w:p>
    <w:p w:rsidR="00F4654E" w:rsidRDefault="00F4654E">
      <w:pPr>
        <w:pStyle w:val="a6"/>
      </w:pPr>
      <w:r>
        <w:t>Так же нами были проведены исследования по испытанию влияния настоев лекарственных растений на микрофлору молочной железы бол</w:t>
      </w:r>
      <w:r>
        <w:t>ь</w:t>
      </w:r>
      <w:r>
        <w:t>ных маститом коров. Секрет молочной железы в 1 мл исследуемого мат</w:t>
      </w:r>
      <w:r>
        <w:t>е</w:t>
      </w:r>
      <w:r>
        <w:t>риала до лечения содержал в среднем 9,9-10,8 тыс. микробных клеток. При использовании фитосредств в течение 5 суток уровень микробной обсем</w:t>
      </w:r>
      <w:r>
        <w:t>е</w:t>
      </w:r>
      <w:r>
        <w:t>ненности секрета молочной железы после лечения снизился на 67,3-72,7 %, и оказался на уровне 2,9-3,5 тыс. микробных клеток (р&lt;0,001), на 30 сутки – 72,3-78,7 % и был на уровне 2,3-2,8 тыс. микробных клеток (р&lt;0,001).</w:t>
      </w:r>
    </w:p>
    <w:p w:rsidR="00F4654E" w:rsidRDefault="00F4654E">
      <w:pPr>
        <w:pStyle w:val="a6"/>
      </w:pPr>
      <w:r>
        <w:t>При исследовании секрета вымени выявлены так же следующие изм</w:t>
      </w:r>
      <w:r>
        <w:t>е</w:t>
      </w:r>
      <w:r>
        <w:t>нения: количество соматических клеток снизилось до среднего значения в 383,9 тыс./см</w:t>
      </w:r>
      <w:r>
        <w:rPr>
          <w:vertAlign w:val="superscript"/>
        </w:rPr>
        <w:t xml:space="preserve">3 </w:t>
      </w:r>
      <w:r>
        <w:t>(р&lt;0,05), достигая уровня здоровых животных, повышался уровень лизоцима М на 24,9 % (р&lt;0,05).</w:t>
      </w:r>
    </w:p>
    <w:p w:rsidR="00F4654E" w:rsidRDefault="00F4654E">
      <w:pPr>
        <w:pStyle w:val="a6"/>
      </w:pPr>
      <w:r>
        <w:t>Следовательно, как показали проведенные испытания, фитосредства хотя не обеспечивают полной санации вымени, но значительно снижают степень микробной контаминации молочной железы, что несомненно а</w:t>
      </w:r>
      <w:r>
        <w:t>к</w:t>
      </w:r>
      <w:r>
        <w:t>тивно способствует в целом борьбе организма с воспалительным проце</w:t>
      </w:r>
      <w:r>
        <w:t>с</w:t>
      </w:r>
      <w:r>
        <w:t>сом и восстановлению гомеостаза.</w:t>
      </w:r>
    </w:p>
    <w:p w:rsidR="00F4654E" w:rsidRDefault="00F4654E">
      <w:pPr>
        <w:pStyle w:val="a6"/>
      </w:pPr>
      <w:r>
        <w:t>Внедрение предложенных нами мероприятий в хозяйствах области позволяет сократить заболеваемость животных маститом, а, следовательно, повысить санитарное качество производимого молока, снизить вероя</w:t>
      </w:r>
      <w:r>
        <w:t>т</w:t>
      </w:r>
      <w:r>
        <w:t>ность пищевых токсикозов для человека и молодняка с.-х. животных.</w:t>
      </w:r>
    </w:p>
    <w:p w:rsidR="0001153D" w:rsidRDefault="0001153D">
      <w:pPr>
        <w:pStyle w:val="a6"/>
      </w:pPr>
    </w:p>
    <w:p w:rsidR="00F4654E" w:rsidRDefault="00F4654E">
      <w:pPr>
        <w:pStyle w:val="a4"/>
      </w:pPr>
      <w:r>
        <w:lastRenderedPageBreak/>
        <w:t>УДК 619.616.1</w:t>
      </w:r>
    </w:p>
    <w:p w:rsidR="00F4654E" w:rsidRDefault="00F4654E">
      <w:pPr>
        <w:pStyle w:val="1"/>
      </w:pPr>
      <w:bookmarkStart w:id="2610" w:name="_Toc10731372"/>
      <w:bookmarkStart w:id="2611" w:name="_Toc11137803"/>
      <w:bookmarkStart w:id="2612" w:name="_Toc11138221"/>
      <w:bookmarkStart w:id="2613" w:name="_Toc11138639"/>
      <w:bookmarkStart w:id="2614" w:name="_Toc11139057"/>
      <w:bookmarkStart w:id="2615" w:name="_Toc11139475"/>
      <w:bookmarkStart w:id="2616" w:name="_Toc11139893"/>
      <w:bookmarkStart w:id="2617" w:name="_Toc11140311"/>
      <w:bookmarkStart w:id="2618" w:name="_Toc11390421"/>
      <w:bookmarkStart w:id="2619" w:name="_Toc11840104"/>
      <w:bookmarkStart w:id="2620" w:name="_Toc11937640"/>
      <w:r>
        <w:t>Применение анатоксина Pseudomonas aeruginosa для лечения гнойно-септических заболеваний у собак</w:t>
      </w:r>
      <w:bookmarkEnd w:id="2610"/>
      <w:bookmarkEnd w:id="2611"/>
      <w:bookmarkEnd w:id="2612"/>
      <w:bookmarkEnd w:id="2613"/>
      <w:bookmarkEnd w:id="2614"/>
      <w:bookmarkEnd w:id="2615"/>
      <w:bookmarkEnd w:id="2616"/>
      <w:bookmarkEnd w:id="2617"/>
      <w:bookmarkEnd w:id="2618"/>
      <w:bookmarkEnd w:id="2619"/>
      <w:bookmarkEnd w:id="2620"/>
    </w:p>
    <w:p w:rsidR="00F4654E" w:rsidRDefault="00F4654E">
      <w:pPr>
        <w:pStyle w:val="2"/>
      </w:pPr>
      <w:bookmarkStart w:id="2621" w:name="_Toc10731373"/>
      <w:bookmarkStart w:id="2622" w:name="_Toc11032264"/>
      <w:bookmarkStart w:id="2623" w:name="_Toc11137804"/>
      <w:bookmarkStart w:id="2624" w:name="_Toc11138222"/>
      <w:bookmarkStart w:id="2625" w:name="_Toc11138640"/>
      <w:bookmarkStart w:id="2626" w:name="_Toc11139058"/>
      <w:bookmarkStart w:id="2627" w:name="_Toc11139476"/>
      <w:bookmarkStart w:id="2628" w:name="_Toc11139894"/>
      <w:bookmarkStart w:id="2629" w:name="_Toc11140312"/>
      <w:bookmarkStart w:id="2630" w:name="_Toc11390422"/>
      <w:bookmarkStart w:id="2631" w:name="_Toc11937641"/>
      <w:r>
        <w:t>Лапиков С.Н., Евглевский Ал.А.</w:t>
      </w:r>
      <w:bookmarkEnd w:id="2621"/>
      <w:bookmarkEnd w:id="2622"/>
      <w:bookmarkEnd w:id="2623"/>
      <w:bookmarkEnd w:id="2624"/>
      <w:bookmarkEnd w:id="2625"/>
      <w:bookmarkEnd w:id="2626"/>
      <w:bookmarkEnd w:id="2627"/>
      <w:bookmarkEnd w:id="2628"/>
      <w:bookmarkEnd w:id="2629"/>
      <w:bookmarkEnd w:id="2630"/>
      <w:bookmarkEnd w:id="2631"/>
    </w:p>
    <w:p w:rsidR="00F4654E" w:rsidRDefault="00F4654E">
      <w:pPr>
        <w:pStyle w:val="a5"/>
      </w:pPr>
      <w:r>
        <w:t xml:space="preserve">Орловский государственный аграрный университет </w:t>
      </w:r>
      <w:r>
        <w:br/>
        <w:t xml:space="preserve">Курская государственная сельскохозяйственная академия </w:t>
      </w:r>
    </w:p>
    <w:p w:rsidR="00F4654E" w:rsidRDefault="00F4654E">
      <w:pPr>
        <w:pStyle w:val="a6"/>
      </w:pPr>
      <w:r>
        <w:t>За последние годы синегнойная палочка стала одним из основных возбудителей тяжёлых гнойно-септических заболеваний животных. Выс</w:t>
      </w:r>
      <w:r>
        <w:t>о</w:t>
      </w:r>
      <w:r>
        <w:t>кая вирулентность, устойчивость возбудителя к действию химических и физических факторов, полирезистентность к антибактериальным препар</w:t>
      </w:r>
      <w:r>
        <w:t>а</w:t>
      </w:r>
      <w:r>
        <w:t>там вызывает необходимость создания специфически иммуноактивных препаратов. Разработанный нами анатоксин синегнойной палочки изучен в эксперименте и в настоящее время проводится его клиническое испытание.</w:t>
      </w:r>
    </w:p>
    <w:p w:rsidR="00F4654E" w:rsidRDefault="00F4654E">
      <w:pPr>
        <w:pStyle w:val="a6"/>
      </w:pPr>
      <w:r>
        <w:t>Материалом для исследований являлись собаки, поступившие в л</w:t>
      </w:r>
      <w:r>
        <w:t>е</w:t>
      </w:r>
      <w:r>
        <w:t>чебницы г. Курска и г. Орла. В период с 2000 по 2001 гг. методом целен</w:t>
      </w:r>
      <w:r>
        <w:t>а</w:t>
      </w:r>
      <w:r>
        <w:t xml:space="preserve">правленного выбора было отобрано 17 особей с отитом, 19 – с глубокой пиодермией , 12 с резаными и колотыми ранами. В этиологии и патогенезе воспалительных процессов этих животных, наряду с другой условно-патогенной микрофлорой, участие принимала синегнойная палочка. </w:t>
      </w:r>
    </w:p>
    <w:p w:rsidR="00F4654E" w:rsidRDefault="00F4654E">
      <w:pPr>
        <w:pStyle w:val="a6"/>
      </w:pPr>
      <w:r>
        <w:t>Следует отметить, что у животных с тяжелым или длительным теч</w:t>
      </w:r>
      <w:r>
        <w:t>е</w:t>
      </w:r>
      <w:r>
        <w:t>нием гнойно-септического процесса, а это, в основном, были особи с от</w:t>
      </w:r>
      <w:r>
        <w:t>и</w:t>
      </w:r>
      <w:r>
        <w:t>тами и пиодермией при первичном бактериальном исследовании всегда обнаруживали синегнойную палочку.</w:t>
      </w:r>
    </w:p>
    <w:p w:rsidR="00F4654E" w:rsidRDefault="00F4654E">
      <w:pPr>
        <w:pStyle w:val="a6"/>
      </w:pPr>
      <w:r>
        <w:t>У животных со свежими ранами из раневого отделяемого чаще всего высевали эпидермальный стафилококк. По мере усиления воспалительного процесса в раневом отделяемом чаще всего выделяли золотистый стафил</w:t>
      </w:r>
      <w:r>
        <w:t>о</w:t>
      </w:r>
      <w:r>
        <w:t xml:space="preserve">кокк и гемолитический стрептококк. </w:t>
      </w:r>
    </w:p>
    <w:p w:rsidR="00F4654E" w:rsidRDefault="00F4654E">
      <w:pPr>
        <w:pStyle w:val="a6"/>
      </w:pPr>
      <w:r>
        <w:t>Синегнойная палочка у таких животных появлялась спустя 5-7 дней после поступления животных для лечения. Именно в этот период прим</w:t>
      </w:r>
      <w:r>
        <w:t>е</w:t>
      </w:r>
      <w:r>
        <w:t>няемые с лечебной целью антибактериальные препараты в большинстве случаев не могли обеспечить защиту от устойчивых к ним штаммов ми</w:t>
      </w:r>
      <w:r>
        <w:t>к</w:t>
      </w:r>
      <w:r>
        <w:t>робов. По всей видимости, одним из основных факторов способствова</w:t>
      </w:r>
      <w:r>
        <w:t>в</w:t>
      </w:r>
      <w:r>
        <w:t>ших селекции высоко резистентных штаммов синегнойной палочки и я</w:t>
      </w:r>
      <w:r>
        <w:t>в</w:t>
      </w:r>
      <w:r>
        <w:t>лялось применение антибиотиков. Исходя из последнего для лечения таких животных и применялся анатоксин синегнойной палочки.</w:t>
      </w:r>
    </w:p>
    <w:p w:rsidR="00F4654E" w:rsidRDefault="00F4654E">
      <w:pPr>
        <w:pStyle w:val="a6"/>
      </w:pPr>
      <w:r>
        <w:t>В соответствии с методикой исследований было разработано нескол</w:t>
      </w:r>
      <w:r>
        <w:t>ь</w:t>
      </w:r>
      <w:r>
        <w:t>ко схем применения препарата, в частности, при отитах и пиодермией х</w:t>
      </w:r>
      <w:r>
        <w:t>о</w:t>
      </w:r>
      <w:r>
        <w:t>роший эффект достигался после глубокой обработки поражённого участка уха ватным тампоном смоченным анатоксином. Для достижения благопр</w:t>
      </w:r>
      <w:r>
        <w:t>и</w:t>
      </w:r>
      <w:r>
        <w:t>ятного исхода достаточно было 2-3 кратной обработки.</w:t>
      </w:r>
    </w:p>
    <w:p w:rsidR="00F4654E" w:rsidRDefault="00F4654E">
      <w:pPr>
        <w:pStyle w:val="a6"/>
      </w:pPr>
      <w:r>
        <w:t xml:space="preserve">Для лечения пиодермии сочетали местные аппликации анатоксина с его парентеральным применением по периметру пиодермического очага. </w:t>
      </w:r>
      <w:r>
        <w:lastRenderedPageBreak/>
        <w:t>Для снятия болевого синдрома и зуда анатоксин перед применением ра</w:t>
      </w:r>
      <w:r>
        <w:t>з</w:t>
      </w:r>
      <w:r>
        <w:t>водили 0,5% раствором новокаина или 25% раствором анальгина 1:10. В каждом конкретном случае число местных аппликаций определялось с учетом терапевтического эффекта. При парентеральном применении ан</w:t>
      </w:r>
      <w:r>
        <w:t>а</w:t>
      </w:r>
      <w:r>
        <w:t>токсина учитывалась масса собаки. Первичная доза анатоксина при по</w:t>
      </w:r>
      <w:r>
        <w:t>д</w:t>
      </w:r>
      <w:r>
        <w:t>кожном введении для мелких особей составляла 0,5-1,0 мл, для крупных 1,2-1,5 мл. Число инъекций препарата определялась 2 или 3 раза с интерв</w:t>
      </w:r>
      <w:r>
        <w:t>а</w:t>
      </w:r>
      <w:r>
        <w:t>лом 24 часа. При каждом последующем введении дозировка увеличивалась от 0,3 до 0,5 мл. Такой способ применения анатоксина позволял избежать возможных поствакцинальных отрицательных реакций.</w:t>
      </w:r>
    </w:p>
    <w:p w:rsidR="00F4654E" w:rsidRDefault="00F4654E">
      <w:pPr>
        <w:pStyle w:val="a6"/>
      </w:pPr>
      <w:r>
        <w:t>Аналогичной схеме лечения глубокой эпидермии применялась схема для лечения собак с тяжёлым течением гнойно-септического процесса при ранах. Анализ истории исхода болезни свидетельствовал о том, что в теч</w:t>
      </w:r>
      <w:r>
        <w:t>е</w:t>
      </w:r>
      <w:r>
        <w:t>ние первых двух инъекций и местных аппликаций представлялось возмо</w:t>
      </w:r>
      <w:r>
        <w:t>ж</w:t>
      </w:r>
      <w:r>
        <w:t>ным клинически оценить положительный эффект иммунотерапии, что проявлялось в уменьшении гнойного выделяемого. На 4-5 день появлялись свежие грануляции с последующей эпителизацией. У 12 из 17 особей с пиодермией и у 10 из 12 с резаными ранами, после ликвидации гнойного воспалительного процесса не было необходимости в проведении других лечебных манипуляций. У остальных особей терапевтический эффект был менее выражен.</w:t>
      </w:r>
    </w:p>
    <w:p w:rsidR="00F4654E" w:rsidRPr="0001153D" w:rsidRDefault="00F4654E">
      <w:pPr>
        <w:pStyle w:val="a6"/>
        <w:rPr>
          <w:spacing w:val="-4"/>
        </w:rPr>
      </w:pPr>
      <w:r w:rsidRPr="0001153D">
        <w:rPr>
          <w:spacing w:val="-4"/>
        </w:rPr>
        <w:t>Таким образом, результаты клинических исследований свидетельс</w:t>
      </w:r>
      <w:r w:rsidRPr="0001153D">
        <w:rPr>
          <w:spacing w:val="-4"/>
        </w:rPr>
        <w:t>т</w:t>
      </w:r>
      <w:r w:rsidRPr="0001153D">
        <w:rPr>
          <w:spacing w:val="-4"/>
        </w:rPr>
        <w:t>вуют о выраженной протективной активности анатоксина синегнойной п</w:t>
      </w:r>
      <w:r w:rsidRPr="0001153D">
        <w:rPr>
          <w:spacing w:val="-4"/>
        </w:rPr>
        <w:t>а</w:t>
      </w:r>
      <w:r w:rsidRPr="0001153D">
        <w:rPr>
          <w:spacing w:val="-4"/>
        </w:rPr>
        <w:t>лочки и перспективы его применения в терапии и профилактике гно</w:t>
      </w:r>
      <w:r w:rsidRPr="0001153D">
        <w:rPr>
          <w:spacing w:val="-4"/>
        </w:rPr>
        <w:t>й</w:t>
      </w:r>
      <w:r w:rsidRPr="0001153D">
        <w:rPr>
          <w:spacing w:val="-4"/>
        </w:rPr>
        <w:t>но-септических заболеваний животных, обусловленных Pseudomonia aeruginosa.</w:t>
      </w:r>
    </w:p>
    <w:p w:rsidR="00F4654E" w:rsidRDefault="00F4654E">
      <w:pPr>
        <w:pStyle w:val="a4"/>
      </w:pPr>
      <w:r>
        <w:t>УДК 619</w:t>
      </w:r>
    </w:p>
    <w:p w:rsidR="00F4654E" w:rsidRDefault="00F4654E">
      <w:pPr>
        <w:pStyle w:val="1"/>
      </w:pPr>
      <w:bookmarkStart w:id="2632" w:name="_Toc11840106"/>
      <w:bookmarkStart w:id="2633" w:name="_Toc11937642"/>
      <w:r>
        <w:t>Конъюнктивокератит крупного рогатого скота: характерные особенности течения инфекционного процесса у лабораторных животных</w:t>
      </w:r>
      <w:bookmarkEnd w:id="2632"/>
      <w:bookmarkEnd w:id="2633"/>
    </w:p>
    <w:p w:rsidR="00F4654E" w:rsidRDefault="00F4654E">
      <w:pPr>
        <w:pStyle w:val="2"/>
      </w:pPr>
      <w:bookmarkStart w:id="2634" w:name="_Toc11937643"/>
      <w:r>
        <w:t>Ласкина</w:t>
      </w:r>
      <w:r>
        <w:rPr>
          <w:vertAlign w:val="superscript"/>
        </w:rPr>
        <w:t xml:space="preserve"> </w:t>
      </w:r>
      <w:r>
        <w:t>О. М., Гусев В. В., Черванев В.А.*</w:t>
      </w:r>
      <w:bookmarkEnd w:id="2634"/>
    </w:p>
    <w:p w:rsidR="00F4654E" w:rsidRDefault="00F4654E">
      <w:pPr>
        <w:pStyle w:val="a5"/>
      </w:pPr>
      <w:r>
        <w:t xml:space="preserve">Государственный научный центр прикладной микробиологии, </w:t>
      </w:r>
      <w:r>
        <w:br/>
        <w:t>п. Оболенск, Московская область</w:t>
      </w:r>
      <w:r>
        <w:br/>
        <w:t>*Воронежский</w:t>
      </w:r>
      <w:r>
        <w:rPr>
          <w:vertAlign w:val="superscript"/>
        </w:rPr>
        <w:t xml:space="preserve"> </w:t>
      </w:r>
      <w:r>
        <w:t>государственный аграрный университет им. К.Д. Глинки</w:t>
      </w:r>
    </w:p>
    <w:p w:rsidR="00F4654E" w:rsidRDefault="00F4654E">
      <w:pPr>
        <w:pStyle w:val="a6"/>
      </w:pPr>
      <w:r>
        <w:t>В последние годы в регионах с развитым животноводством РФ шир</w:t>
      </w:r>
      <w:r>
        <w:t>о</w:t>
      </w:r>
      <w:r>
        <w:t>ко распространены массовые конъюнктивокератиты крупного рогатого скота. В ряде хозяйств ЦЧР данные заболевания глаз приняли характер эпизоотий и наносят крупный экономический ущерб, связанный прежде всего с потерей живой массы у молодняка (до 33 кг), значительным пад</w:t>
      </w:r>
      <w:r>
        <w:t>е</w:t>
      </w:r>
      <w:r>
        <w:t>нием продуктивности у коров и преждевременной выбраковкой животных вследствие полной слепоты.</w:t>
      </w:r>
    </w:p>
    <w:p w:rsidR="00F4654E" w:rsidRDefault="00F4654E">
      <w:pPr>
        <w:pStyle w:val="a6"/>
      </w:pPr>
      <w:r>
        <w:lastRenderedPageBreak/>
        <w:t>Конъюнктивокератит, как основной симптом, может быть вызван ра</w:t>
      </w:r>
      <w:r>
        <w:t>з</w:t>
      </w:r>
      <w:r>
        <w:t>личными микроорганизмами, как бактериями, так и вирусами. В том чи</w:t>
      </w:r>
      <w:r>
        <w:t>с</w:t>
      </w:r>
      <w:r>
        <w:t>ле, значительную долю составляют конъюнктивокератиты риккетсиозной природы.</w:t>
      </w:r>
      <w:r w:rsidR="0001153D">
        <w:t xml:space="preserve"> </w:t>
      </w:r>
      <w:r>
        <w:t>Дифференциальный диагноз, как правило, основан на анализе эпизоотологических, клинических данных и результатов микроскопич</w:t>
      </w:r>
      <w:r>
        <w:t>е</w:t>
      </w:r>
      <w:r>
        <w:t>ских исследований. А так же для всех видов исследовательских и прикла</w:t>
      </w:r>
      <w:r>
        <w:t>д</w:t>
      </w:r>
      <w:r>
        <w:t>ных работ в области риккетсиозов особо важное значение имеет экспер</w:t>
      </w:r>
      <w:r>
        <w:t>и</w:t>
      </w:r>
      <w:r>
        <w:t>ментальное воспроизведение риккетсиозной инфекции у животных (с</w:t>
      </w:r>
      <w:r>
        <w:t>о</w:t>
      </w:r>
      <w:r>
        <w:t>гласно схеме изучения вновь выделенных штаммов риккетсий  по П. Ф. Здродовск</w:t>
      </w:r>
      <w:r>
        <w:t>о</w:t>
      </w:r>
      <w:r>
        <w:t>му). С целью наблюдения течения инфекции мы использовали лабораторных животных разных видов. В качестве материала для зараж</w:t>
      </w:r>
      <w:r>
        <w:t>е</w:t>
      </w:r>
      <w:r>
        <w:t>ния использовались яичные культуры возбудителя инфекционного кон</w:t>
      </w:r>
      <w:r>
        <w:t>ъ</w:t>
      </w:r>
      <w:r>
        <w:t>юнктивокератита, выделенного в хозяйствах   « Правда» и « Старый Ку</w:t>
      </w:r>
      <w:r>
        <w:t>р</w:t>
      </w:r>
      <w:r>
        <w:t>лак» Вороне</w:t>
      </w:r>
      <w:r>
        <w:t>ж</w:t>
      </w:r>
      <w:r>
        <w:t>ской области (5-й пассаж). Материал вводился различными методами и в разных инфицирующих дозах. А также мы предприняли п</w:t>
      </w:r>
      <w:r>
        <w:t>о</w:t>
      </w:r>
      <w:r>
        <w:t>пытку получить иммунологическую характеристику выделенной рикке</w:t>
      </w:r>
      <w:r>
        <w:t>т</w:t>
      </w:r>
      <w:r>
        <w:t xml:space="preserve">сиозной культуры и сравнили полученные результаты с характеристиками, присущими </w:t>
      </w:r>
      <w:r>
        <w:rPr>
          <w:lang w:val="en-US"/>
        </w:rPr>
        <w:t>Coxiella</w:t>
      </w:r>
      <w:r>
        <w:t xml:space="preserve"> </w:t>
      </w:r>
      <w:r>
        <w:rPr>
          <w:lang w:val="en-US"/>
        </w:rPr>
        <w:t>burneti</w:t>
      </w:r>
      <w:r>
        <w:t>.</w:t>
      </w:r>
    </w:p>
    <w:p w:rsidR="00F4654E" w:rsidRDefault="00F4654E">
      <w:pPr>
        <w:pStyle w:val="a6"/>
      </w:pPr>
      <w:r>
        <w:t>Лихорадочная форма экспериментальной инфекции наблюдалась у морских свинок при внутрибрюшинном и интратестикулярном методах введения. У животных были выявлены умеренная лихорадка возвратного типа и размножение риккетсий в мезотелии брюшины и влагалищной об</w:t>
      </w:r>
      <w:r>
        <w:t>о</w:t>
      </w:r>
      <w:r>
        <w:t>лочки тестикул. При внутрикожном введении повышения температуры т</w:t>
      </w:r>
      <w:r>
        <w:t>е</w:t>
      </w:r>
      <w:r>
        <w:t>ла не наблюдалось, инфильтрат в месте инъекции, образовавшийся в пе</w:t>
      </w:r>
      <w:r>
        <w:t>р</w:t>
      </w:r>
      <w:r>
        <w:t>вые дни после введения материала, полностью рассосался, абсцессов и некрозов не выявлено.</w:t>
      </w:r>
    </w:p>
    <w:p w:rsidR="00F4654E" w:rsidRDefault="00F4654E">
      <w:pPr>
        <w:pStyle w:val="a6"/>
      </w:pPr>
      <w:r>
        <w:t>При заражении кроликов на скарифицированную конъюнктиву и р</w:t>
      </w:r>
      <w:r>
        <w:t>о</w:t>
      </w:r>
      <w:r>
        <w:t>говицу, патологических изменений тканей глаза, по сравнению с контр</w:t>
      </w:r>
      <w:r>
        <w:t>о</w:t>
      </w:r>
      <w:r>
        <w:t>лем, не выявлено. Однако, при заражении кроликов за третье веко набл</w:t>
      </w:r>
      <w:r>
        <w:t>ю</w:t>
      </w:r>
      <w:r>
        <w:t>далось развитие серозного конъюнктивита и набухание третьего века.</w:t>
      </w:r>
    </w:p>
    <w:p w:rsidR="00F4654E" w:rsidRDefault="00F4654E">
      <w:pPr>
        <w:pStyle w:val="a6"/>
      </w:pPr>
      <w:r>
        <w:t>При внутрибрюшинном введении материала белым мышам инфекция протекала доброкачественно, что свидетельствует об отсутствии токсина у выделенного возбудителя.</w:t>
      </w:r>
      <w:r w:rsidR="0001153D">
        <w:t xml:space="preserve"> </w:t>
      </w:r>
      <w:r>
        <w:t>При повторном введении материала через 1 мес. после первичного заражения полный иммунитет регистрировался у мо</w:t>
      </w:r>
      <w:r>
        <w:t>р</w:t>
      </w:r>
      <w:r>
        <w:t>ских свинок, материал которым был введен внутрибрюшинно и интрат</w:t>
      </w:r>
      <w:r>
        <w:t>е</w:t>
      </w:r>
      <w:r>
        <w:t>стикулярно. У животных, материал которым вводили подкожно, имела м</w:t>
      </w:r>
      <w:r>
        <w:t>е</w:t>
      </w:r>
      <w:r>
        <w:t>сто сильная аллергическая реакция, умеренная лихорадка  в первые  дни после заражения, болевая реакция в месте инъекции. Однако, число лих</w:t>
      </w:r>
      <w:r>
        <w:t>о</w:t>
      </w:r>
      <w:r>
        <w:t>радочных дней было сокращено и находки риккетсий в мезотелии брюш</w:t>
      </w:r>
      <w:r>
        <w:t>и</w:t>
      </w:r>
      <w:r>
        <w:t>ны были более скудными по сравнению с контролем.</w:t>
      </w:r>
    </w:p>
    <w:p w:rsidR="00F4654E" w:rsidRDefault="00F4654E">
      <w:pPr>
        <w:pStyle w:val="a6"/>
      </w:pPr>
      <w:r w:rsidRPr="0001153D">
        <w:rPr>
          <w:spacing w:val="-4"/>
        </w:rPr>
        <w:t>В результате проведенных экспериментальных работ установлено, что:</w:t>
      </w:r>
      <w:r w:rsidR="0001153D">
        <w:rPr>
          <w:spacing w:val="-4"/>
        </w:rPr>
        <w:t xml:space="preserve"> э</w:t>
      </w:r>
      <w:r>
        <w:t>кспериментальная характеристика воспроизводимой инфекции, вызыва</w:t>
      </w:r>
      <w:r>
        <w:t>е</w:t>
      </w:r>
      <w:r>
        <w:t>мой возбудителем инфекционного конъюнктивокератита, выд</w:t>
      </w:r>
      <w:r>
        <w:t>е</w:t>
      </w:r>
      <w:r>
        <w:t xml:space="preserve">ленным в </w:t>
      </w:r>
      <w:r>
        <w:lastRenderedPageBreak/>
        <w:t>хозяйствах «Правда» и « Старый Курлак» Воронежской области, отличае</w:t>
      </w:r>
      <w:r>
        <w:t>т</w:t>
      </w:r>
      <w:r>
        <w:t xml:space="preserve">ся от таковой </w:t>
      </w:r>
      <w:r>
        <w:rPr>
          <w:lang w:val="en-US"/>
        </w:rPr>
        <w:t>Coxiella</w:t>
      </w:r>
      <w:r>
        <w:t xml:space="preserve"> </w:t>
      </w:r>
      <w:r>
        <w:rPr>
          <w:lang w:val="en-US"/>
        </w:rPr>
        <w:t>burneti</w:t>
      </w:r>
      <w:r>
        <w:t>.</w:t>
      </w:r>
      <w:r w:rsidR="0001153D">
        <w:t xml:space="preserve"> В</w:t>
      </w:r>
      <w:r>
        <w:t>ыделенный возбудитель вызывает у лаб</w:t>
      </w:r>
      <w:r>
        <w:t>о</w:t>
      </w:r>
      <w:r>
        <w:t>раторных животных формирование полного иммунитета при внутрибр</w:t>
      </w:r>
      <w:r>
        <w:t>ю</w:t>
      </w:r>
      <w:r>
        <w:t>шинном и интратестикулярном методах введения и частичного иммунит</w:t>
      </w:r>
      <w:r>
        <w:t>е</w:t>
      </w:r>
      <w:r>
        <w:t>та при внутрикожном введении.</w:t>
      </w:r>
    </w:p>
    <w:p w:rsidR="00F4654E" w:rsidRDefault="00F4654E">
      <w:pPr>
        <w:pStyle w:val="a4"/>
      </w:pPr>
      <w:r>
        <w:t>УДК 619:616.98:578.824.11:615.371</w:t>
      </w:r>
    </w:p>
    <w:p w:rsidR="00F4654E" w:rsidRDefault="00F4654E">
      <w:pPr>
        <w:pStyle w:val="1"/>
      </w:pPr>
      <w:bookmarkStart w:id="2635" w:name="_Toc10731374"/>
      <w:bookmarkStart w:id="2636" w:name="_Toc11137805"/>
      <w:bookmarkStart w:id="2637" w:name="_Toc11138223"/>
      <w:bookmarkStart w:id="2638" w:name="_Toc11138641"/>
      <w:bookmarkStart w:id="2639" w:name="_Toc11139059"/>
      <w:bookmarkStart w:id="2640" w:name="_Toc11139477"/>
      <w:bookmarkStart w:id="2641" w:name="_Toc11139895"/>
      <w:bookmarkStart w:id="2642" w:name="_Toc11140313"/>
      <w:bookmarkStart w:id="2643" w:name="_Toc11390423"/>
      <w:bookmarkStart w:id="2644" w:name="_Toc11840108"/>
      <w:bookmarkStart w:id="2645" w:name="_Toc11937644"/>
      <w:r>
        <w:t>Иммуногенная активность жидкой антирабической вакцины</w:t>
      </w:r>
      <w:bookmarkEnd w:id="2635"/>
      <w:bookmarkEnd w:id="2636"/>
      <w:bookmarkEnd w:id="2637"/>
      <w:bookmarkEnd w:id="2638"/>
      <w:bookmarkEnd w:id="2639"/>
      <w:bookmarkEnd w:id="2640"/>
      <w:bookmarkEnd w:id="2641"/>
      <w:bookmarkEnd w:id="2642"/>
      <w:bookmarkEnd w:id="2643"/>
      <w:bookmarkEnd w:id="2644"/>
      <w:bookmarkEnd w:id="2645"/>
    </w:p>
    <w:p w:rsidR="00F4654E" w:rsidRDefault="00F4654E">
      <w:pPr>
        <w:pStyle w:val="2"/>
      </w:pPr>
      <w:bookmarkStart w:id="2646" w:name="_Toc10731375"/>
      <w:bookmarkStart w:id="2647" w:name="_Toc11032265"/>
      <w:bookmarkStart w:id="2648" w:name="_Toc11137806"/>
      <w:bookmarkStart w:id="2649" w:name="_Toc11138224"/>
      <w:bookmarkStart w:id="2650" w:name="_Toc11138642"/>
      <w:bookmarkStart w:id="2651" w:name="_Toc11139060"/>
      <w:bookmarkStart w:id="2652" w:name="_Toc11139478"/>
      <w:bookmarkStart w:id="2653" w:name="_Toc11139896"/>
      <w:bookmarkStart w:id="2654" w:name="_Toc11140314"/>
      <w:bookmarkStart w:id="2655" w:name="_Toc11390424"/>
      <w:bookmarkStart w:id="2656" w:name="_Toc11937645"/>
      <w:r>
        <w:t>Лезова Т.Н., Михалишин В.В., Михалишин Д.В.</w:t>
      </w:r>
      <w:bookmarkEnd w:id="2646"/>
      <w:bookmarkEnd w:id="2647"/>
      <w:bookmarkEnd w:id="2648"/>
      <w:bookmarkEnd w:id="2649"/>
      <w:bookmarkEnd w:id="2650"/>
      <w:bookmarkEnd w:id="2651"/>
      <w:bookmarkEnd w:id="2652"/>
      <w:bookmarkEnd w:id="2653"/>
      <w:bookmarkEnd w:id="2654"/>
      <w:bookmarkEnd w:id="2655"/>
      <w:bookmarkEnd w:id="2656"/>
    </w:p>
    <w:p w:rsidR="00F4654E" w:rsidRDefault="00F4654E">
      <w:pPr>
        <w:pStyle w:val="a5"/>
      </w:pPr>
      <w:r>
        <w:t>Всероссийский научно-исследовательский институт защиты животных</w:t>
      </w:r>
    </w:p>
    <w:p w:rsidR="00F4654E" w:rsidRDefault="00F4654E">
      <w:pPr>
        <w:pStyle w:val="a6"/>
      </w:pPr>
      <w:r>
        <w:t>Бешенство - острое контагиозное заболевание с поражением це</w:t>
      </w:r>
      <w:r>
        <w:t>н</w:t>
      </w:r>
      <w:r>
        <w:t>тральной нервной системы, передающееся человеку от больных животных через слюну. Поэтому борьба с ним представляется не только экономич</w:t>
      </w:r>
      <w:r>
        <w:t>е</w:t>
      </w:r>
      <w:r>
        <w:t>ской, но и социальной проблемой, успешное решение которой в знач</w:t>
      </w:r>
      <w:r>
        <w:t>и</w:t>
      </w:r>
      <w:r>
        <w:t>тельной мере зависит от качества антирабических вакцин, применяемых с профилактической целью.</w:t>
      </w:r>
      <w:r w:rsidR="0001153D">
        <w:t xml:space="preserve"> </w:t>
      </w:r>
      <w:r>
        <w:t>В настоящее время отмечается тенденция отд</w:t>
      </w:r>
      <w:r>
        <w:t>а</w:t>
      </w:r>
      <w:r>
        <w:t>вать предпочтение ва</w:t>
      </w:r>
      <w:r>
        <w:t>к</w:t>
      </w:r>
      <w:r>
        <w:t>цинам из инактивированного вируса, обладающим большей эффективностью и безопасностью. Такие вакцины лучше подд</w:t>
      </w:r>
      <w:r>
        <w:t>а</w:t>
      </w:r>
      <w:r>
        <w:t>ются стандартизации при контроле. Антирабические вакцины из инакт</w:t>
      </w:r>
      <w:r>
        <w:t>и</w:t>
      </w:r>
      <w:r>
        <w:t>вированного вируса различаются по ряду признаков: используемому штамму фиксированного в</w:t>
      </w:r>
      <w:r>
        <w:t>и</w:t>
      </w:r>
      <w:r>
        <w:t>руса бешенства (ВБ), системе репродукции ВБ, способу инактивации инфекционности вируса и применяемым адъюва</w:t>
      </w:r>
      <w:r>
        <w:t>н</w:t>
      </w:r>
      <w:r>
        <w:t>там.</w:t>
      </w:r>
    </w:p>
    <w:p w:rsidR="00F4654E" w:rsidRDefault="00F4654E">
      <w:pPr>
        <w:pStyle w:val="a6"/>
      </w:pPr>
      <w:r>
        <w:t>Целью наших исследований было создание авирулентной высокои</w:t>
      </w:r>
      <w:r>
        <w:t>м</w:t>
      </w:r>
      <w:r>
        <w:t>муногенной стабильной безвредной и свободной от контаминирующих агентов антирабической вакцины.</w:t>
      </w:r>
    </w:p>
    <w:p w:rsidR="00F4654E" w:rsidRDefault="00F4654E">
      <w:pPr>
        <w:pStyle w:val="a6"/>
      </w:pPr>
      <w:r>
        <w:t>Фиксированный ВБ, штамм “ВНИИЗЖ”, культивировали в суспенз</w:t>
      </w:r>
      <w:r>
        <w:t>и</w:t>
      </w:r>
      <w:r>
        <w:t>онной культуре клеток ВНК-21. Титр инфекционности вируса был в пр</w:t>
      </w:r>
      <w:r>
        <w:t>е</w:t>
      </w:r>
      <w:r>
        <w:t>делах 6,33- 6,50 lgЛД</w:t>
      </w:r>
      <w:r>
        <w:rPr>
          <w:vertAlign w:val="subscript"/>
        </w:rPr>
        <w:t>50</w:t>
      </w:r>
      <w:r>
        <w:t>/мл. По окончании культивирования ВБ в суспензию вносили высокомолекулярную полиакриловую кислоту (ПАК) или фера</w:t>
      </w:r>
      <w:r>
        <w:t>к</w:t>
      </w:r>
      <w:r>
        <w:t>рил (ФА), затем аминоэтилэтиленимин (АЭЭИ) до 0,3% концентрации. Смесь инкубировали при 36-37</w:t>
      </w:r>
      <w:r>
        <w:rPr>
          <w:vertAlign w:val="superscript"/>
        </w:rPr>
        <w:t>0</w:t>
      </w:r>
      <w:r>
        <w:t>С в течение 24 часов с последующим хр</w:t>
      </w:r>
      <w:r>
        <w:t>а</w:t>
      </w:r>
      <w:r>
        <w:t>нением при 4-8</w:t>
      </w:r>
      <w:r>
        <w:rPr>
          <w:vertAlign w:val="superscript"/>
        </w:rPr>
        <w:t>0</w:t>
      </w:r>
      <w:r>
        <w:t>С.</w:t>
      </w:r>
      <w:r w:rsidR="0001153D">
        <w:t xml:space="preserve"> </w:t>
      </w:r>
      <w:r>
        <w:t>Титрование инфекционности ВБ проводили на белых мышах массой 10-12 г путем интрацеребрального заражения. Индекс и</w:t>
      </w:r>
      <w:r>
        <w:t>м</w:t>
      </w:r>
      <w:r>
        <w:t>муногенности инактивированных вакцин определяли по методу NIH.</w:t>
      </w:r>
    </w:p>
    <w:p w:rsidR="00F4654E" w:rsidRDefault="00F4654E">
      <w:pPr>
        <w:pStyle w:val="a6"/>
      </w:pPr>
      <w:r>
        <w:t>Культуральный ВБ высокочувствителен к АЭЭИ, т.к. утрачивает и</w:t>
      </w:r>
      <w:r>
        <w:t>н</w:t>
      </w:r>
      <w:r>
        <w:t>фекционность в течение 24 часов при 36-37</w:t>
      </w:r>
      <w:r>
        <w:rPr>
          <w:vertAlign w:val="superscript"/>
        </w:rPr>
        <w:t>0</w:t>
      </w:r>
      <w:r>
        <w:t xml:space="preserve">С под действием 0,005-0,006% концентрации инактиванта. </w:t>
      </w:r>
    </w:p>
    <w:p w:rsidR="00F4654E" w:rsidRDefault="00F4654E">
      <w:pPr>
        <w:pStyle w:val="a6"/>
      </w:pPr>
      <w:r>
        <w:t>Наши исследования по определению концентрации АЭЭИ, убива-ющей контаминирующую микрофлору в суспензии ВБ, привели к закл</w:t>
      </w:r>
      <w:r>
        <w:t>ю</w:t>
      </w:r>
      <w:r>
        <w:t xml:space="preserve">чению о том, что 0,3% концентрация АЭЭИ только в присутствии не менее </w:t>
      </w:r>
      <w:r>
        <w:lastRenderedPageBreak/>
        <w:t>1% концентрации ПАК или ФА способна обеспечить стерильность преп</w:t>
      </w:r>
      <w:r>
        <w:t>е</w:t>
      </w:r>
      <w:r>
        <w:t>рата и его высокую иммуногенность.</w:t>
      </w:r>
    </w:p>
    <w:p w:rsidR="00F4654E" w:rsidRDefault="00F4654E">
      <w:pPr>
        <w:pStyle w:val="a6"/>
      </w:pPr>
      <w:r w:rsidRPr="0001153D">
        <w:rPr>
          <w:spacing w:val="-2"/>
        </w:rPr>
        <w:t>ПАК и ФА (неполная железистая соль ПАК) были применены в кач</w:t>
      </w:r>
      <w:r w:rsidRPr="0001153D">
        <w:rPr>
          <w:spacing w:val="-2"/>
        </w:rPr>
        <w:t>е</w:t>
      </w:r>
      <w:r w:rsidRPr="0001153D">
        <w:rPr>
          <w:spacing w:val="-2"/>
        </w:rPr>
        <w:t>стве стабилизаторов и адъювантов. Стабильность вакцин обусловлена и</w:t>
      </w:r>
      <w:r w:rsidRPr="0001153D">
        <w:rPr>
          <w:spacing w:val="-2"/>
        </w:rPr>
        <w:t>м</w:t>
      </w:r>
      <w:r w:rsidRPr="0001153D">
        <w:rPr>
          <w:spacing w:val="-2"/>
        </w:rPr>
        <w:t>мобил</w:t>
      </w:r>
      <w:r w:rsidRPr="0001153D">
        <w:rPr>
          <w:spacing w:val="-2"/>
        </w:rPr>
        <w:t>и</w:t>
      </w:r>
      <w:r w:rsidRPr="0001153D">
        <w:rPr>
          <w:spacing w:val="-2"/>
        </w:rPr>
        <w:t>зацией органический веществ вируссодержащей суспензии ПАК или ФА. Свойство ПАК стимулировать антителообразование у лаборато</w:t>
      </w:r>
      <w:r w:rsidRPr="0001153D">
        <w:rPr>
          <w:spacing w:val="-2"/>
        </w:rPr>
        <w:t>р</w:t>
      </w:r>
      <w:r w:rsidRPr="0001153D">
        <w:rPr>
          <w:spacing w:val="-2"/>
        </w:rPr>
        <w:t>ных животных описано Петровым Р.В. и Хаитовым Р.М. (1976,1983 г),  а анал</w:t>
      </w:r>
      <w:r w:rsidRPr="0001153D">
        <w:rPr>
          <w:spacing w:val="-2"/>
        </w:rPr>
        <w:t>о</w:t>
      </w:r>
      <w:r w:rsidRPr="0001153D">
        <w:rPr>
          <w:spacing w:val="-2"/>
        </w:rPr>
        <w:t>гичное свойство ФА отмечено Кардей Е.Т. и Пинигиной Н.М. (1986 г).</w:t>
      </w:r>
      <w:r w:rsidR="0001153D">
        <w:rPr>
          <w:spacing w:val="-2"/>
        </w:rPr>
        <w:t xml:space="preserve"> </w:t>
      </w:r>
      <w:r>
        <w:t>ПАК, являясь синтетическим полиэлектролитом, обладает способн</w:t>
      </w:r>
      <w:r>
        <w:t>о</w:t>
      </w:r>
      <w:r>
        <w:t>стью активировать метаболизм различных клеток иммунной системы. ФА в Р</w:t>
      </w:r>
      <w:r>
        <w:t>е</w:t>
      </w:r>
      <w:r>
        <w:t>гистре лекарственных средств России указан как препарат, облада</w:t>
      </w:r>
      <w:r>
        <w:t>ю</w:t>
      </w:r>
      <w:r>
        <w:t>щий бактерицидной и бактериостатической активностью в отношении ряда грамположительных и грамотрицательных микробов (1993 г).</w:t>
      </w:r>
    </w:p>
    <w:p w:rsidR="0001153D" w:rsidRDefault="00F4654E">
      <w:pPr>
        <w:pStyle w:val="a6"/>
      </w:pPr>
      <w:r>
        <w:t>Иммуногенную активность и стерильность (отсутствие контамин</w:t>
      </w:r>
      <w:r>
        <w:t>и</w:t>
      </w:r>
      <w:r>
        <w:t>рующих агентов) трех изготовленных по единому принципу вакцин пров</w:t>
      </w:r>
      <w:r>
        <w:t>е</w:t>
      </w:r>
      <w:r>
        <w:t xml:space="preserve">ряли в течение четырех лет. </w:t>
      </w:r>
    </w:p>
    <w:p w:rsidR="00F4654E" w:rsidRDefault="00F4654E">
      <w:pPr>
        <w:pStyle w:val="a6"/>
      </w:pPr>
      <w:r>
        <w:t>Первая вакцина, содержащая 1% ФА и 0,3% АЭЭИ, на момент изг</w:t>
      </w:r>
      <w:r>
        <w:t>о</w:t>
      </w:r>
      <w:r>
        <w:t>товления имела индекс иммуногенности равный 5,1. Спустя 3 месяца хр</w:t>
      </w:r>
      <w:r>
        <w:t>а</w:t>
      </w:r>
      <w:r>
        <w:t>нения при 4-8</w:t>
      </w:r>
      <w:r>
        <w:rPr>
          <w:vertAlign w:val="superscript"/>
        </w:rPr>
        <w:t>0</w:t>
      </w:r>
      <w:r>
        <w:t>С ее активность соответствовала 4,6, а через 48 месяцев - 5,1, т.е. в течение четырех лет хранения жидкой антир</w:t>
      </w:r>
      <w:r>
        <w:t>а</w:t>
      </w:r>
      <w:r>
        <w:t xml:space="preserve">бической вакцины ее активность сохранилась на исходном уровне. </w:t>
      </w:r>
    </w:p>
    <w:p w:rsidR="00F4654E" w:rsidRDefault="00F4654E">
      <w:pPr>
        <w:pStyle w:val="a6"/>
      </w:pPr>
      <w:r>
        <w:t>Вторая и третья вакцины были изготовлены из заведомо контамин</w:t>
      </w:r>
      <w:r>
        <w:t>и</w:t>
      </w:r>
      <w:r>
        <w:t>рованных вируссодержащих суспензий. Бактериологическая проверка су</w:t>
      </w:r>
      <w:r>
        <w:t>с</w:t>
      </w:r>
      <w:r>
        <w:t>пензий после инактивации смесью ПАК или ФА с АЭЭИ подтвердила о</w:t>
      </w:r>
      <w:r>
        <w:t>т</w:t>
      </w:r>
      <w:r>
        <w:t>сутствие контаминирующих агентов в суспензии. Вторая вакцина, соде</w:t>
      </w:r>
      <w:r>
        <w:t>р</w:t>
      </w:r>
      <w:r>
        <w:t>жащая ПАК, имела индекс иммуногенности 3,0; 3,7; 4,4; 1,7 соответстве</w:t>
      </w:r>
      <w:r>
        <w:t>н</w:t>
      </w:r>
      <w:r>
        <w:t>но через 0, 2, 3, 48 месяцев хранения. Индекс иммуногенности третьей вакцины, содержащей ФА, спустя 0; 1 и 48 месяцев хранения был равен 3,4; 4,7; 2,0.</w:t>
      </w:r>
    </w:p>
    <w:p w:rsidR="00F4654E" w:rsidRDefault="00F4654E">
      <w:pPr>
        <w:pStyle w:val="a6"/>
      </w:pPr>
      <w:r>
        <w:t>Таким образом, использование ПАК, ФА и АЭЭИ позволило получить авирулентную стабильную высокоиммуногенную и свободную от конт</w:t>
      </w:r>
      <w:r>
        <w:t>а</w:t>
      </w:r>
      <w:r>
        <w:t>минирующих агентов жидкую антирабическую вакцину, сохраняющую иммуногенную активность выше необходимого уровня (1,0) в течение 48 месяцев.</w:t>
      </w:r>
    </w:p>
    <w:p w:rsidR="00F4654E" w:rsidRDefault="00F4654E">
      <w:pPr>
        <w:pStyle w:val="a4"/>
      </w:pPr>
      <w:r>
        <w:t>УДК 636.03:579.842.23</w:t>
      </w:r>
    </w:p>
    <w:p w:rsidR="00F4654E" w:rsidRDefault="00F4654E">
      <w:pPr>
        <w:pStyle w:val="1"/>
      </w:pPr>
      <w:bookmarkStart w:id="2657" w:name="_Toc10731376"/>
      <w:bookmarkStart w:id="2658" w:name="_Toc11137807"/>
      <w:bookmarkStart w:id="2659" w:name="_Toc11138225"/>
      <w:bookmarkStart w:id="2660" w:name="_Toc11138643"/>
      <w:bookmarkStart w:id="2661" w:name="_Toc11139061"/>
      <w:bookmarkStart w:id="2662" w:name="_Toc11139479"/>
      <w:bookmarkStart w:id="2663" w:name="_Toc11139897"/>
      <w:bookmarkStart w:id="2664" w:name="_Toc11140315"/>
      <w:bookmarkStart w:id="2665" w:name="_Toc11390425"/>
      <w:bookmarkStart w:id="2666" w:name="_Toc11840110"/>
      <w:bookmarkStart w:id="2667" w:name="_Toc11937646"/>
      <w:r>
        <w:t>МОРФОЛОГИЯ  ТОНКОГО  ОТДЕЛА КИШЕЧНИКА  ПРИ ЭКСПЕРИМЕНТАЛЬНОМ  ИЕРСИНИОЗЕ</w:t>
      </w:r>
      <w:bookmarkEnd w:id="2657"/>
      <w:bookmarkEnd w:id="2658"/>
      <w:bookmarkEnd w:id="2659"/>
      <w:bookmarkEnd w:id="2660"/>
      <w:bookmarkEnd w:id="2661"/>
      <w:bookmarkEnd w:id="2662"/>
      <w:bookmarkEnd w:id="2663"/>
      <w:bookmarkEnd w:id="2664"/>
      <w:bookmarkEnd w:id="2665"/>
      <w:bookmarkEnd w:id="2666"/>
      <w:bookmarkEnd w:id="2667"/>
    </w:p>
    <w:p w:rsidR="00F4654E" w:rsidRDefault="00F4654E">
      <w:pPr>
        <w:pStyle w:val="2"/>
      </w:pPr>
      <w:bookmarkStart w:id="2668" w:name="_Toc10731377"/>
      <w:bookmarkStart w:id="2669" w:name="_Toc11032266"/>
      <w:bookmarkStart w:id="2670" w:name="_Toc11137808"/>
      <w:bookmarkStart w:id="2671" w:name="_Toc11138226"/>
      <w:bookmarkStart w:id="2672" w:name="_Toc11138644"/>
      <w:bookmarkStart w:id="2673" w:name="_Toc11139062"/>
      <w:bookmarkStart w:id="2674" w:name="_Toc11139480"/>
      <w:bookmarkStart w:id="2675" w:name="_Toc11139898"/>
      <w:bookmarkStart w:id="2676" w:name="_Toc11140316"/>
      <w:bookmarkStart w:id="2677" w:name="_Toc11390426"/>
      <w:bookmarkStart w:id="2678" w:name="_Toc11937647"/>
      <w:r>
        <w:t>Ленченко Е.М.</w:t>
      </w:r>
      <w:bookmarkEnd w:id="2668"/>
      <w:bookmarkEnd w:id="2669"/>
      <w:bookmarkEnd w:id="2670"/>
      <w:bookmarkEnd w:id="2671"/>
      <w:bookmarkEnd w:id="2672"/>
      <w:bookmarkEnd w:id="2673"/>
      <w:bookmarkEnd w:id="2674"/>
      <w:bookmarkEnd w:id="2675"/>
      <w:bookmarkEnd w:id="2676"/>
      <w:bookmarkEnd w:id="2677"/>
      <w:bookmarkEnd w:id="2678"/>
    </w:p>
    <w:p w:rsidR="00F4654E" w:rsidRDefault="00F4654E">
      <w:pPr>
        <w:pStyle w:val="a5"/>
      </w:pPr>
      <w:r>
        <w:t>Московский государственный университет прикладной биотехнологии</w:t>
      </w:r>
    </w:p>
    <w:p w:rsidR="00F4654E" w:rsidRDefault="00F4654E">
      <w:pPr>
        <w:pStyle w:val="a6"/>
      </w:pPr>
      <w:r>
        <w:t>В структуре заболеваний животных раннего постнатального периода основное место занимают расстройства деятельности желудочно-кишеч-</w:t>
      </w:r>
      <w:r>
        <w:lastRenderedPageBreak/>
        <w:t>ного тракта. Учитывая, что при определенных обстоятельствах иерсинии могут явиться этиологическим фактором этих болезней, проводили иссл</w:t>
      </w:r>
      <w:r>
        <w:t>е</w:t>
      </w:r>
      <w:r>
        <w:t xml:space="preserve">дования изменений органов и тканей при экспериментальном иерсиниозе. </w:t>
      </w:r>
    </w:p>
    <w:p w:rsidR="00F4654E" w:rsidRDefault="00F4654E">
      <w:pPr>
        <w:pStyle w:val="a6"/>
      </w:pPr>
      <w:r>
        <w:t>Для гистологических и цитохимических исследований пробы обраб</w:t>
      </w:r>
      <w:r>
        <w:t>а</w:t>
      </w:r>
      <w:r>
        <w:t>тывали общепринятыми методами. Электронно-микроскопические иссл</w:t>
      </w:r>
      <w:r>
        <w:t>е</w:t>
      </w:r>
      <w:r>
        <w:t>дования проводили общепринятыми и разработанными оригинальными методиками подготовки препаратов для световой, сканирующей и просв</w:t>
      </w:r>
      <w:r>
        <w:t>е</w:t>
      </w:r>
      <w:r>
        <w:t>чивающей электронной микроскопии. Объекты исследовали в световом микроскопе “Биолам-3”, электронном микроскопе “Hitachi-800” со скан</w:t>
      </w:r>
      <w:r>
        <w:t>и</w:t>
      </w:r>
      <w:r>
        <w:t>рующей приставкой   “Hitachi-8010” и электронном микроскопе “Jeol 840 А“ при ускоряющем напряжении 75 кВ и инструментальном увеличении 1-300 тысяч. Образцы, предназначенные для исследования в сканирующем электронном микроскопе, напыляли золотом на установке «Е-102». Мо</w:t>
      </w:r>
      <w:r>
        <w:t>р</w:t>
      </w:r>
      <w:r>
        <w:t xml:space="preserve">фометрические исследования проводили на компьютерной телевизионной системе “ДИАМОРФ” (НИИФХМ) и реализованном на установке IBAS (“Opton”) программным комплексом “ДИАМОРФО”, </w:t>
      </w:r>
    </w:p>
    <w:p w:rsidR="00F4654E" w:rsidRDefault="00F4654E">
      <w:pPr>
        <w:pStyle w:val="a6"/>
      </w:pPr>
      <w:r>
        <w:t>С целью экспериментального воспроизведения иерсиниоза белых бе</w:t>
      </w:r>
      <w:r>
        <w:t>с</w:t>
      </w:r>
      <w:r>
        <w:t>породных лабораторных мышей  заражали  культурами Y.enterocolitica O3 и O9 (интрагастральная инокуляция), в дозе 5</w:t>
      </w:r>
      <w:r>
        <w:sym w:font="Symbol" w:char="F0B4"/>
      </w:r>
      <w:r>
        <w:t>10</w:t>
      </w:r>
      <w:r>
        <w:rPr>
          <w:vertAlign w:val="superscript"/>
        </w:rPr>
        <w:t>8</w:t>
      </w:r>
      <w:r>
        <w:t xml:space="preserve"> микробных клеток. Ук</w:t>
      </w:r>
      <w:r>
        <w:t>а</w:t>
      </w:r>
      <w:r>
        <w:t xml:space="preserve">занные культуры микроорганизмов были выделены нами из тонкого отдела кишечника поросят, погибших от болезней с невыясненной этиологией. </w:t>
      </w:r>
    </w:p>
    <w:p w:rsidR="0001153D" w:rsidRDefault="00F4654E">
      <w:pPr>
        <w:pStyle w:val="a6"/>
      </w:pPr>
      <w:r>
        <w:t>У  всех  подопытных  мышей через 1-2 суток с момента заражения н</w:t>
      </w:r>
      <w:r>
        <w:t>а</w:t>
      </w:r>
      <w:r>
        <w:t>блюдали угнетение, отсутствие аппетита, жажду и диарею. Гибель 100% подопытных животных наступала на 2-4 сутки с момента заражения. Из фекалий, содержимого тонкого отдела кишечника, крови и паренхимато</w:t>
      </w:r>
      <w:r>
        <w:t>з</w:t>
      </w:r>
      <w:r>
        <w:t>ных органов подопытных мышей были выделены культуры Y.enterocolitica О3 и О9. Патологоанатомические изменения характеризовались развитием ос</w:t>
      </w:r>
      <w:r>
        <w:t>т</w:t>
      </w:r>
      <w:r>
        <w:t xml:space="preserve">рого серозно-фибринозного энтерита. </w:t>
      </w:r>
    </w:p>
    <w:p w:rsidR="0001153D" w:rsidRDefault="00F4654E">
      <w:pPr>
        <w:pStyle w:val="a6"/>
      </w:pPr>
      <w:r>
        <w:t>При гистологическом исследовании у опытных мышей рельефы во</w:t>
      </w:r>
      <w:r>
        <w:t>р</w:t>
      </w:r>
      <w:r>
        <w:t>синок и крипт двенадцатиперстного, тощего, подвздошного  отделов к</w:t>
      </w:r>
      <w:r>
        <w:t>и</w:t>
      </w:r>
      <w:r>
        <w:t>шечника были уплощенными, их гран</w:t>
      </w:r>
      <w:r>
        <w:t>и</w:t>
      </w:r>
      <w:r>
        <w:t>цы сглаженными. На поверхности эпителия и в лимфатических пространствах ворсинок выявлялись микр</w:t>
      </w:r>
      <w:r>
        <w:t>о</w:t>
      </w:r>
      <w:r>
        <w:t>организмы, по морфометрическим показателям сходные с иерсиниями. Целостность эпителиального пласта во многих участках была нарушена. На поверхности эпителия ворсинок тонкого  о</w:t>
      </w:r>
      <w:r>
        <w:t>т</w:t>
      </w:r>
      <w:r>
        <w:t>дела кишечника  наблюдали наличие массивных сплошных пленок из бактериальных клеток, по мо</w:t>
      </w:r>
      <w:r>
        <w:t>р</w:t>
      </w:r>
      <w:r>
        <w:t>фометрическим характеристикам соответств</w:t>
      </w:r>
      <w:r>
        <w:t>о</w:t>
      </w:r>
      <w:r>
        <w:t xml:space="preserve">вавших иерсиниям. </w:t>
      </w:r>
    </w:p>
    <w:p w:rsidR="00F4654E" w:rsidRDefault="00F4654E">
      <w:pPr>
        <w:pStyle w:val="a6"/>
      </w:pPr>
      <w:r>
        <w:t>При цитохимическом исследовании гистологических срезов, с прим</w:t>
      </w:r>
      <w:r>
        <w:t>е</w:t>
      </w:r>
      <w:r>
        <w:t>нением реа</w:t>
      </w:r>
      <w:r>
        <w:t>к</w:t>
      </w:r>
      <w:r>
        <w:t>ции Шифф-йодной кислоты (Шик-реакция), было установлено, что эти  пленки  представлены полисахарид</w:t>
      </w:r>
      <w:r>
        <w:t>а</w:t>
      </w:r>
      <w:r>
        <w:t xml:space="preserve">ми и их комплексами. </w:t>
      </w:r>
    </w:p>
    <w:p w:rsidR="00F4654E" w:rsidRDefault="00F4654E">
      <w:pPr>
        <w:pStyle w:val="a6"/>
      </w:pPr>
      <w:r>
        <w:t>При электронно-микроскопическом исследовании обнаружили, что ворсинки тонкого отдела кишечника контрольных мышей  имели объе</w:t>
      </w:r>
      <w:r>
        <w:t>м</w:t>
      </w:r>
      <w:r>
        <w:t xml:space="preserve">ную конусообразную форму. У опытных мышей ворсинки тонкого отдела </w:t>
      </w:r>
      <w:r>
        <w:lastRenderedPageBreak/>
        <w:t>кишечника  были не объемные, как бы спавшиеся; апикальная поверхность каемчатых энтероцитов  была бугристой, нередко разрыхленной,  за счет инвазии бактериальными клетками. На поверхности эпителия ворсинок выявляли наличие палочковидных бактериальных клеток, сходных по морфометрическим показателям с иерсиниями, большинство клеток ра</w:t>
      </w:r>
      <w:r>
        <w:t>с</w:t>
      </w:r>
      <w:r>
        <w:t>полагались под покровом. Наряду с палочковидными клетками были выя</w:t>
      </w:r>
      <w:r>
        <w:t>в</w:t>
      </w:r>
      <w:r>
        <w:t>лены гетероморфные клетки (сферопласты, протопласты, игольчатые структуры), свойственные L-трансформации бактерий. Факт наличия L-трансформации иерсиний можно рассматривать как один из факторов, обусловливающих длительность персистенции иерсиний в теплокровном организме. Ворсинки тонкого отдела кишечника опытных мышей имели уплощенную форму за счет проявления адгезивных, инвазивных и цит</w:t>
      </w:r>
      <w:r>
        <w:t>о</w:t>
      </w:r>
      <w:r>
        <w:t xml:space="preserve">токсических свойств иерсиний. </w:t>
      </w:r>
    </w:p>
    <w:p w:rsidR="0001153D" w:rsidRDefault="00F4654E">
      <w:pPr>
        <w:pStyle w:val="a6"/>
      </w:pPr>
      <w:r>
        <w:t>Принимая во внимание тот факт, что куры могут быть носителями возбудителей иерсиниозов и  малоизученность вопроса, мы провели эксп</w:t>
      </w:r>
      <w:r>
        <w:t>е</w:t>
      </w:r>
      <w:r>
        <w:t xml:space="preserve">риментальное заражение иерсиниями кур (порода белый леггорн, возраст 2 года). </w:t>
      </w:r>
    </w:p>
    <w:p w:rsidR="0001153D" w:rsidRDefault="00F4654E">
      <w:pPr>
        <w:pStyle w:val="a6"/>
      </w:pPr>
      <w:r>
        <w:t>Кур  заражали  культурами  Y.enterocolitica O3 и O9 (интраназальная и внутримышечная инокуляция), в дозе 5</w:t>
      </w:r>
      <w:r>
        <w:sym w:font="Symbol" w:char="F0B4"/>
      </w:r>
      <w:r>
        <w:t>10</w:t>
      </w:r>
      <w:r>
        <w:rPr>
          <w:vertAlign w:val="superscript"/>
        </w:rPr>
        <w:t>8</w:t>
      </w:r>
      <w:r>
        <w:t xml:space="preserve"> микробных клеток. У по</w:t>
      </w:r>
      <w:r>
        <w:t>д</w:t>
      </w:r>
      <w:r>
        <w:t>опытных кур в течение 15 суток (срок эксперимента) не наблюдали вид</w:t>
      </w:r>
      <w:r>
        <w:t>и</w:t>
      </w:r>
      <w:r>
        <w:t>мых клинических изменений, на 7, 9, 15 сутки эксперимента проводили диагностический убой птицы.  Культуры Y.enterocolitica О3 и О9 были в</w:t>
      </w:r>
      <w:r>
        <w:t>ы</w:t>
      </w:r>
      <w:r>
        <w:t xml:space="preserve">делены из содержимого тонкого отдела кишечника и фекалий. </w:t>
      </w:r>
    </w:p>
    <w:p w:rsidR="00F4654E" w:rsidRDefault="00F4654E">
      <w:pPr>
        <w:pStyle w:val="a6"/>
      </w:pPr>
      <w:r>
        <w:t>В сканирующем электронном микроскопе ворсинки тонкого отдела кишечника контрольных кур  имели объемную конусообразную форму. На поверхности эпителия отдельных ворсинок тонкого отдела кишечника опытных кур  были выявлены бактериальные клетки, сходные по морф</w:t>
      </w:r>
      <w:r>
        <w:t>о</w:t>
      </w:r>
      <w:r>
        <w:t>метрическим показателям с иерсиниями, большинство бактериальных кл</w:t>
      </w:r>
      <w:r>
        <w:t>е</w:t>
      </w:r>
      <w:r>
        <w:t>ток располаг</w:t>
      </w:r>
      <w:r>
        <w:t>а</w:t>
      </w:r>
      <w:r>
        <w:t xml:space="preserve">лись под покровом. </w:t>
      </w:r>
    </w:p>
    <w:p w:rsidR="00F4654E" w:rsidRDefault="00F4654E">
      <w:pPr>
        <w:pStyle w:val="a6"/>
      </w:pPr>
      <w:r>
        <w:t>Результаты экспериментов позволяют заключить, что in vivo бактер</w:t>
      </w:r>
      <w:r>
        <w:t>и</w:t>
      </w:r>
      <w:r>
        <w:t>альные клетки иерсиний продуцируют в межклеточное пространство экз</w:t>
      </w:r>
      <w:r>
        <w:t>о</w:t>
      </w:r>
      <w:r>
        <w:t>целлюлярные вещества, которые выявляются в сканирующем электронном микроскопе в виде покровов и  участвуют в адгезии бактериальных клеток к поверхности энтероцитов тонкого отдела кишечника мышей и кур. Ва</w:t>
      </w:r>
      <w:r>
        <w:t>ж</w:t>
      </w:r>
      <w:r>
        <w:t>ным  является тот факт, что покровы, выявленные у бактерий in vivo и in vitro, морфологически были сходными. Из этого следует, что механизм о</w:t>
      </w:r>
      <w:r>
        <w:t>б</w:t>
      </w:r>
      <w:r>
        <w:t xml:space="preserve">разования экзоцеллюлярных веществ иерсиниями in vitro и in vivo может быть универсальным. </w:t>
      </w:r>
    </w:p>
    <w:p w:rsidR="0001153D" w:rsidRDefault="0001153D">
      <w:pPr>
        <w:pStyle w:val="a4"/>
      </w:pPr>
    </w:p>
    <w:p w:rsidR="0001153D" w:rsidRDefault="0001153D">
      <w:pPr>
        <w:pStyle w:val="a4"/>
      </w:pPr>
    </w:p>
    <w:p w:rsidR="00F4654E" w:rsidRDefault="00F4654E">
      <w:pPr>
        <w:pStyle w:val="a4"/>
      </w:pPr>
      <w:r>
        <w:lastRenderedPageBreak/>
        <w:t>УДК 619:577.118:636.2:612.015.3</w:t>
      </w:r>
    </w:p>
    <w:p w:rsidR="00F4654E" w:rsidRDefault="00F4654E">
      <w:pPr>
        <w:pStyle w:val="1"/>
      </w:pPr>
      <w:bookmarkStart w:id="2679" w:name="_Toc10731378"/>
      <w:bookmarkStart w:id="2680" w:name="_Toc11137809"/>
      <w:bookmarkStart w:id="2681" w:name="_Toc11138227"/>
      <w:bookmarkStart w:id="2682" w:name="_Toc11138645"/>
      <w:bookmarkStart w:id="2683" w:name="_Toc11139063"/>
      <w:bookmarkStart w:id="2684" w:name="_Toc11139481"/>
      <w:bookmarkStart w:id="2685" w:name="_Toc11139899"/>
      <w:bookmarkStart w:id="2686" w:name="_Toc11140317"/>
      <w:bookmarkStart w:id="2687" w:name="_Toc11390427"/>
      <w:bookmarkStart w:id="2688" w:name="_Toc11840112"/>
      <w:bookmarkStart w:id="2689" w:name="_Toc11937648"/>
      <w:r>
        <w:t>МЕТОДИЧЕСКИЙ ПОДХОД К ПРОФИЛАКТИКЕ ОКИСЛИТЕЛЬНОГО СТРЕССА</w:t>
      </w:r>
      <w:bookmarkEnd w:id="2679"/>
      <w:bookmarkEnd w:id="2680"/>
      <w:bookmarkEnd w:id="2681"/>
      <w:bookmarkEnd w:id="2682"/>
      <w:bookmarkEnd w:id="2683"/>
      <w:bookmarkEnd w:id="2684"/>
      <w:bookmarkEnd w:id="2685"/>
      <w:bookmarkEnd w:id="2686"/>
      <w:bookmarkEnd w:id="2687"/>
      <w:bookmarkEnd w:id="2688"/>
      <w:bookmarkEnd w:id="2689"/>
    </w:p>
    <w:p w:rsidR="00F4654E" w:rsidRDefault="00F4654E">
      <w:pPr>
        <w:pStyle w:val="2"/>
      </w:pPr>
      <w:bookmarkStart w:id="2690" w:name="_Toc10731379"/>
      <w:bookmarkStart w:id="2691" w:name="_Toc11032267"/>
      <w:bookmarkStart w:id="2692" w:name="_Toc11137810"/>
      <w:bookmarkStart w:id="2693" w:name="_Toc11138228"/>
      <w:bookmarkStart w:id="2694" w:name="_Toc11138646"/>
      <w:bookmarkStart w:id="2695" w:name="_Toc11139064"/>
      <w:bookmarkStart w:id="2696" w:name="_Toc11139482"/>
      <w:bookmarkStart w:id="2697" w:name="_Toc11139900"/>
      <w:bookmarkStart w:id="2698" w:name="_Toc11140318"/>
      <w:bookmarkStart w:id="2699" w:name="_Toc11390428"/>
      <w:bookmarkStart w:id="2700" w:name="_Toc11937649"/>
      <w:r>
        <w:t>Леонтьев Л.Б.</w:t>
      </w:r>
      <w:bookmarkEnd w:id="2690"/>
      <w:bookmarkEnd w:id="2691"/>
      <w:bookmarkEnd w:id="2692"/>
      <w:bookmarkEnd w:id="2693"/>
      <w:bookmarkEnd w:id="2694"/>
      <w:bookmarkEnd w:id="2695"/>
      <w:bookmarkEnd w:id="2696"/>
      <w:bookmarkEnd w:id="2697"/>
      <w:bookmarkEnd w:id="2698"/>
      <w:bookmarkEnd w:id="2699"/>
      <w:bookmarkEnd w:id="2700"/>
    </w:p>
    <w:p w:rsidR="00F4654E" w:rsidRDefault="00F4654E">
      <w:pPr>
        <w:pStyle w:val="a5"/>
      </w:pPr>
      <w:r>
        <w:t xml:space="preserve">Научно-исследовательский ветеринарный институт Нечерноземной зоны РФ </w:t>
      </w:r>
    </w:p>
    <w:p w:rsidR="00F4654E" w:rsidRDefault="00F4654E">
      <w:pPr>
        <w:pStyle w:val="a6"/>
      </w:pPr>
      <w:r>
        <w:t>Перекисное окисление липидов является нормальным метаболичес-ким процессом, представленным во всех органах и тканях организма. Ч</w:t>
      </w:r>
      <w:r>
        <w:t>е</w:t>
      </w:r>
      <w:r>
        <w:t>рез стадию перекисных производных происходит биосинтез многих биол</w:t>
      </w:r>
      <w:r>
        <w:t>о</w:t>
      </w:r>
      <w:r>
        <w:t>гически активных веществ, а также регуляция активности ферментов. Ра</w:t>
      </w:r>
      <w:r>
        <w:t>в</w:t>
      </w:r>
      <w:r>
        <w:t>новесие свободнорадикальных процессов является основой нормального функционирования организма.</w:t>
      </w:r>
    </w:p>
    <w:p w:rsidR="00F4654E" w:rsidRDefault="00F4654E">
      <w:pPr>
        <w:pStyle w:val="a6"/>
      </w:pPr>
      <w:r>
        <w:t>К настоящему времени можно считать доказанным, тот факт, что окислительный стресс может опосредовать большое число болезней, во</w:t>
      </w:r>
      <w:r>
        <w:t>з</w:t>
      </w:r>
      <w:r>
        <w:t>никающих у животных. Так, например, длительный дефицит некоторых макро- и микроэлементов создает в организме животных состояние стре</w:t>
      </w:r>
      <w:r>
        <w:t>с</w:t>
      </w:r>
      <w:r>
        <w:t>совой дезадаптации, интенсифицирует процессы пероксидации липидов. Избыток последних в организме инактивирует большинство ферментов, приводит к нарушению различных звеньев обмена веществ, угнетению клеточных и гуморальных звеньев иммунитета, оказывает отрицательное влияние на репродуктивную функцию животных. Отсюда ясно, что пред</w:t>
      </w:r>
      <w:r>
        <w:t>у</w:t>
      </w:r>
      <w:r>
        <w:t>преждение возможности развития окислительного стресса – это уникал</w:t>
      </w:r>
      <w:r>
        <w:t>ь</w:t>
      </w:r>
      <w:r>
        <w:t>ная возможность предупреждения возникновения целого ряда заболев</w:t>
      </w:r>
      <w:r>
        <w:t>а</w:t>
      </w:r>
      <w:r>
        <w:t xml:space="preserve">ний, в том числе и нарушения воспроизводительной функции. </w:t>
      </w:r>
    </w:p>
    <w:p w:rsidR="00F4654E" w:rsidRDefault="00F4654E">
      <w:pPr>
        <w:pStyle w:val="a6"/>
      </w:pPr>
      <w:r>
        <w:t>Потенциальные возможности, которые скрывает в себе минимизация окислительного повреждения тканей и связанное с ней снижение забол</w:t>
      </w:r>
      <w:r>
        <w:t>е</w:t>
      </w:r>
      <w:r>
        <w:t>вания, вызывают интенсивные научные исследования в этой области. Большое внимание в частности, отводится механизмам генерации и ра</w:t>
      </w:r>
      <w:r>
        <w:t>с</w:t>
      </w:r>
      <w:r>
        <w:t>пространения свободных радикалов in vivo и возможности регуляции би</w:t>
      </w:r>
      <w:r>
        <w:t>о</w:t>
      </w:r>
      <w:r>
        <w:t>логически активными веществами (в частности витаминами) способности организма противостоять окислительному повреждению.</w:t>
      </w:r>
    </w:p>
    <w:p w:rsidR="00F4654E" w:rsidRDefault="00F4654E">
      <w:pPr>
        <w:pStyle w:val="a6"/>
      </w:pPr>
      <w:r>
        <w:t>В Чувашском научном отделе института изучена экологическая си</w:t>
      </w:r>
      <w:r>
        <w:t>с</w:t>
      </w:r>
      <w:r>
        <w:t>тема  Чувашской республики с включением ее основных составляющих: почва – растения – животные. Установлена, что причиной усиленной ген</w:t>
      </w:r>
      <w:r>
        <w:t>е</w:t>
      </w:r>
      <w:r>
        <w:t>рации свободных радикалов, негативно влияющих на воспроизводител</w:t>
      </w:r>
      <w:r>
        <w:t>ь</w:t>
      </w:r>
      <w:r>
        <w:t>ную функцию и уровень продуктивности животных, является дефицит в окружающей среде меди, цинка, марганца, кобальта, йода, селена и нек</w:t>
      </w:r>
      <w:r>
        <w:t>о</w:t>
      </w:r>
      <w:r>
        <w:t>торых других необходимых для процессов обмена веществ элементов. У телят полученных в этих условиях происходит нарушение приспособ</w:t>
      </w:r>
      <w:r>
        <w:t>и</w:t>
      </w:r>
      <w:r>
        <w:t>тельных процессов. Поэтому в период адаптации организма к условиям внеутробного развития они чаще заболевают желудочно-кишечными и респираторными болезнями.</w:t>
      </w:r>
    </w:p>
    <w:p w:rsidR="00F4654E" w:rsidRDefault="00F4654E">
      <w:pPr>
        <w:pStyle w:val="a6"/>
      </w:pPr>
      <w:r>
        <w:lastRenderedPageBreak/>
        <w:t>Исходя из полученных результатов прорабатывались варианты во</w:t>
      </w:r>
      <w:r>
        <w:t>з</w:t>
      </w:r>
      <w:r>
        <w:t>можности повлиять на способность организма противостоять окислител</w:t>
      </w:r>
      <w:r>
        <w:t>ь</w:t>
      </w:r>
      <w:r>
        <w:t>ному повреждению.</w:t>
      </w:r>
    </w:p>
    <w:p w:rsidR="00F4654E" w:rsidRDefault="00F4654E">
      <w:pPr>
        <w:pStyle w:val="a6"/>
      </w:pPr>
      <w:r>
        <w:t>Кроме антиокислительных ферментов в осуществлении защиты от окислительного повреждения участвуют ряд соединений, поддержива</w:t>
      </w:r>
      <w:r>
        <w:t>ю</w:t>
      </w:r>
      <w:r>
        <w:t>щих баланс между оксидантами и антиоксидантами в организме. Одними из них являются витамины Е и С. Оба эти витамины являются мощными антиоксидантами вместе с ферментами пероксидаза, глутатионпероксид</w:t>
      </w:r>
      <w:r>
        <w:t>а</w:t>
      </w:r>
      <w:r>
        <w:t>за, каталаза и др.  Но при серьезных окислительных стрессах количество антиоксидантов в клетке снижается. Витамин Е не синтезируется в орг</w:t>
      </w:r>
      <w:r>
        <w:t>а</w:t>
      </w:r>
      <w:r>
        <w:t>низме животных, поэтому основным их источником являются корма. О</w:t>
      </w:r>
      <w:r>
        <w:t>д</w:t>
      </w:r>
      <w:r>
        <w:t>нако при заготовке кормов и особенно при длительном их хранении вит</w:t>
      </w:r>
      <w:r>
        <w:t>а</w:t>
      </w:r>
      <w:r>
        <w:t>мин Е разрушается, поэтому в зимне-стойловый период животные могут испытывать недостаток этого витамина.</w:t>
      </w:r>
    </w:p>
    <w:p w:rsidR="00F4654E" w:rsidRDefault="00F4654E">
      <w:pPr>
        <w:pStyle w:val="a6"/>
      </w:pPr>
      <w:r>
        <w:t>По данным многих исследователей мы знаем, что фермент глутатио</w:t>
      </w:r>
      <w:r>
        <w:t>н</w:t>
      </w:r>
      <w:r>
        <w:t>пероксидаза играет значительную роль в регуляции образования перекисей в тканях. А недостаток селена в кормах снижает активность этого ферме</w:t>
      </w:r>
      <w:r>
        <w:t>н</w:t>
      </w:r>
      <w:r>
        <w:t>та, которая восстанавливает гидроперекиси и тем самым уменьшает кол</w:t>
      </w:r>
      <w:r>
        <w:t>и</w:t>
      </w:r>
      <w:r>
        <w:t>чество токсических продуктов переокисления.</w:t>
      </w:r>
    </w:p>
    <w:p w:rsidR="00F4654E" w:rsidRDefault="00F4654E">
      <w:pPr>
        <w:pStyle w:val="a6"/>
      </w:pPr>
      <w:r>
        <w:t>Анализируя причинно-следственные отношения в данном случае можно заключить, что в условиях Чувашской республики ряд заболеваний и в частности нарушение воспроизводительной функции развивается на основе усиления процессов пероксидации, снижения антиокислительного статуса  и накопления в тканях токсических продуктов переокисления. П</w:t>
      </w:r>
      <w:r>
        <w:t>о</w:t>
      </w:r>
      <w:r>
        <w:t>этому наиболее рациональным способом профилактики окислительного стресса является комплексное применение микроэлементов, антиоксида</w:t>
      </w:r>
      <w:r>
        <w:t>н</w:t>
      </w:r>
      <w:r>
        <w:t>тов в сочетании с витаминами.</w:t>
      </w:r>
    </w:p>
    <w:p w:rsidR="00F4654E" w:rsidRDefault="00F4654E">
      <w:pPr>
        <w:pStyle w:val="a4"/>
      </w:pPr>
      <w:r>
        <w:t>УДК 610:616-002.5:579.873.21+610:614.48</w:t>
      </w:r>
    </w:p>
    <w:p w:rsidR="00F4654E" w:rsidRDefault="00F4654E">
      <w:pPr>
        <w:pStyle w:val="1"/>
      </w:pPr>
      <w:bookmarkStart w:id="2701" w:name="_Toc10731380"/>
      <w:bookmarkStart w:id="2702" w:name="_Toc11137811"/>
      <w:bookmarkStart w:id="2703" w:name="_Toc11138229"/>
      <w:bookmarkStart w:id="2704" w:name="_Toc11138647"/>
      <w:bookmarkStart w:id="2705" w:name="_Toc11139065"/>
      <w:bookmarkStart w:id="2706" w:name="_Toc11139483"/>
      <w:bookmarkStart w:id="2707" w:name="_Toc11139901"/>
      <w:bookmarkStart w:id="2708" w:name="_Toc11140319"/>
      <w:bookmarkStart w:id="2709" w:name="_Toc11390429"/>
      <w:bookmarkStart w:id="2710" w:name="_Toc11840114"/>
      <w:bookmarkStart w:id="2711" w:name="_Toc11937650"/>
      <w:r>
        <w:t xml:space="preserve">Эффективность бактериоскопического метода </w:t>
      </w:r>
      <w:r>
        <w:br/>
        <w:t xml:space="preserve">для индикации микобактерий в материалах </w:t>
      </w:r>
      <w:r>
        <w:br/>
        <w:t>с животноводческих ферм</w:t>
      </w:r>
      <w:bookmarkEnd w:id="2701"/>
      <w:bookmarkEnd w:id="2702"/>
      <w:bookmarkEnd w:id="2703"/>
      <w:bookmarkEnd w:id="2704"/>
      <w:bookmarkEnd w:id="2705"/>
      <w:bookmarkEnd w:id="2706"/>
      <w:bookmarkEnd w:id="2707"/>
      <w:bookmarkEnd w:id="2708"/>
      <w:bookmarkEnd w:id="2709"/>
      <w:bookmarkEnd w:id="2710"/>
      <w:bookmarkEnd w:id="2711"/>
    </w:p>
    <w:p w:rsidR="00F4654E" w:rsidRDefault="00F4654E">
      <w:pPr>
        <w:pStyle w:val="2"/>
      </w:pPr>
      <w:bookmarkStart w:id="2712" w:name="_Toc10731381"/>
      <w:bookmarkStart w:id="2713" w:name="_Toc11032268"/>
      <w:bookmarkStart w:id="2714" w:name="_Toc11137812"/>
      <w:bookmarkStart w:id="2715" w:name="_Toc11138230"/>
      <w:bookmarkStart w:id="2716" w:name="_Toc11138648"/>
      <w:bookmarkStart w:id="2717" w:name="_Toc11139066"/>
      <w:bookmarkStart w:id="2718" w:name="_Toc11139484"/>
      <w:bookmarkStart w:id="2719" w:name="_Toc11139902"/>
      <w:bookmarkStart w:id="2720" w:name="_Toc11140320"/>
      <w:bookmarkStart w:id="2721" w:name="_Toc11390430"/>
      <w:bookmarkStart w:id="2722" w:name="_Toc11937651"/>
      <w:r>
        <w:t>Ливенцева И.В., Субботина С.Г., Куликов К.В., Жмуров Н.Г.</w:t>
      </w:r>
      <w:bookmarkEnd w:id="2712"/>
      <w:bookmarkEnd w:id="2713"/>
      <w:bookmarkEnd w:id="2714"/>
      <w:bookmarkEnd w:id="2715"/>
      <w:bookmarkEnd w:id="2716"/>
      <w:bookmarkEnd w:id="2717"/>
      <w:bookmarkEnd w:id="2718"/>
      <w:bookmarkEnd w:id="2719"/>
      <w:bookmarkEnd w:id="2720"/>
      <w:bookmarkEnd w:id="2721"/>
      <w:bookmarkEnd w:id="2722"/>
    </w:p>
    <w:p w:rsidR="00F4654E" w:rsidRDefault="00F4654E">
      <w:pPr>
        <w:pStyle w:val="a5"/>
      </w:pPr>
      <w:r>
        <w:t>Воронежский государственный аграрный университет им. К.Д. Глинки</w:t>
      </w:r>
    </w:p>
    <w:p w:rsidR="00F4654E" w:rsidRPr="0001153D" w:rsidRDefault="00F4654E">
      <w:pPr>
        <w:pStyle w:val="a6"/>
        <w:rPr>
          <w:spacing w:val="-4"/>
        </w:rPr>
      </w:pPr>
      <w:r w:rsidRPr="0001153D">
        <w:rPr>
          <w:spacing w:val="-4"/>
        </w:rPr>
        <w:t>В общем комплексе диагностических методов исследования на туберк</w:t>
      </w:r>
      <w:r w:rsidRPr="0001153D">
        <w:rPr>
          <w:spacing w:val="-4"/>
        </w:rPr>
        <w:t>у</w:t>
      </w:r>
      <w:r w:rsidRPr="0001153D">
        <w:rPr>
          <w:spacing w:val="-4"/>
        </w:rPr>
        <w:t>лёз, используемых для своевременного выявления этого заболевания, знач</w:t>
      </w:r>
      <w:r w:rsidRPr="0001153D">
        <w:rPr>
          <w:spacing w:val="-4"/>
        </w:rPr>
        <w:t>и</w:t>
      </w:r>
      <w:r w:rsidRPr="0001153D">
        <w:rPr>
          <w:spacing w:val="-4"/>
        </w:rPr>
        <w:t>тельное место занимает бактериологическая диагностика, основанная на о</w:t>
      </w:r>
      <w:r w:rsidRPr="0001153D">
        <w:rPr>
          <w:spacing w:val="-4"/>
        </w:rPr>
        <w:t>б</w:t>
      </w:r>
      <w:r w:rsidRPr="0001153D">
        <w:rPr>
          <w:spacing w:val="-4"/>
        </w:rPr>
        <w:t>наружении возбудителя непосредственно в патологических матери</w:t>
      </w:r>
      <w:r w:rsidRPr="0001153D">
        <w:rPr>
          <w:spacing w:val="-4"/>
        </w:rPr>
        <w:t>а</w:t>
      </w:r>
      <w:r w:rsidRPr="0001153D">
        <w:rPr>
          <w:spacing w:val="-4"/>
        </w:rPr>
        <w:t>лах.</w:t>
      </w:r>
      <w:r w:rsidRPr="0001153D">
        <w:rPr>
          <w:spacing w:val="-4"/>
        </w:rPr>
        <w:tab/>
      </w:r>
    </w:p>
    <w:p w:rsidR="00F4654E" w:rsidRPr="0001153D" w:rsidRDefault="00F4654E">
      <w:pPr>
        <w:pStyle w:val="a6"/>
        <w:rPr>
          <w:spacing w:val="-4"/>
        </w:rPr>
      </w:pPr>
      <w:r w:rsidRPr="0001153D">
        <w:rPr>
          <w:spacing w:val="-4"/>
        </w:rPr>
        <w:t>Cо времён открытия R.Koch (1882) возбудителя туберкулёза, лаборато</w:t>
      </w:r>
      <w:r w:rsidRPr="0001153D">
        <w:rPr>
          <w:spacing w:val="-4"/>
        </w:rPr>
        <w:t>р</w:t>
      </w:r>
      <w:r w:rsidRPr="0001153D">
        <w:rPr>
          <w:spacing w:val="-4"/>
        </w:rPr>
        <w:t>ная диагностика этого заболевания в течение ряда десятилетий ограничив</w:t>
      </w:r>
      <w:r w:rsidRPr="0001153D">
        <w:rPr>
          <w:spacing w:val="-4"/>
        </w:rPr>
        <w:t>а</w:t>
      </w:r>
      <w:r w:rsidRPr="0001153D">
        <w:rPr>
          <w:spacing w:val="-4"/>
        </w:rPr>
        <w:t>лась почти исключительно данными бактериоскопического исслед</w:t>
      </w:r>
      <w:r w:rsidRPr="0001153D">
        <w:rPr>
          <w:spacing w:val="-4"/>
        </w:rPr>
        <w:t>о</w:t>
      </w:r>
      <w:r w:rsidRPr="0001153D">
        <w:rPr>
          <w:spacing w:val="-4"/>
        </w:rPr>
        <w:t>вания. С 1995 года в России внедряется программа выявления т</w:t>
      </w:r>
      <w:r w:rsidRPr="0001153D">
        <w:rPr>
          <w:spacing w:val="-4"/>
        </w:rPr>
        <w:t>у</w:t>
      </w:r>
      <w:r w:rsidRPr="0001153D">
        <w:rPr>
          <w:spacing w:val="-4"/>
        </w:rPr>
        <w:t xml:space="preserve">беркулёза согласно </w:t>
      </w:r>
      <w:r w:rsidRPr="0001153D">
        <w:rPr>
          <w:spacing w:val="-4"/>
        </w:rPr>
        <w:lastRenderedPageBreak/>
        <w:t>рекомендации ВОЗ, в рамках которой приоритет в диагностике туберкулёза переносится на бактериоскопические методы (Немцова Е.С., 2001).</w:t>
      </w:r>
    </w:p>
    <w:p w:rsidR="00F4654E" w:rsidRDefault="00F4654E">
      <w:pPr>
        <w:pStyle w:val="a6"/>
      </w:pPr>
      <w:r>
        <w:t>Бактериоскопия мазка, приготовленного из исследуемого материала, окрашенного по Циль-Нильсену, является наиболее быстрым (по10-12 м</w:t>
      </w:r>
      <w:r>
        <w:t>и</w:t>
      </w:r>
      <w:r>
        <w:t>нут на одно исследование), простым и доступным методом исследования. Однако существенным недостатком его является невозможность устано</w:t>
      </w:r>
      <w:r>
        <w:t>в</w:t>
      </w:r>
      <w:r>
        <w:t>ления видовой принадлежности и жизнеспособности, находящихся в мазке микобактерий. Кроме того, рассчитывать на положительные результаты можно лишь при наличии в 1мл исследуемого материала, по меньшей м</w:t>
      </w:r>
      <w:r>
        <w:t>е</w:t>
      </w:r>
      <w:r>
        <w:t>ре, 100-500 тыс. микобактерий, и то, как минимум, при 3-х кратном микр</w:t>
      </w:r>
      <w:r>
        <w:t>о</w:t>
      </w:r>
      <w:r>
        <w:t xml:space="preserve">скопическом исследовании. </w:t>
      </w:r>
    </w:p>
    <w:p w:rsidR="00F4654E" w:rsidRDefault="00F4654E">
      <w:pPr>
        <w:pStyle w:val="a6"/>
      </w:pPr>
      <w:r>
        <w:t>Поскольку микобактерии, как правило, находятся в исследуемых м</w:t>
      </w:r>
      <w:r>
        <w:t>а</w:t>
      </w:r>
      <w:r>
        <w:t>териалах в очень небольших количествах, и неравномерно в них распред</w:t>
      </w:r>
      <w:r>
        <w:t>е</w:t>
      </w:r>
      <w:r>
        <w:t>ляются, то, с целью повышения количества положительных результатов при микроскопировании, рекомендуется обязательное использование м</w:t>
      </w:r>
      <w:r>
        <w:t>е</w:t>
      </w:r>
      <w:r>
        <w:t>тодов гомогенизации и обогащения (флотации и седиментации), позв</w:t>
      </w:r>
      <w:r>
        <w:t>о</w:t>
      </w:r>
      <w:r>
        <w:t>ляющее концентрировать содержащиеся в исследуемом материале мик</w:t>
      </w:r>
      <w:r>
        <w:t>о</w:t>
      </w:r>
      <w:r>
        <w:t>бактерии. Однако, известно, что многие химические вещества, широко применяемые для гомогенизации, значительно подавляют жизнеспосо</w:t>
      </w:r>
      <w:r>
        <w:t>б</w:t>
      </w:r>
      <w:r>
        <w:t>ность микобактерий. Всё это снижает эффективность микроскопии.</w:t>
      </w:r>
    </w:p>
    <w:p w:rsidR="00F4654E" w:rsidRDefault="00F4654E">
      <w:pPr>
        <w:pStyle w:val="a6"/>
      </w:pPr>
      <w:r>
        <w:t>Исходя из вышеизложенного, нами была изучена диагностическая ценность некоторых известных приёмов бактериоскопического метода для индикации микобактерий туберкулёза в различных патологических мат</w:t>
      </w:r>
      <w:r>
        <w:t>е</w:t>
      </w:r>
      <w:r>
        <w:t>риалах с животноводческих ферм.</w:t>
      </w:r>
    </w:p>
    <w:p w:rsidR="00F4654E" w:rsidRDefault="00F4654E">
      <w:pPr>
        <w:pStyle w:val="a6"/>
      </w:pPr>
      <w:r>
        <w:t>Объектами исследования служили 60 проб-соскобов с пяти объектов внешней среды (пол стойл, канавки, проходы, кормушки, поилки) в 3-х животноводческих помещениях на территории неблагополучного по т</w:t>
      </w:r>
      <w:r>
        <w:t>у</w:t>
      </w:r>
      <w:r>
        <w:t>беркулёзу крупного рогатого скота хозяйстве, а также, 21 проба патолог</w:t>
      </w:r>
      <w:r>
        <w:t>и</w:t>
      </w:r>
      <w:r>
        <w:t>ческого материала (лимфоузлы, паренхиматозные органы), взятого от 3-х положительно реагирующих на туберкулин животных при проведении контрольно-диагностического убоя на туберкулёз.</w:t>
      </w:r>
    </w:p>
    <w:p w:rsidR="00F4654E" w:rsidRDefault="00F4654E">
      <w:pPr>
        <w:pStyle w:val="a6"/>
      </w:pPr>
      <w:r>
        <w:t>Учитывая рекомендации, изложенные  в «Наставлении по диагност</w:t>
      </w:r>
      <w:r>
        <w:t>и</w:t>
      </w:r>
      <w:r>
        <w:t>ке туберкулёза животных» (1986), нами, в сравнительных целях, была пр</w:t>
      </w:r>
      <w:r>
        <w:t>о</w:t>
      </w:r>
      <w:r>
        <w:t>верена эффективность микроскопии до, и после обогащения микобакт</w:t>
      </w:r>
      <w:r>
        <w:t>е</w:t>
      </w:r>
      <w:r>
        <w:t>риями туберкулёза вышеуказанных исследуемых материалов параллельно четырьмя способами: седиментацией, флотацией жидкими углеводород</w:t>
      </w:r>
      <w:r>
        <w:t>а</w:t>
      </w:r>
      <w:r>
        <w:t>ми, сочетанием флотации жидкими углеводородами и седиментацей (Су</w:t>
      </w:r>
      <w:r>
        <w:t>б</w:t>
      </w:r>
      <w:r>
        <w:t>ботина С.Г. 1973), флотацией твёрдым углеводородом (парафином) (Су</w:t>
      </w:r>
      <w:r>
        <w:t>б</w:t>
      </w:r>
      <w:r>
        <w:t>ботина С.Г. 1991).</w:t>
      </w:r>
    </w:p>
    <w:p w:rsidR="00F4654E" w:rsidRDefault="00F4654E">
      <w:pPr>
        <w:pStyle w:val="a6"/>
      </w:pPr>
      <w:r>
        <w:t>Результаты исследования показали, что индикация возбудителя т</w:t>
      </w:r>
      <w:r>
        <w:t>у</w:t>
      </w:r>
      <w:r>
        <w:t>беркулёза общепринятыми бактериологическими методами, в любых пат</w:t>
      </w:r>
      <w:r>
        <w:t>о</w:t>
      </w:r>
      <w:r>
        <w:t>логических материалах – это очень трудоёмкий и сложный процесс, тр</w:t>
      </w:r>
      <w:r>
        <w:t>е</w:t>
      </w:r>
      <w:r>
        <w:t>бующий от исследователя определённых навыков и тщательности при в</w:t>
      </w:r>
      <w:r>
        <w:t>ы</w:t>
      </w:r>
      <w:r>
        <w:lastRenderedPageBreak/>
        <w:t>полнении исследований. Положение ещё более усугубляется при работе с материалами из мест содержания животных, которые, как правило, имеют незначительную степень контаминирования микобактериями и содержат в большом количестве другие микроорганизмы и механические примеси (о</w:t>
      </w:r>
      <w:r>
        <w:t>с</w:t>
      </w:r>
      <w:r>
        <w:t>татки корма, навоза, земли, и пр.). При этом, если ограничиться для обн</w:t>
      </w:r>
      <w:r>
        <w:t>а</w:t>
      </w:r>
      <w:r>
        <w:t>ружения микобактерий в материалах с таких объектов только методом простой микроскопии мазков-препаратов, окрашенных по Циль-Нильсену, то микобактерии в них обнаруживаются с большим трудом, и не во всех случаях, с учётом характера изучаемого материала в 35,2-44,4% проб от общего количества исследованных.</w:t>
      </w:r>
    </w:p>
    <w:p w:rsidR="00F4654E" w:rsidRDefault="00F4654E">
      <w:pPr>
        <w:pStyle w:val="a6"/>
      </w:pPr>
      <w:r>
        <w:t>В сравнении с простой микроскопией, обогащение микобактериями исследуемых материалов повышает индикацию их после седиментации в 1,6-1,9 раза, и в 1,9-2,3 раза после флотации. В тоже время, флотация ок</w:t>
      </w:r>
      <w:r>
        <w:t>а</w:t>
      </w:r>
      <w:r>
        <w:t>залась эффективнее седиментации в 1,2 раза. Использование же для об</w:t>
      </w:r>
      <w:r>
        <w:t>о</w:t>
      </w:r>
      <w:r>
        <w:t>гащения сочетание приёмов флотации и седиментации, позволяет свести до минимума примесь балластных веществ в исследуемых материалах, компактно уменьшить объём пробы, и полностью её микроскопировать. Поэтому результативность этого метода в 2 раза выше в сравнении с сед</w:t>
      </w:r>
      <w:r>
        <w:t>и</w:t>
      </w:r>
      <w:r>
        <w:t>ментацией, и на 20% -с флотацией.</w:t>
      </w:r>
    </w:p>
    <w:p w:rsidR="00F4654E" w:rsidRDefault="00F4654E">
      <w:pPr>
        <w:pStyle w:val="a6"/>
      </w:pPr>
      <w:r>
        <w:t>Использование твёрдого парафина в жидких питательных средах н</w:t>
      </w:r>
      <w:r>
        <w:t>а</w:t>
      </w:r>
      <w:r>
        <w:t>копления (типа 5% МПГБ) позволяет в непрерывном цикле одновременно провести флотацию микобактерий и их последующее культивирование. При этом микобактерии прочно адсорбируются на парафиновых дисках, активно размножаются, формируя на их нижних поверхностях через 48 ч</w:t>
      </w:r>
      <w:r>
        <w:t>а</w:t>
      </w:r>
      <w:r>
        <w:t xml:space="preserve">сов - 7 суток микро- и макроколонии, обильно накапливая бактериальную массу. </w:t>
      </w:r>
    </w:p>
    <w:p w:rsidR="00F4654E" w:rsidRDefault="00F4654E">
      <w:pPr>
        <w:pStyle w:val="a6"/>
      </w:pPr>
      <w:r>
        <w:t>Такой порядок исследования позволяет без выполнения традицио</w:t>
      </w:r>
      <w:r>
        <w:t>н</w:t>
      </w:r>
      <w:r>
        <w:t>ных дополнительных приёмов, предусмотренных при обогащении сед</w:t>
      </w:r>
      <w:r>
        <w:t>и</w:t>
      </w:r>
      <w:r>
        <w:t>ментацией и флотацией (встряхивание с жидкими углеводородами, це</w:t>
      </w:r>
      <w:r>
        <w:t>н</w:t>
      </w:r>
      <w:r>
        <w:t>трифугирование, воздействие химическими детергентами и пр.) надёжно и эффективно провести в течение одного часа (первичная микроскопия) и 24-72 часа и другие требуемые сроки (вторичная микроскопия) индикацию микобактерий в различных патологических материалах. При этом по р</w:t>
      </w:r>
      <w:r>
        <w:t>е</w:t>
      </w:r>
      <w:r>
        <w:t>зультатам первичной микроскопии, число находок в исследуемых образцах проб было выше в 2,6-2,8 раз, чем при простой микроскопии; в 1,5 раза, чем после седиментации, 1,2 раза, чем после флотации.</w:t>
      </w:r>
    </w:p>
    <w:p w:rsidR="00F4654E" w:rsidRDefault="00F4654E">
      <w:pPr>
        <w:pStyle w:val="a6"/>
      </w:pPr>
      <w:r>
        <w:t>Кроме того, при сравнении результатов микроскопии, проведённые в различные сроки инкубирования (24-72 часа и т.д.), а также после обнар</w:t>
      </w:r>
      <w:r>
        <w:t>у</w:t>
      </w:r>
      <w:r>
        <w:t>жения на нижней поверхности парафиновых дисков микро-  и макрокол</w:t>
      </w:r>
      <w:r>
        <w:t>о</w:t>
      </w:r>
      <w:r>
        <w:t>ний микобактерий, можно установить не только их жизнеспособность, но и по сроку появления и характеру роста определить также и видовую пр</w:t>
      </w:r>
      <w:r>
        <w:t>и</w:t>
      </w:r>
      <w:r>
        <w:t>надлежность. Всё это имеет большое практическое значение, особенно при исследовании патологических материалов с неблагополучных по туберк</w:t>
      </w:r>
      <w:r>
        <w:t>у</w:t>
      </w:r>
      <w:r>
        <w:lastRenderedPageBreak/>
        <w:t>лёзу ферм при проведении на них специальных ветеринарно-санитарных оздоровительных мероприятий.</w:t>
      </w:r>
    </w:p>
    <w:p w:rsidR="00F4654E" w:rsidRDefault="00F4654E">
      <w:pPr>
        <w:pStyle w:val="a4"/>
      </w:pPr>
      <w:r>
        <w:t>УДК 619:618.7-084:636.22/.28</w:t>
      </w:r>
    </w:p>
    <w:p w:rsidR="00F4654E" w:rsidRDefault="00F4654E">
      <w:pPr>
        <w:pStyle w:val="1"/>
      </w:pPr>
      <w:bookmarkStart w:id="2723" w:name="_Toc10731384"/>
      <w:bookmarkStart w:id="2724" w:name="_Toc11137813"/>
      <w:bookmarkStart w:id="2725" w:name="_Toc11138231"/>
      <w:bookmarkStart w:id="2726" w:name="_Toc11138649"/>
      <w:bookmarkStart w:id="2727" w:name="_Toc11139067"/>
      <w:bookmarkStart w:id="2728" w:name="_Toc11139485"/>
      <w:bookmarkStart w:id="2729" w:name="_Toc11139903"/>
      <w:bookmarkStart w:id="2730" w:name="_Toc11140321"/>
      <w:bookmarkStart w:id="2731" w:name="_Toc11390431"/>
      <w:bookmarkStart w:id="2732" w:name="_Toc11840116"/>
      <w:bookmarkStart w:id="2733" w:name="_Toc11937652"/>
      <w:r>
        <w:t>ПРИМЕНЕНИЕ ПРЕПАРАТА «ПЛАЦЕНТА АКТИВНОЕ НАЧАЛО» ДЛЯ ПРОФИЛАКТИКИ ПОСЛЕРОДОВОЙ ПАТОЛОГИИ У ВЫСОКОПРОДУКТИВНЫХ КОРОВ</w:t>
      </w:r>
      <w:bookmarkEnd w:id="2723"/>
      <w:bookmarkEnd w:id="2724"/>
      <w:bookmarkEnd w:id="2725"/>
      <w:bookmarkEnd w:id="2726"/>
      <w:bookmarkEnd w:id="2727"/>
      <w:bookmarkEnd w:id="2728"/>
      <w:bookmarkEnd w:id="2729"/>
      <w:bookmarkEnd w:id="2730"/>
      <w:bookmarkEnd w:id="2731"/>
      <w:bookmarkEnd w:id="2732"/>
      <w:bookmarkEnd w:id="2733"/>
    </w:p>
    <w:p w:rsidR="00F4654E" w:rsidRDefault="00F4654E">
      <w:pPr>
        <w:pStyle w:val="2"/>
      </w:pPr>
      <w:bookmarkStart w:id="2734" w:name="_Toc10731385"/>
      <w:bookmarkStart w:id="2735" w:name="_Toc11032270"/>
      <w:bookmarkStart w:id="2736" w:name="_Toc11137814"/>
      <w:bookmarkStart w:id="2737" w:name="_Toc11138232"/>
      <w:bookmarkStart w:id="2738" w:name="_Toc11138650"/>
      <w:bookmarkStart w:id="2739" w:name="_Toc11139068"/>
      <w:bookmarkStart w:id="2740" w:name="_Toc11139486"/>
      <w:bookmarkStart w:id="2741" w:name="_Toc11139904"/>
      <w:bookmarkStart w:id="2742" w:name="_Toc11140322"/>
      <w:bookmarkStart w:id="2743" w:name="_Toc11390432"/>
      <w:bookmarkStart w:id="2744" w:name="_Toc11937653"/>
      <w:r>
        <w:t>Лободин К.А.</w:t>
      </w:r>
      <w:bookmarkEnd w:id="2734"/>
      <w:bookmarkEnd w:id="2735"/>
      <w:bookmarkEnd w:id="2736"/>
      <w:bookmarkEnd w:id="2737"/>
      <w:bookmarkEnd w:id="2738"/>
      <w:bookmarkEnd w:id="2739"/>
      <w:bookmarkEnd w:id="2740"/>
      <w:bookmarkEnd w:id="2741"/>
      <w:bookmarkEnd w:id="2742"/>
      <w:bookmarkEnd w:id="2743"/>
      <w:bookmarkEnd w:id="2744"/>
    </w:p>
    <w:p w:rsidR="00F4654E" w:rsidRDefault="00F4654E">
      <w:pPr>
        <w:pStyle w:val="a5"/>
      </w:pPr>
      <w:r>
        <w:t>Воронежский государственный аграрный университет им. К.Д. Глинки</w:t>
      </w:r>
    </w:p>
    <w:p w:rsidR="00F4654E" w:rsidRDefault="00F4654E">
      <w:pPr>
        <w:pStyle w:val="a6"/>
      </w:pPr>
      <w:r>
        <w:t>Из множества причин, вызывающих бесплодие и снижающих темпы воспроизводства животных особое место занимают осложнения в течение послеродового периода. Патология послеродового периода у коров чаще всего проявляется в форме субинволюции матки, которая развивается на фоне нарушения обмена веществ в организме. По данным многих ученых, субинволюцией матки переболевают до 80% от отелившихся коров, что влечет за собой колоссальные экономические потери. В этой связи нами была изучена эффективность применения для профилактики послеродовых заболеваний у коров нового биостимулятора «Плацента активное начало». Он изготавливается из плаценты женщин на основе принципов Филатова, без термообработки, по новой технологии с использованием при стерил</w:t>
      </w:r>
      <w:r>
        <w:t>и</w:t>
      </w:r>
      <w:r>
        <w:t>зации эффекта кавитации. Препарат применяют для лечения и профила</w:t>
      </w:r>
      <w:r>
        <w:t>к</w:t>
      </w:r>
      <w:r>
        <w:t>тики акушерско-гинекологических заболеваний, повышения потенции производителей, укрепления иммунной системы, увеличения продукти</w:t>
      </w:r>
      <w:r>
        <w:t>в</w:t>
      </w:r>
      <w:r>
        <w:t>ности, в хирургической практике. Побочных явлений и осложнений после применения «ПАН» не установлено.</w:t>
      </w:r>
    </w:p>
    <w:p w:rsidR="00F4654E" w:rsidRDefault="00F4654E">
      <w:pPr>
        <w:pStyle w:val="a6"/>
      </w:pPr>
      <w:r>
        <w:t>Исследования выполнены в зимне-стойловый период на коровах красно-пестрой породы в возрасте 4-10 лет, средней и вышесредней уп</w:t>
      </w:r>
      <w:r>
        <w:t>и</w:t>
      </w:r>
      <w:r>
        <w:t>танности, массой тела 500-700кг, со среднегодовой молочной продукти</w:t>
      </w:r>
      <w:r>
        <w:t>в</w:t>
      </w:r>
      <w:r>
        <w:t>ностью 6000 кг молока в год. Животные содержались на привязи в тип</w:t>
      </w:r>
      <w:r>
        <w:t>о</w:t>
      </w:r>
      <w:r>
        <w:t>вых коровниках. Пассивный моцион осуществлялся на выгульных пл</w:t>
      </w:r>
      <w:r>
        <w:t>о</w:t>
      </w:r>
      <w:r>
        <w:t>щадках ежедневно в течение 2-3 часов. В опыте находились 42  коровы, которые по принципу аналогов были распределены на  3 группы. Живо</w:t>
      </w:r>
      <w:r>
        <w:t>т</w:t>
      </w:r>
      <w:r>
        <w:t>ным первой группы (n=15) двукратно, за 10-14 дней до отела и в день отела подкожно инъецировали препарат «ПАН» в дозе 20 мл. Животным второй группы (n=13) в эти же сроки назначали сочетанное введение препарата «ПАН» в дозе 10 мл и тривитамина в дозе 10 мл, коровы третьей группы (n=14) биологически активных веществ не получали и служили контролем. Все животные находились под постоянным наблюдением и обследовались клинико-гинекологически. Учитывали общее состояние, характер родов,     течение инволюционных процессов в матке и сроки их завершения, опл</w:t>
      </w:r>
      <w:r>
        <w:t>о</w:t>
      </w:r>
      <w:r>
        <w:t>дотворяемость и продолжительность бесплодия.</w:t>
      </w:r>
    </w:p>
    <w:p w:rsidR="00F4654E" w:rsidRDefault="00F4654E">
      <w:pPr>
        <w:pStyle w:val="a6"/>
      </w:pPr>
      <w:r>
        <w:lastRenderedPageBreak/>
        <w:t>Клинические наблюдения и клинико-гинекологические исследования подопытных и контрольных животных показали, что введение препарата «ПАН» оказывает существенное влияние на динамику инволюционных процессов в половых органах и профилактирует возникновение перин</w:t>
      </w:r>
      <w:r>
        <w:t>а</w:t>
      </w:r>
      <w:r>
        <w:t xml:space="preserve">тальной патологии. </w:t>
      </w:r>
    </w:p>
    <w:p w:rsidR="00F4654E" w:rsidRDefault="00F4654E">
      <w:pPr>
        <w:pStyle w:val="a6"/>
      </w:pPr>
      <w:r>
        <w:t xml:space="preserve">  При двукратном назначении препарата за 10-14 дней до отела и в день отела послеродовые заболевания были зарегистрированы у 46,6% ж</w:t>
      </w:r>
      <w:r>
        <w:t>и</w:t>
      </w:r>
      <w:r>
        <w:t>вотных, что на 32% меньше, чем в контроле. В случае сочетанного прим</w:t>
      </w:r>
      <w:r>
        <w:t>е</w:t>
      </w:r>
      <w:r>
        <w:t>нения «ПАН» и тривита заболеваемость составила 61,5%, что также ниже чем в контрольной группе на 17%.</w:t>
      </w:r>
    </w:p>
    <w:p w:rsidR="00F4654E" w:rsidRDefault="00F4654E">
      <w:pPr>
        <w:pStyle w:val="a6"/>
      </w:pPr>
      <w:r>
        <w:t>Анализ данных по воспроизводству показал, что наилучший эффект получен при двукратном назначении «ПАН» в дозе 20 мл.  В первой гру</w:t>
      </w:r>
      <w:r>
        <w:t>п</w:t>
      </w:r>
      <w:r>
        <w:t>пе оплодотворяемость животных cоставила 61,5%, что на 19,8% выше чем в контроле, коэффициент оплодотворения равнялся 1,19, что на 11,2% меньше чем у контрольных животных. Это позволило сократить период бесплодия на 9,7 дня (с 53,8 до 44,1дня). У животных второй группы, п</w:t>
      </w:r>
      <w:r>
        <w:t>о</w:t>
      </w:r>
      <w:r>
        <w:t>лучавших «ПАН» и тривит, оплодотворяемость превышала показатели контрольной группы на 12,1% (53,8 против 41,7%), и, несмотря на относ</w:t>
      </w:r>
      <w:r>
        <w:t>и</w:t>
      </w:r>
      <w:r>
        <w:t>тельно высокий коэффициент оплодотворения 1,43 (на 6,7% больше чем в контроле), бесплодие удалось сократить лишь на 5,5 дня. Обращает на себя внимание тот факт, что функциональная активность яичников восстана</w:t>
      </w:r>
      <w:r>
        <w:t>в</w:t>
      </w:r>
      <w:r>
        <w:t>ливается независимо от завершенности инволюционных процессов в ма</w:t>
      </w:r>
      <w:r>
        <w:t>т</w:t>
      </w:r>
      <w:r>
        <w:t>ке.  Подавляющее число животных приходит в охоту и осеменяется к 56-58 дню после родов.</w:t>
      </w:r>
    </w:p>
    <w:p w:rsidR="00F4654E" w:rsidRDefault="00F4654E">
      <w:pPr>
        <w:pStyle w:val="a6"/>
      </w:pPr>
      <w:r>
        <w:t>Таким образом, двукратное введение «ПАН» в дозе 20 мл за 10-14 дней до отела и в день отела способствует нормализации инволюционных процессов в половых органах, позволяет снизить частоту послеродовой п</w:t>
      </w:r>
      <w:r>
        <w:t>а</w:t>
      </w:r>
      <w:r>
        <w:t>тологии в 1,7 раза, повысить оплодотворяемость в 1,5 раза и сократить бесплодие на 9,7 дня.  Сочетанное применение «ПАН» в уменьшенной д</w:t>
      </w:r>
      <w:r>
        <w:t>о</w:t>
      </w:r>
      <w:r>
        <w:t xml:space="preserve">зе и тривита оказалось менее эффективно.   </w:t>
      </w:r>
    </w:p>
    <w:p w:rsidR="00F4654E" w:rsidRDefault="00F4654E">
      <w:pPr>
        <w:pStyle w:val="a4"/>
      </w:pPr>
      <w:r>
        <w:t>УДК 619:615.37:616</w:t>
      </w:r>
    </w:p>
    <w:p w:rsidR="00F4654E" w:rsidRDefault="00F4654E">
      <w:pPr>
        <w:pStyle w:val="1"/>
      </w:pPr>
      <w:bookmarkStart w:id="2745" w:name="_Toc10731382"/>
      <w:bookmarkStart w:id="2746" w:name="_Toc11137815"/>
      <w:bookmarkStart w:id="2747" w:name="_Toc11138233"/>
      <w:bookmarkStart w:id="2748" w:name="_Toc11138651"/>
      <w:bookmarkStart w:id="2749" w:name="_Toc11139069"/>
      <w:bookmarkStart w:id="2750" w:name="_Toc11139487"/>
      <w:bookmarkStart w:id="2751" w:name="_Toc11139905"/>
      <w:bookmarkStart w:id="2752" w:name="_Toc11140323"/>
      <w:bookmarkStart w:id="2753" w:name="_Toc11390433"/>
      <w:bookmarkStart w:id="2754" w:name="_Toc11840118"/>
      <w:bookmarkStart w:id="2755" w:name="_Toc11937654"/>
      <w:r>
        <w:t>ИММУНОСТИМУЛЯТОРЫ В КОМПЛЕКСНОЙ ТЕРАПИИ ЖЕЛУДОЧНО-КИШЕЧНЫХ ЗАБОЛЕВАНИЙ У ТЕЛЯТ</w:t>
      </w:r>
      <w:bookmarkEnd w:id="2745"/>
      <w:bookmarkEnd w:id="2746"/>
      <w:bookmarkEnd w:id="2747"/>
      <w:bookmarkEnd w:id="2748"/>
      <w:bookmarkEnd w:id="2749"/>
      <w:bookmarkEnd w:id="2750"/>
      <w:bookmarkEnd w:id="2751"/>
      <w:bookmarkEnd w:id="2752"/>
      <w:bookmarkEnd w:id="2753"/>
      <w:bookmarkEnd w:id="2754"/>
      <w:bookmarkEnd w:id="2755"/>
    </w:p>
    <w:p w:rsidR="00F4654E" w:rsidRDefault="00F4654E">
      <w:pPr>
        <w:pStyle w:val="2"/>
      </w:pPr>
      <w:bookmarkStart w:id="2756" w:name="_Toc10731383"/>
      <w:bookmarkStart w:id="2757" w:name="_Toc11032269"/>
      <w:bookmarkStart w:id="2758" w:name="_Toc11137816"/>
      <w:bookmarkStart w:id="2759" w:name="_Toc11138234"/>
      <w:bookmarkStart w:id="2760" w:name="_Toc11138652"/>
      <w:bookmarkStart w:id="2761" w:name="_Toc11139070"/>
      <w:bookmarkStart w:id="2762" w:name="_Toc11139488"/>
      <w:bookmarkStart w:id="2763" w:name="_Toc11139906"/>
      <w:bookmarkStart w:id="2764" w:name="_Toc11140324"/>
      <w:bookmarkStart w:id="2765" w:name="_Toc11390434"/>
      <w:bookmarkStart w:id="2766" w:name="_Toc11937655"/>
      <w:r>
        <w:t>Липатов А.М.</w:t>
      </w:r>
      <w:bookmarkEnd w:id="2756"/>
      <w:bookmarkEnd w:id="2757"/>
      <w:bookmarkEnd w:id="2758"/>
      <w:bookmarkEnd w:id="2759"/>
      <w:bookmarkEnd w:id="2760"/>
      <w:bookmarkEnd w:id="2761"/>
      <w:bookmarkEnd w:id="2762"/>
      <w:bookmarkEnd w:id="2763"/>
      <w:bookmarkEnd w:id="2764"/>
      <w:bookmarkEnd w:id="2765"/>
      <w:bookmarkEnd w:id="2766"/>
    </w:p>
    <w:p w:rsidR="00F4654E" w:rsidRDefault="00F4654E">
      <w:pPr>
        <w:pStyle w:val="a5"/>
      </w:pPr>
      <w:r>
        <w:t>Ульяновская государственная сельскохозяйственная академия</w:t>
      </w:r>
    </w:p>
    <w:p w:rsidR="00F4654E" w:rsidRDefault="00F4654E">
      <w:pPr>
        <w:pStyle w:val="a6"/>
      </w:pPr>
      <w:r>
        <w:t>Многие общепринятые  и признанные методы лечения и профилакт</w:t>
      </w:r>
      <w:r>
        <w:t>и</w:t>
      </w:r>
      <w:r>
        <w:t>ки желудочно-кишечных заболеваний оказываются не всегда эффекти</w:t>
      </w:r>
      <w:r>
        <w:t>в</w:t>
      </w:r>
      <w:r>
        <w:t>ными. В связи с этим возникла настоятельная потребность  в их усове</w:t>
      </w:r>
      <w:r>
        <w:t>р</w:t>
      </w:r>
      <w:r>
        <w:t>шенствовании, разработке новых методов с использованием новейших достижений науки.</w:t>
      </w:r>
    </w:p>
    <w:p w:rsidR="00F4654E" w:rsidRDefault="00F4654E">
      <w:pPr>
        <w:pStyle w:val="a6"/>
      </w:pPr>
      <w:r>
        <w:lastRenderedPageBreak/>
        <w:t>Широкое применение  с этой целью  антибиотиков  не оправдало  во</w:t>
      </w:r>
      <w:r>
        <w:t>з</w:t>
      </w:r>
      <w:r>
        <w:t>ложенных на них надежд. Наоборот, в последние годы все чаще  появл</w:t>
      </w:r>
      <w:r>
        <w:t>я</w:t>
      </w:r>
      <w:r>
        <w:t xml:space="preserve">ются сведения об угнетении иммунной реактивности организма животных. Правда, следует отметить, что по настоящее время  нет единого мнения о характере воздействия антибиотиков на иммунную систему организма. Кроме того, имеющиеся данные о влиянии антибиотиков на иммунную систему  отрывчаты, касаются только отдельных её компонентов, часто противоречивы и не характеризуют ее, как единое целое. </w:t>
      </w:r>
    </w:p>
    <w:p w:rsidR="00F4654E" w:rsidRDefault="00F4654E">
      <w:pPr>
        <w:pStyle w:val="a6"/>
      </w:pPr>
      <w:r>
        <w:t>Назрела необходимость проведения комплексного экспериментальн</w:t>
      </w:r>
      <w:r>
        <w:t>о</w:t>
      </w:r>
      <w:r>
        <w:t>го и клинического исследования, позволяющего дать подлинную оценку изменениям, происходящим в иммунной системе организма в процессе  антибиотикотерапии. Возможно, что в отсутствии таких сведений и крое</w:t>
      </w:r>
      <w:r>
        <w:t>т</w:t>
      </w:r>
      <w:r>
        <w:t>ся одна из причин зачастую неудачного применения антибиотиков, как с лечебной, так и профилактической целью. Зная нарушения антибиотиками тех или иных параметров, можно попытаться их предотвратить или устр</w:t>
      </w:r>
      <w:r>
        <w:t>а</w:t>
      </w:r>
      <w:r>
        <w:t>нить, используя широкий арсенал средств, влияющих на иммунную сист</w:t>
      </w:r>
      <w:r>
        <w:t>е</w:t>
      </w:r>
      <w:r>
        <w:t xml:space="preserve">му организма. </w:t>
      </w:r>
    </w:p>
    <w:p w:rsidR="00F4654E" w:rsidRDefault="00F4654E">
      <w:pPr>
        <w:pStyle w:val="a6"/>
      </w:pPr>
      <w:r>
        <w:t>Целью настоящей работы явилось  изучение иммунного статуса орг</w:t>
      </w:r>
      <w:r>
        <w:t>а</w:t>
      </w:r>
      <w:r>
        <w:t>низма телят  при желудочно-кишечных заболеваниях  до лечения, в пр</w:t>
      </w:r>
      <w:r>
        <w:t>о</w:t>
      </w:r>
      <w:r>
        <w:t>цессе лечения и после завершения курса лечения антибиотикотерапией, а также разработки новых способов рационального лечения данной патол</w:t>
      </w:r>
      <w:r>
        <w:t>о</w:t>
      </w:r>
      <w:r>
        <w:t>гии с использованием  иммуностимулятора Т-активина  и антибактериал</w:t>
      </w:r>
      <w:r>
        <w:t>ь</w:t>
      </w:r>
      <w:r>
        <w:t>ного препарата  полифага.</w:t>
      </w:r>
    </w:p>
    <w:p w:rsidR="00F4654E" w:rsidRDefault="00F4654E">
      <w:pPr>
        <w:pStyle w:val="a6"/>
      </w:pPr>
      <w:r>
        <w:t>В зависимости от особенностей лечения,  телята с симптомами жел</w:t>
      </w:r>
      <w:r>
        <w:t>у</w:t>
      </w:r>
      <w:r>
        <w:t>дочно-кишечных заболеваний были распределены на четыре группы: к 1-ой группе отнесены телята, в лечении которых использовались антибиот</w:t>
      </w:r>
      <w:r>
        <w:t>и</w:t>
      </w:r>
      <w:r>
        <w:t>ки, к 2-ой группе – антибиотики в сочетании с Т-активином, к 3-й группе – антибиотики в сочетании с полифагом, а к 4-ой группе – антибиотики  в сочетании  с Т-активином и полифагом. Антибиотики назначались  вну</w:t>
      </w:r>
      <w:r>
        <w:t>т</w:t>
      </w:r>
      <w:r>
        <w:t>римышечно, Т-активин  в дозе 2 мл внутримышечно, полифаг в дозе  50 мл, внутрь, до выздоровления.</w:t>
      </w:r>
    </w:p>
    <w:p w:rsidR="00F4654E" w:rsidRDefault="00F4654E">
      <w:pPr>
        <w:pStyle w:val="a6"/>
      </w:pPr>
      <w:r>
        <w:t>Иммунологический статус больных телят оценивали до лечения, на 15-ый  и 30-ый день после назначенного курса лечения по следующим п</w:t>
      </w:r>
      <w:r>
        <w:t>о</w:t>
      </w:r>
      <w:r>
        <w:t>казателям: концентрации в крови гемоглобина, эритроцитов, лейкоцитов, общего белка и его фракций, Т- и В-лимфоцитов, а также её фагоцитарной, бактериоцидной и лизоцимной активности. Кроме того, учитывали общ</w:t>
      </w:r>
      <w:r>
        <w:t>е</w:t>
      </w:r>
      <w:r>
        <w:t>клинические показатели.</w:t>
      </w:r>
    </w:p>
    <w:p w:rsidR="00F4654E" w:rsidRDefault="00F4654E">
      <w:pPr>
        <w:pStyle w:val="a6"/>
      </w:pPr>
      <w:r>
        <w:t>Результаты исследования показали, что при желудочно-кишечных з</w:t>
      </w:r>
      <w:r>
        <w:t>а</w:t>
      </w:r>
      <w:r>
        <w:t>болеваниях телят отмечается иммунодепрессия, о чем свидетельствуют выше названные показатели иммунитета. Данные показатели  снижены по сравнению с физиологической нормой в пределах 20-40%.</w:t>
      </w:r>
    </w:p>
    <w:p w:rsidR="00F4654E" w:rsidRDefault="00F4654E">
      <w:pPr>
        <w:pStyle w:val="a6"/>
      </w:pPr>
      <w:r>
        <w:t>На 15-ый и 30-ый день исследования  отмечается динамика нараст</w:t>
      </w:r>
      <w:r>
        <w:t>а</w:t>
      </w:r>
      <w:r>
        <w:t xml:space="preserve">ния  в исследуемых показателях  по сравнению с периодом до лечения  у </w:t>
      </w:r>
      <w:r>
        <w:lastRenderedPageBreak/>
        <w:t>телят  2-ой и 4-ой групп, т.е. в группах животных, где использовался  в комплексной  терапии  иммуностимулятор Т-активин. Наиболее наглядное  увеличение  отмечается в показателях Т- лимфоцитов в пределах 30-50%.</w:t>
      </w:r>
    </w:p>
    <w:p w:rsidR="00F4654E" w:rsidRDefault="00F4654E">
      <w:pPr>
        <w:pStyle w:val="a6"/>
      </w:pPr>
      <w:r>
        <w:t>В то время как у телят 1-ой группы, где в  качестве лечебных препар</w:t>
      </w:r>
      <w:r>
        <w:t>а</w:t>
      </w:r>
      <w:r>
        <w:t>тов  использовались  только антибиотики, данные показатели  практически не имели тенденции к нарастанию. А такие показатели, как концентрация гемоглобина, эритроцитов, альбуминовая фракция белка и Т-лимфоцитов снижались в пределах 10-30% по сравнению с таковыми до лечения. Н</w:t>
      </w:r>
      <w:r>
        <w:t>е</w:t>
      </w:r>
      <w:r>
        <w:t>значительные сдвиги по некоторым показателям в сторону  увеличения  отмечается у телят 3-ей группы, где в комплексе лечебных мероприятий использовался полифаг.</w:t>
      </w:r>
    </w:p>
    <w:p w:rsidR="00F4654E" w:rsidRDefault="00F4654E">
      <w:pPr>
        <w:pStyle w:val="a6"/>
      </w:pPr>
      <w:r>
        <w:t>Таким образом, наши исследования убедительно показывают, что в вопросе эффективности  лечебного применения только антибиотиков  о</w:t>
      </w:r>
      <w:r>
        <w:t>с</w:t>
      </w:r>
      <w:r>
        <w:t>тается много нерешенных вопросов, так как под их воздействием в имму</w:t>
      </w:r>
      <w:r>
        <w:t>н</w:t>
      </w:r>
      <w:r>
        <w:t xml:space="preserve">ной системе организма животных происходят значительные изменения  негативного свойства. </w:t>
      </w:r>
    </w:p>
    <w:p w:rsidR="00F4654E" w:rsidRDefault="00F4654E">
      <w:pPr>
        <w:pStyle w:val="a6"/>
      </w:pPr>
      <w:r>
        <w:t>Включение же иммуностимуляторов в комплексную терапию жел</w:t>
      </w:r>
      <w:r>
        <w:t>у</w:t>
      </w:r>
      <w:r>
        <w:t>дочно-кишечных заболеваний телят привело к более благоприятному кл</w:t>
      </w:r>
      <w:r>
        <w:t>и</w:t>
      </w:r>
      <w:r>
        <w:t>ническому лечению и повышенной иммунологической реактивности их организма.</w:t>
      </w:r>
    </w:p>
    <w:p w:rsidR="00F4654E" w:rsidRDefault="00F4654E">
      <w:pPr>
        <w:pStyle w:val="a4"/>
      </w:pPr>
      <w:r>
        <w:t>УДК 619:616.99:636.3</w:t>
      </w:r>
    </w:p>
    <w:p w:rsidR="00F4654E" w:rsidRDefault="00F4654E">
      <w:pPr>
        <w:pStyle w:val="1"/>
      </w:pPr>
      <w:bookmarkStart w:id="2767" w:name="_Toc10731424"/>
      <w:bookmarkStart w:id="2768" w:name="_Toc11137857"/>
      <w:bookmarkStart w:id="2769" w:name="_Toc11138275"/>
      <w:bookmarkStart w:id="2770" w:name="_Toc11138693"/>
      <w:bookmarkStart w:id="2771" w:name="_Toc11139111"/>
      <w:bookmarkStart w:id="2772" w:name="_Toc11139529"/>
      <w:bookmarkStart w:id="2773" w:name="_Toc11139947"/>
      <w:bookmarkStart w:id="2774" w:name="_Toc11140365"/>
      <w:bookmarkStart w:id="2775" w:name="_Toc11390473"/>
      <w:bookmarkStart w:id="2776" w:name="_Toc11840158"/>
      <w:bookmarkStart w:id="2777" w:name="_Toc11937656"/>
      <w:r>
        <w:t>Иммунодефициты овец на фоне смешанной инвазии  трихостронгилидами и эймериями</w:t>
      </w:r>
      <w:bookmarkEnd w:id="2767"/>
      <w:bookmarkEnd w:id="2768"/>
      <w:bookmarkEnd w:id="2769"/>
      <w:bookmarkEnd w:id="2770"/>
      <w:bookmarkEnd w:id="2771"/>
      <w:bookmarkEnd w:id="2772"/>
      <w:bookmarkEnd w:id="2773"/>
      <w:bookmarkEnd w:id="2774"/>
      <w:bookmarkEnd w:id="2775"/>
      <w:bookmarkEnd w:id="2776"/>
      <w:bookmarkEnd w:id="2777"/>
    </w:p>
    <w:p w:rsidR="00F4654E" w:rsidRDefault="00F4654E">
      <w:pPr>
        <w:pStyle w:val="2"/>
      </w:pPr>
      <w:bookmarkStart w:id="2778" w:name="_Toc10731425"/>
      <w:bookmarkStart w:id="2779" w:name="_Toc11032291"/>
      <w:bookmarkStart w:id="2780" w:name="_Toc11137858"/>
      <w:bookmarkStart w:id="2781" w:name="_Toc11138276"/>
      <w:bookmarkStart w:id="2782" w:name="_Toc11138694"/>
      <w:bookmarkStart w:id="2783" w:name="_Toc11139112"/>
      <w:bookmarkStart w:id="2784" w:name="_Toc11139530"/>
      <w:bookmarkStart w:id="2785" w:name="_Toc11139948"/>
      <w:bookmarkStart w:id="2786" w:name="_Toc11140366"/>
      <w:bookmarkStart w:id="2787" w:name="_Toc11390474"/>
      <w:bookmarkStart w:id="2788" w:name="_Toc11937657"/>
      <w:r>
        <w:t>Мазур О.Е., Антухаев И.К., Шабаев В. А.</w:t>
      </w:r>
      <w:bookmarkEnd w:id="2778"/>
      <w:bookmarkEnd w:id="2779"/>
      <w:bookmarkEnd w:id="2780"/>
      <w:bookmarkEnd w:id="2781"/>
      <w:bookmarkEnd w:id="2782"/>
      <w:bookmarkEnd w:id="2783"/>
      <w:bookmarkEnd w:id="2784"/>
      <w:bookmarkEnd w:id="2785"/>
      <w:bookmarkEnd w:id="2786"/>
      <w:bookmarkEnd w:id="2787"/>
      <w:bookmarkEnd w:id="2788"/>
    </w:p>
    <w:p w:rsidR="00F4654E" w:rsidRDefault="00F4654E">
      <w:pPr>
        <w:pStyle w:val="a5"/>
      </w:pPr>
      <w:r>
        <w:t>Бурятская государственная сельскохозяйственная академия им. В.Р. Филиппова.</w:t>
      </w:r>
    </w:p>
    <w:p w:rsidR="00F4654E" w:rsidRDefault="00F4654E">
      <w:pPr>
        <w:pStyle w:val="a6"/>
      </w:pPr>
      <w:r>
        <w:t>Известно, что возбудители паразитарных заболеваний, являясь ант</w:t>
      </w:r>
      <w:r>
        <w:t>и</w:t>
      </w:r>
      <w:r>
        <w:t>генными раздражителями для организма хозяина, влияют на функционал</w:t>
      </w:r>
      <w:r>
        <w:t>ь</w:t>
      </w:r>
      <w:r>
        <w:t>ную активность иммунной системы и приводят к развитию иммунной н</w:t>
      </w:r>
      <w:r>
        <w:t>е</w:t>
      </w:r>
      <w:r>
        <w:t xml:space="preserve">достаточности, т.е. возникает состояние вторичного иммунодефицита (Б.А. Астафьев с соавт., 1989; Э.Е. Шуйкина, 1989; В.Т. Заблоцкий, 1997). </w:t>
      </w:r>
    </w:p>
    <w:p w:rsidR="00F4654E" w:rsidRDefault="00F4654E">
      <w:pPr>
        <w:pStyle w:val="a6"/>
      </w:pPr>
      <w:r>
        <w:t>Однако, анализ литературы показывает, что основная масса исслед</w:t>
      </w:r>
      <w:r>
        <w:t>о</w:t>
      </w:r>
      <w:r>
        <w:t>ваний посвященная этой проблеме, касается моноинвазий или гельминт</w:t>
      </w:r>
      <w:r>
        <w:t>о</w:t>
      </w:r>
      <w:r>
        <w:t>ценоза (К.С. Балаян, 1987; Э.Х. Даугалиева, В.В. Филиппов, 1991). О роли смешанных инвазий кишечными нематодами и эймериями в развитии и</w:t>
      </w:r>
      <w:r>
        <w:t>м</w:t>
      </w:r>
      <w:r>
        <w:t xml:space="preserve">мунной недостаточности организма овец имеются единичные сведения (Э.Е. Рехвиашвили, 1991). </w:t>
      </w:r>
    </w:p>
    <w:p w:rsidR="00F4654E" w:rsidRDefault="00F4654E">
      <w:pPr>
        <w:pStyle w:val="a6"/>
      </w:pPr>
      <w:r>
        <w:t>Целью настоящей работы явилось изучение иммунобиологической реактивности овец при экспериментальном заражении животных ассоци</w:t>
      </w:r>
      <w:r>
        <w:t>а</w:t>
      </w:r>
      <w:r>
        <w:t>цией трихостронгилид и эймерий.</w:t>
      </w:r>
    </w:p>
    <w:p w:rsidR="00F4654E" w:rsidRDefault="00F4654E">
      <w:pPr>
        <w:pStyle w:val="a6"/>
      </w:pPr>
      <w:r>
        <w:t xml:space="preserve"> В опыте использовались баранчики-аналоги бурят-монгольской гр</w:t>
      </w:r>
      <w:r>
        <w:t>у</w:t>
      </w:r>
      <w:r>
        <w:t xml:space="preserve">бошерстной породы шестимесячного возраста, которых разделили на две </w:t>
      </w:r>
      <w:r>
        <w:lastRenderedPageBreak/>
        <w:t>группы - опытную и контрольную. Животных опытной  группы заразили однократно per os инвазионными личинками трихостронгилид и ооцистами эймерий соответственно в дозах 10 тыс. и 40 тыс. экз. на одно животное. Овцы контрольной группы оставались интактными. Кровь исследовалась до заражения и на 2, 5, 10, 20, 30, 40 и 60 дни инвазии. Гематологические показатели крови изучали по общепринятым методикам. Количество Т - и В - лимфоцитов выявляли тестами Е - и ЕАС - розеткообразования по Jondal et. al. (1972) и Mendes et. al. (1973). Лизоцимную активность сыв</w:t>
      </w:r>
      <w:r>
        <w:t>о</w:t>
      </w:r>
      <w:r>
        <w:t>ротки крови определяли методом В.Т. Дорофейчук (1968). Для определ</w:t>
      </w:r>
      <w:r>
        <w:t>е</w:t>
      </w:r>
      <w:r>
        <w:t>ния фагоцитарной активность сыворотки крови использовали суточную культуру Staphylococcus aureus.</w:t>
      </w:r>
    </w:p>
    <w:p w:rsidR="00F4654E" w:rsidRDefault="00F4654E">
      <w:pPr>
        <w:pStyle w:val="a6"/>
      </w:pPr>
      <w:r>
        <w:t>Опыты показали, что в результате заражения трихостронгилидами и эймериями происходит изменение гематологических и иммунологических показателей организма овец. В крови подопытных животных отмечали тенденцию к снижению концентрации гемоглобина и количества эритр</w:t>
      </w:r>
      <w:r>
        <w:t>о</w:t>
      </w:r>
      <w:r>
        <w:t>цитов. У зараженных овец по сравнению с контролем самое низкое число эритроцитов (5,15</w:t>
      </w:r>
      <w:r>
        <w:rPr>
          <w:rFonts w:ascii="Symbol" w:hAnsi="Symbol"/>
        </w:rPr>
        <w:t></w:t>
      </w:r>
      <w:r>
        <w:rPr>
          <w:rFonts w:ascii="Symbol" w:hAnsi="Symbol"/>
        </w:rPr>
        <w:t></w:t>
      </w:r>
      <w:r>
        <w:t>0,11, Р&lt;0,001 против 9,37</w:t>
      </w:r>
      <w:r>
        <w:rPr>
          <w:rFonts w:ascii="Symbol" w:hAnsi="Symbol"/>
        </w:rPr>
        <w:t></w:t>
      </w:r>
      <w:r>
        <w:rPr>
          <w:rFonts w:ascii="Symbol" w:hAnsi="Symbol"/>
        </w:rPr>
        <w:t></w:t>
      </w:r>
      <w:r>
        <w:t>0,65 · 10 млн/л, Р&lt;0,01), с</w:t>
      </w:r>
      <w:r>
        <w:t>о</w:t>
      </w:r>
      <w:r>
        <w:t>держание гемоглобина (76,33</w:t>
      </w:r>
      <w:r>
        <w:rPr>
          <w:rFonts w:ascii="Symbol" w:hAnsi="Symbol"/>
        </w:rPr>
        <w:t></w:t>
      </w:r>
      <w:r>
        <w:rPr>
          <w:rFonts w:ascii="Symbol" w:hAnsi="Symbol"/>
        </w:rPr>
        <w:t></w:t>
      </w:r>
      <w:r>
        <w:t>2,44, Р&lt;0,01 против 110,73</w:t>
      </w:r>
      <w:r>
        <w:rPr>
          <w:rFonts w:ascii="Symbol" w:hAnsi="Symbol"/>
        </w:rPr>
        <w:t></w:t>
      </w:r>
      <w:r>
        <w:rPr>
          <w:rFonts w:ascii="Symbol" w:hAnsi="Symbol"/>
        </w:rPr>
        <w:t></w:t>
      </w:r>
      <w:r>
        <w:t>0,33 г/л, Р&lt;0,01) наблюдалось на 30-ый день инвазии. По-видимому, уменьшение количества эритроцитов и содержания гемоглобина обусловлено кровои</w:t>
      </w:r>
      <w:r>
        <w:t>з</w:t>
      </w:r>
      <w:r>
        <w:t>лияниями в кишечник и ткани в результате внутриклеточного паразитир</w:t>
      </w:r>
      <w:r>
        <w:t>о</w:t>
      </w:r>
      <w:r>
        <w:t>вания эймерий, токсического и механического воздействия мигрирующих и половозрелых нематод. У зараженных ягнят к 20-му дню инвазии н</w:t>
      </w:r>
      <w:r>
        <w:t>а</w:t>
      </w:r>
      <w:r>
        <w:t>блюдалось достоверное увеличение числа лейкоцитов с 9,83</w:t>
      </w:r>
      <w:r>
        <w:rPr>
          <w:rFonts w:ascii="Symbol" w:hAnsi="Symbol"/>
        </w:rPr>
        <w:t></w:t>
      </w:r>
      <w:r>
        <w:rPr>
          <w:rFonts w:ascii="Symbol" w:hAnsi="Symbol"/>
        </w:rPr>
        <w:t></w:t>
      </w:r>
      <w:r>
        <w:t>0,20 до 14,17</w:t>
      </w:r>
      <w:r>
        <w:rPr>
          <w:rFonts w:ascii="Symbol" w:hAnsi="Symbol"/>
        </w:rPr>
        <w:t></w:t>
      </w:r>
      <w:r>
        <w:t>0,20 · 10 тыс/л по сравнению с контрольными величинами, которые находились в пределах 9,20</w:t>
      </w:r>
      <w:r>
        <w:rPr>
          <w:rFonts w:ascii="Symbol" w:hAnsi="Symbol"/>
        </w:rPr>
        <w:t></w:t>
      </w:r>
      <w:r>
        <w:rPr>
          <w:rFonts w:ascii="Symbol" w:hAnsi="Symbol"/>
        </w:rPr>
        <w:t></w:t>
      </w:r>
      <w:r>
        <w:t xml:space="preserve"> 0,21-11,40</w:t>
      </w:r>
      <w:r>
        <w:rPr>
          <w:rFonts w:ascii="Symbol" w:hAnsi="Symbol"/>
        </w:rPr>
        <w:t></w:t>
      </w:r>
      <w:r>
        <w:rPr>
          <w:rFonts w:ascii="Symbol" w:hAnsi="Symbol"/>
        </w:rPr>
        <w:t></w:t>
      </w:r>
      <w:r>
        <w:t xml:space="preserve"> 0,38 · 10 тыс/л.</w:t>
      </w:r>
    </w:p>
    <w:p w:rsidR="00F4654E" w:rsidRDefault="00F4654E">
      <w:pPr>
        <w:pStyle w:val="a6"/>
      </w:pPr>
      <w:r>
        <w:t>Наибольшим количественным изменениям подверглись эозинофилы, что вполне объяснимо. Они под регулирующим влиянием Т- лимфоцитов принимают участие в защитных реакциях организма от инвазии и характ</w:t>
      </w:r>
      <w:r>
        <w:t>е</w:t>
      </w:r>
      <w:r>
        <w:t>ризуют состояние реактивности зараженных животных. Эозинофильная реакция наблюдалась со 2-го дня инвазии и достигала максимума к 20-му дню исследований (18,00</w:t>
      </w:r>
      <w:r>
        <w:rPr>
          <w:rFonts w:ascii="Symbol" w:hAnsi="Symbol"/>
        </w:rPr>
        <w:t></w:t>
      </w:r>
      <w:r>
        <w:rPr>
          <w:rFonts w:ascii="Symbol" w:hAnsi="Symbol"/>
        </w:rPr>
        <w:t></w:t>
      </w:r>
      <w:r>
        <w:t>0,58 %, Р&lt;0,001 против 3,67</w:t>
      </w:r>
      <w:r>
        <w:rPr>
          <w:rFonts w:ascii="Symbol" w:hAnsi="Symbol"/>
        </w:rPr>
        <w:t></w:t>
      </w:r>
      <w:r>
        <w:rPr>
          <w:rFonts w:ascii="Symbol" w:hAnsi="Symbol"/>
        </w:rPr>
        <w:t></w:t>
      </w:r>
      <w:r>
        <w:t xml:space="preserve"> 0,34 %, Р&lt;0,01). При этом инвазионный процесс заметно влияет и на неспецифические г</w:t>
      </w:r>
      <w:r>
        <w:t>у</w:t>
      </w:r>
      <w:r>
        <w:t>моральные и клеточные факторы защиты организма овец.</w:t>
      </w:r>
    </w:p>
    <w:p w:rsidR="00F4654E" w:rsidRDefault="00F4654E">
      <w:pPr>
        <w:pStyle w:val="a6"/>
      </w:pPr>
      <w:r>
        <w:t>Показатели лизоцимной активности сыворотки крови у зараженных животных до конца исследований были достоверно ниже по сравнению с контролем и колебались в пределах 13,00</w:t>
      </w:r>
      <w:r>
        <w:rPr>
          <w:rFonts w:ascii="Symbol" w:hAnsi="Symbol"/>
        </w:rPr>
        <w:t></w:t>
      </w:r>
      <w:r>
        <w:rPr>
          <w:rFonts w:ascii="Symbol" w:hAnsi="Symbol"/>
        </w:rPr>
        <w:t></w:t>
      </w:r>
      <w:r>
        <w:t xml:space="preserve"> 0,58-19,67</w:t>
      </w:r>
      <w:r>
        <w:rPr>
          <w:rFonts w:ascii="Symbol" w:hAnsi="Symbol"/>
        </w:rPr>
        <w:t></w:t>
      </w:r>
      <w:r>
        <w:rPr>
          <w:rFonts w:ascii="Symbol" w:hAnsi="Symbol"/>
        </w:rPr>
        <w:t></w:t>
      </w:r>
      <w:r>
        <w:t xml:space="preserve"> 0,33 %.</w:t>
      </w:r>
    </w:p>
    <w:p w:rsidR="00F4654E" w:rsidRDefault="00F4654E">
      <w:pPr>
        <w:pStyle w:val="a6"/>
      </w:pPr>
      <w:r>
        <w:t>В процессе развития инвазии изменялась и фагоцитарная активность лейкоцитов (ФАЛ). Так, в первые дни после заражения овец лейкоциты резко увеличивают свою антимикробную активность и к 10-му дню инв</w:t>
      </w:r>
      <w:r>
        <w:t>а</w:t>
      </w:r>
      <w:r>
        <w:t>зии этот показатель достиг максимального уровня в 56,67</w:t>
      </w:r>
      <w:r>
        <w:rPr>
          <w:rFonts w:ascii="Symbol" w:hAnsi="Symbol"/>
        </w:rPr>
        <w:t></w:t>
      </w:r>
      <w:r>
        <w:rPr>
          <w:rFonts w:ascii="Symbol" w:hAnsi="Symbol"/>
        </w:rPr>
        <w:t></w:t>
      </w:r>
      <w:r>
        <w:t xml:space="preserve"> 1,00 %, Р&lt;0,001, у интактных овец ФАЛ была в пределах 49,00</w:t>
      </w:r>
      <w:r>
        <w:rPr>
          <w:rFonts w:ascii="Symbol" w:hAnsi="Symbol"/>
        </w:rPr>
        <w:t></w:t>
      </w:r>
      <w:r>
        <w:rPr>
          <w:rFonts w:ascii="Symbol" w:hAnsi="Symbol"/>
        </w:rPr>
        <w:t></w:t>
      </w:r>
      <w:r>
        <w:t xml:space="preserve"> 0,58-50,67</w:t>
      </w:r>
      <w:r>
        <w:rPr>
          <w:rFonts w:ascii="Symbol" w:hAnsi="Symbol"/>
        </w:rPr>
        <w:t></w:t>
      </w:r>
      <w:r>
        <w:rPr>
          <w:rFonts w:ascii="Symbol" w:hAnsi="Symbol"/>
        </w:rPr>
        <w:t></w:t>
      </w:r>
      <w:r>
        <w:t xml:space="preserve"> 0,67 </w:t>
      </w:r>
      <w:r>
        <w:lastRenderedPageBreak/>
        <w:t xml:space="preserve">%, Р&lt;0,001. В дальнейшем, наблюдалось снижение активности клеток и к концу исследований, она достигла уровня контрольных величин. </w:t>
      </w:r>
    </w:p>
    <w:p w:rsidR="00F4654E" w:rsidRDefault="00F4654E">
      <w:pPr>
        <w:pStyle w:val="a6"/>
      </w:pPr>
      <w:r>
        <w:t>При заражении гельминтами и простейшими у овец происходят зн</w:t>
      </w:r>
      <w:r>
        <w:t>а</w:t>
      </w:r>
      <w:r>
        <w:t>чительные сдвиги в Т- и В- системах иммунитета. Уже на 5-ый день инв</w:t>
      </w:r>
      <w:r>
        <w:t>а</w:t>
      </w:r>
      <w:r>
        <w:t>зии наблюдается достоверное увеличение количества Т-лимфоцитов до 63,93</w:t>
      </w:r>
      <w:r>
        <w:rPr>
          <w:rFonts w:ascii="Symbol" w:hAnsi="Symbol"/>
        </w:rPr>
        <w:t></w:t>
      </w:r>
      <w:r>
        <w:rPr>
          <w:rFonts w:ascii="Symbol" w:hAnsi="Symbol"/>
        </w:rPr>
        <w:t></w:t>
      </w:r>
      <w:r>
        <w:t>0,78 %, против 49,63</w:t>
      </w:r>
      <w:r>
        <w:rPr>
          <w:rFonts w:ascii="Symbol" w:hAnsi="Symbol"/>
        </w:rPr>
        <w:t></w:t>
      </w:r>
      <w:r>
        <w:rPr>
          <w:rFonts w:ascii="Symbol" w:hAnsi="Symbol"/>
        </w:rPr>
        <w:t></w:t>
      </w:r>
      <w:r>
        <w:t>1,02 % у контрольных животных. Однако, в последующий период отмечали иммуносупрессию этих клеток. Так, на 30-ый день инвазии содержание Т-клеток достоверно снизилось до 28,47</w:t>
      </w:r>
      <w:r>
        <w:rPr>
          <w:rFonts w:ascii="Symbol" w:hAnsi="Symbol"/>
        </w:rPr>
        <w:t></w:t>
      </w:r>
      <w:r>
        <w:rPr>
          <w:rFonts w:ascii="Symbol" w:hAnsi="Symbol"/>
        </w:rPr>
        <w:t></w:t>
      </w:r>
      <w:r>
        <w:t xml:space="preserve"> 0,27 %, а у контрольных овец их количество оставалось на прежнем уровне – 49,23</w:t>
      </w:r>
      <w:r>
        <w:rPr>
          <w:rFonts w:ascii="Symbol" w:hAnsi="Symbol"/>
        </w:rPr>
        <w:t></w:t>
      </w:r>
      <w:r>
        <w:rPr>
          <w:rFonts w:ascii="Symbol" w:hAnsi="Symbol"/>
        </w:rPr>
        <w:t></w:t>
      </w:r>
      <w:r>
        <w:t>1,13 %, что свидетельствует об угнетающем действии антигенов паразитов на Т- систему иммунитета хозяина. Начиная с 40-го дня после заражения у овец вновь наблюдалось постепенное увеличение Т-лимфоцитов, но  до конца исследований их уровень оставался достоверно низким (33,03</w:t>
      </w:r>
      <w:r>
        <w:rPr>
          <w:rFonts w:ascii="Symbol" w:hAnsi="Symbol"/>
        </w:rPr>
        <w:t></w:t>
      </w:r>
      <w:r>
        <w:rPr>
          <w:rFonts w:ascii="Symbol" w:hAnsi="Symbol"/>
        </w:rPr>
        <w:t></w:t>
      </w:r>
      <w:r>
        <w:t xml:space="preserve"> 0,27 %), по сравнению с интактными животными (48,20</w:t>
      </w:r>
      <w:r>
        <w:rPr>
          <w:rFonts w:ascii="Symbol" w:hAnsi="Symbol"/>
        </w:rPr>
        <w:t></w:t>
      </w:r>
      <w:r>
        <w:rPr>
          <w:rFonts w:ascii="Symbol" w:hAnsi="Symbol"/>
        </w:rPr>
        <w:t></w:t>
      </w:r>
      <w:r>
        <w:t xml:space="preserve"> 1,10 %, Р&lt;0,001).</w:t>
      </w:r>
    </w:p>
    <w:p w:rsidR="00F4654E" w:rsidRDefault="00F4654E">
      <w:pPr>
        <w:pStyle w:val="a6"/>
      </w:pPr>
      <w:r>
        <w:t>При однократном заражении овец ассоциацией кишечных паразитов, отмечается резкое увеличение числа В - розеткообразующих лимфоцитов до 30-го дня исследований. За этот период их количество достоверно п</w:t>
      </w:r>
      <w:r>
        <w:t>о</w:t>
      </w:r>
      <w:r>
        <w:t>высилось с 26,60</w:t>
      </w:r>
      <w:r>
        <w:rPr>
          <w:rFonts w:ascii="Symbol" w:hAnsi="Symbol"/>
        </w:rPr>
        <w:t></w:t>
      </w:r>
      <w:r>
        <w:rPr>
          <w:rFonts w:ascii="Symbol" w:hAnsi="Symbol"/>
        </w:rPr>
        <w:t></w:t>
      </w:r>
      <w:r>
        <w:t xml:space="preserve"> 0,46 % до 62,90</w:t>
      </w:r>
      <w:r>
        <w:rPr>
          <w:rFonts w:ascii="Symbol" w:hAnsi="Symbol"/>
        </w:rPr>
        <w:t></w:t>
      </w:r>
      <w:r>
        <w:rPr>
          <w:rFonts w:ascii="Symbol" w:hAnsi="Symbol"/>
        </w:rPr>
        <w:t></w:t>
      </w:r>
      <w:r>
        <w:t xml:space="preserve"> 0,78</w:t>
      </w:r>
      <w:r>
        <w:rPr>
          <w:rFonts w:ascii="Symbol" w:hAnsi="Symbol"/>
        </w:rPr>
        <w:t></w:t>
      </w:r>
      <w:r>
        <w:rPr>
          <w:rFonts w:ascii="Symbol" w:hAnsi="Symbol"/>
        </w:rPr>
        <w:t></w:t>
      </w:r>
      <w:r>
        <w:t>%. В дальнейшем происходило снижении В-клеток и к 60-му дню инвазии их уровень составил 27,33</w:t>
      </w:r>
      <w:r>
        <w:rPr>
          <w:rFonts w:ascii="Symbol" w:hAnsi="Symbol"/>
        </w:rPr>
        <w:t></w:t>
      </w:r>
      <w:r>
        <w:rPr>
          <w:rFonts w:ascii="Symbol" w:hAnsi="Symbol"/>
        </w:rPr>
        <w:t></w:t>
      </w:r>
      <w:r>
        <w:t xml:space="preserve"> 1,30 %, Р&lt;0,001, а у контрольных 24,00</w:t>
      </w:r>
      <w:r>
        <w:rPr>
          <w:rFonts w:ascii="Symbol" w:hAnsi="Symbol"/>
        </w:rPr>
        <w:t></w:t>
      </w:r>
      <w:r>
        <w:rPr>
          <w:rFonts w:ascii="Symbol" w:hAnsi="Symbol"/>
        </w:rPr>
        <w:t></w:t>
      </w:r>
      <w:r>
        <w:t xml:space="preserve"> 0,58 %, Р&lt;0,001.</w:t>
      </w:r>
    </w:p>
    <w:p w:rsidR="00F4654E" w:rsidRDefault="00F4654E">
      <w:pPr>
        <w:pStyle w:val="a6"/>
      </w:pPr>
      <w:r>
        <w:t>Таким образом, при смешанном заражении овец кишечными параз</w:t>
      </w:r>
      <w:r>
        <w:t>и</w:t>
      </w:r>
      <w:r>
        <w:t>тами в организме животных наблюдаются иммунологические сдвиги, пр</w:t>
      </w:r>
      <w:r>
        <w:t>о</w:t>
      </w:r>
      <w:r>
        <w:t>явля</w:t>
      </w:r>
      <w:r>
        <w:t>ю</w:t>
      </w:r>
      <w:r>
        <w:t>щиеся увеличением относительного числа Т- и В – лимфоцитов на начальных этапах инвазии с последующей иммуносупрессией Т- и актив</w:t>
      </w:r>
      <w:r>
        <w:t>а</w:t>
      </w:r>
      <w:r>
        <w:t>цией В - систем иммунитета. Однако, к концу исследований отмечается снижение относительного количества и В-розеткообразующих лимфоц</w:t>
      </w:r>
      <w:r>
        <w:t>и</w:t>
      </w:r>
      <w:r>
        <w:t>тов. Анализируя характер воздействия трихостронгилид и эймерий, в асс</w:t>
      </w:r>
      <w:r>
        <w:t>о</w:t>
      </w:r>
      <w:r>
        <w:t>циации, на иммунобиологическую реактивность овец, можно сделать в</w:t>
      </w:r>
      <w:r>
        <w:t>ы</w:t>
      </w:r>
      <w:r>
        <w:t>вод, что кишечные паразиты оказывают в основном иммунодепрессивное действии на орг</w:t>
      </w:r>
      <w:r>
        <w:t>а</w:t>
      </w:r>
      <w:r>
        <w:t>низм хозяина, что может привести к развитию вторичной иммунологич</w:t>
      </w:r>
      <w:r>
        <w:t>е</w:t>
      </w:r>
      <w:r>
        <w:t>ской недостаточности.</w:t>
      </w:r>
    </w:p>
    <w:p w:rsidR="00F4654E" w:rsidRDefault="00F4654E">
      <w:pPr>
        <w:pStyle w:val="a4"/>
      </w:pPr>
      <w:r>
        <w:t>УДК 619:616.155.194:615.27:636.2.082.35</w:t>
      </w:r>
    </w:p>
    <w:p w:rsidR="00F4654E" w:rsidRDefault="00F4654E">
      <w:pPr>
        <w:pStyle w:val="1"/>
      </w:pPr>
      <w:bookmarkStart w:id="2789" w:name="_Toc10731386"/>
      <w:bookmarkStart w:id="2790" w:name="_Toc11137817"/>
      <w:bookmarkStart w:id="2791" w:name="_Toc11138235"/>
      <w:bookmarkStart w:id="2792" w:name="_Toc11138653"/>
      <w:bookmarkStart w:id="2793" w:name="_Toc11139071"/>
      <w:bookmarkStart w:id="2794" w:name="_Toc11139489"/>
      <w:bookmarkStart w:id="2795" w:name="_Toc11139907"/>
      <w:bookmarkStart w:id="2796" w:name="_Toc11140325"/>
      <w:bookmarkStart w:id="2797" w:name="_Toc11390435"/>
      <w:bookmarkStart w:id="2798" w:name="_Toc11840120"/>
      <w:bookmarkStart w:id="2799" w:name="_Toc11937658"/>
      <w:r>
        <w:t>Влияние суиферровита на гематологические показатели крови больных анемией телят</w:t>
      </w:r>
      <w:bookmarkEnd w:id="2789"/>
      <w:bookmarkEnd w:id="2790"/>
      <w:bookmarkEnd w:id="2791"/>
      <w:bookmarkEnd w:id="2792"/>
      <w:bookmarkEnd w:id="2793"/>
      <w:bookmarkEnd w:id="2794"/>
      <w:bookmarkEnd w:id="2795"/>
      <w:bookmarkEnd w:id="2796"/>
      <w:bookmarkEnd w:id="2797"/>
      <w:bookmarkEnd w:id="2798"/>
      <w:bookmarkEnd w:id="2799"/>
    </w:p>
    <w:p w:rsidR="00F4654E" w:rsidRDefault="00F4654E">
      <w:pPr>
        <w:pStyle w:val="2"/>
      </w:pPr>
      <w:bookmarkStart w:id="2800" w:name="_Toc10731387"/>
      <w:bookmarkStart w:id="2801" w:name="_Toc11032271"/>
      <w:bookmarkStart w:id="2802" w:name="_Toc11137818"/>
      <w:bookmarkStart w:id="2803" w:name="_Toc11138236"/>
      <w:bookmarkStart w:id="2804" w:name="_Toc11138654"/>
      <w:bookmarkStart w:id="2805" w:name="_Toc11139072"/>
      <w:bookmarkStart w:id="2806" w:name="_Toc11139490"/>
      <w:bookmarkStart w:id="2807" w:name="_Toc11139908"/>
      <w:bookmarkStart w:id="2808" w:name="_Toc11140326"/>
      <w:bookmarkStart w:id="2809" w:name="_Toc11390436"/>
      <w:bookmarkStart w:id="2810" w:name="_Toc11937659"/>
      <w:r>
        <w:t>Макринова Н.Ю., Шушлебин В.И.*</w:t>
      </w:r>
      <w:bookmarkEnd w:id="2800"/>
      <w:bookmarkEnd w:id="2801"/>
      <w:bookmarkEnd w:id="2802"/>
      <w:bookmarkEnd w:id="2803"/>
      <w:bookmarkEnd w:id="2804"/>
      <w:bookmarkEnd w:id="2805"/>
      <w:bookmarkEnd w:id="2806"/>
      <w:bookmarkEnd w:id="2807"/>
      <w:bookmarkEnd w:id="2808"/>
      <w:bookmarkEnd w:id="2809"/>
      <w:bookmarkEnd w:id="2810"/>
      <w:r>
        <w:t xml:space="preserve"> </w:t>
      </w:r>
    </w:p>
    <w:p w:rsidR="00F4654E" w:rsidRDefault="00F4654E">
      <w:pPr>
        <w:pStyle w:val="a5"/>
      </w:pPr>
      <w:r>
        <w:t xml:space="preserve">Воронежский государственный аграрный университет им. К.Д. Глинки </w:t>
      </w:r>
      <w:r>
        <w:br/>
        <w:t>*Всероссийский НИВИ патологии, фармакологии и терапии</w:t>
      </w:r>
    </w:p>
    <w:p w:rsidR="00F4654E" w:rsidRDefault="00F4654E">
      <w:pPr>
        <w:pStyle w:val="a6"/>
      </w:pPr>
      <w:r>
        <w:t xml:space="preserve"> Гипохромная микроцитарня анемия телят-молочников, на сегодня</w:t>
      </w:r>
      <w:r>
        <w:t>ш</w:t>
      </w:r>
      <w:r>
        <w:t xml:space="preserve">ний день изучена не в полной мере. Хотя проблема эта актуальна, в связи с тем, что это заболевание приводит к уменьшению прироста массы тела, </w:t>
      </w:r>
      <w:r>
        <w:lastRenderedPageBreak/>
        <w:t>понижению иммуно</w:t>
      </w:r>
      <w:r>
        <w:softHyphen/>
      </w:r>
      <w:r>
        <w:softHyphen/>
      </w:r>
      <w:r>
        <w:softHyphen/>
      </w:r>
      <w:r>
        <w:softHyphen/>
      </w:r>
      <w:r>
        <w:softHyphen/>
        <w:t>биологической реактив</w:t>
      </w:r>
      <w:r>
        <w:softHyphen/>
      </w:r>
      <w:r>
        <w:softHyphen/>
        <w:t>ности животных, что приводит к заболеваемос</w:t>
      </w:r>
      <w:r>
        <w:softHyphen/>
        <w:t>ти молодняка другой патологией.</w:t>
      </w:r>
    </w:p>
    <w:p w:rsidR="00F4654E" w:rsidRDefault="00F4654E">
      <w:pPr>
        <w:pStyle w:val="a6"/>
      </w:pPr>
      <w:r>
        <w:t>Целью нашей работы было изучить эффективность суиферровита при гипохромной микроцитарной анемии средней степени тяжести, а также выявить его влияние  на гематологические показатели крови.</w:t>
      </w:r>
    </w:p>
    <w:p w:rsidR="00F4654E" w:rsidRDefault="00F4654E">
      <w:pPr>
        <w:pStyle w:val="a6"/>
      </w:pPr>
      <w:r>
        <w:t>В ходе проведения опыта было сформировано 3 группы телят, по 8 голов в каждой по принципу аналогов. Опыты проводились в условиях ООО СХП «Сатурн-Черноземье» с.-х. отд. «Победа» и СХП «Родина» В</w:t>
      </w:r>
      <w:r>
        <w:t>о</w:t>
      </w:r>
      <w:r>
        <w:t>ронежской области. Нами был испытан комплексный железосодержащий препарат суиферровит. В связи с не изученностью суиферровита на орг</w:t>
      </w:r>
      <w:r>
        <w:t>а</w:t>
      </w:r>
      <w:r>
        <w:t>низм телят при анемии, нами испытаны различные дозы: 0,05 мл/кг; 0,1 мл/кг и 0,15мл/кг. Препарат применялся внутримышечно 1 раз в 3 дня до выздоровления. В период опыта каждые 10 дней брали кровь для контроля изменений, происходящих в организме телят под влиянием суиферровита.</w:t>
      </w:r>
    </w:p>
    <w:p w:rsidR="00F4654E" w:rsidRDefault="00F4654E">
      <w:pPr>
        <w:pStyle w:val="a6"/>
      </w:pPr>
      <w:r>
        <w:t>У группы телят получавших суиферровит в дозе 0,05 мл/кг было о</w:t>
      </w:r>
      <w:r>
        <w:t>т</w:t>
      </w:r>
      <w:r>
        <w:t>мечено увеличение количество эритроцитов в среднем на 4,9%, количество белка возросло на 3,7%, содержание железа увеличилось незначительно. Как видно из этих данных достоверного влияния на гемопоэз суиферровит в дозе 0,05 мл/кг не оказал. Поэтому количество препарата было увеличено и он был испытан в дозе 0,1 мл/кг. Количество эритроцитов при этом во</w:t>
      </w:r>
      <w:r>
        <w:t>з</w:t>
      </w:r>
      <w:r>
        <w:t>росло в среднем на 10,3%, гемоглобина на 12,2%, общий белок на 5,7% а уровень железа увеличился на 16,4% и достигли средних нормативных п</w:t>
      </w:r>
      <w:r>
        <w:t>о</w:t>
      </w:r>
      <w:r>
        <w:t>казателей. Очевидно, что в этом случае суиферровит активно стимулирует гемопоэз и белково-минеральный обмен.</w:t>
      </w:r>
    </w:p>
    <w:p w:rsidR="00F4654E" w:rsidRDefault="00F4654E">
      <w:pPr>
        <w:pStyle w:val="a6"/>
      </w:pPr>
      <w:r>
        <w:t>Затем была испытана возрастающая доза в количестве 0,15мл/кг. И</w:t>
      </w:r>
      <w:r>
        <w:t>з</w:t>
      </w:r>
      <w:r>
        <w:t>менения картины крови и клинического статуса в этом случае были схо</w:t>
      </w:r>
      <w:r>
        <w:t>д</w:t>
      </w:r>
      <w:r>
        <w:t xml:space="preserve">ными с показателями при использовании предыдущей дозы. </w:t>
      </w:r>
    </w:p>
    <w:p w:rsidR="00F4654E" w:rsidRDefault="00F4654E">
      <w:pPr>
        <w:pStyle w:val="a6"/>
      </w:pPr>
      <w:r>
        <w:t xml:space="preserve">Поэтому более экономичным является применение суиферровита в дозе 0,15мл/кг для лечения телят больных анемией.      </w:t>
      </w:r>
    </w:p>
    <w:p w:rsidR="00F4654E" w:rsidRDefault="00F4654E">
      <w:pPr>
        <w:pStyle w:val="a4"/>
      </w:pPr>
      <w:r>
        <w:t>УДК 619:615.9.549.25/.28</w:t>
      </w:r>
    </w:p>
    <w:p w:rsidR="00F4654E" w:rsidRDefault="00F4654E">
      <w:pPr>
        <w:pStyle w:val="1"/>
      </w:pPr>
      <w:bookmarkStart w:id="2811" w:name="_Toc10731388"/>
      <w:bookmarkStart w:id="2812" w:name="_Toc11137819"/>
      <w:bookmarkStart w:id="2813" w:name="_Toc11138237"/>
      <w:bookmarkStart w:id="2814" w:name="_Toc11138655"/>
      <w:bookmarkStart w:id="2815" w:name="_Toc11139073"/>
      <w:bookmarkStart w:id="2816" w:name="_Toc11139491"/>
      <w:bookmarkStart w:id="2817" w:name="_Toc11139909"/>
      <w:bookmarkStart w:id="2818" w:name="_Toc11140327"/>
      <w:bookmarkStart w:id="2819" w:name="_Toc11390437"/>
      <w:bookmarkStart w:id="2820" w:name="_Toc11840122"/>
      <w:bookmarkStart w:id="2821" w:name="_Toc11937660"/>
      <w:r>
        <w:t>ВОЗРАСТНАЯ ДИНАМИКА НАКОПЛЕНИЯ ТОКСИКАНТОВ В ОРГАНИЗМЕ ЖИВОТНЫХ НА ЭКОЛОГИЧЕСКИ СЛОЖНЫХ ТЕРРИТОРИЯХ СРЕДНЕГО УРАЛА</w:t>
      </w:r>
      <w:bookmarkEnd w:id="2811"/>
      <w:bookmarkEnd w:id="2812"/>
      <w:bookmarkEnd w:id="2813"/>
      <w:bookmarkEnd w:id="2814"/>
      <w:bookmarkEnd w:id="2815"/>
      <w:bookmarkEnd w:id="2816"/>
      <w:bookmarkEnd w:id="2817"/>
      <w:bookmarkEnd w:id="2818"/>
      <w:bookmarkEnd w:id="2819"/>
      <w:bookmarkEnd w:id="2820"/>
      <w:bookmarkEnd w:id="2821"/>
    </w:p>
    <w:p w:rsidR="00F4654E" w:rsidRDefault="00F4654E">
      <w:pPr>
        <w:pStyle w:val="2"/>
      </w:pPr>
      <w:bookmarkStart w:id="2822" w:name="_Toc10731389"/>
      <w:bookmarkStart w:id="2823" w:name="_Toc11032272"/>
      <w:bookmarkStart w:id="2824" w:name="_Toc11137820"/>
      <w:bookmarkStart w:id="2825" w:name="_Toc11138238"/>
      <w:bookmarkStart w:id="2826" w:name="_Toc11138656"/>
      <w:bookmarkStart w:id="2827" w:name="_Toc11139074"/>
      <w:bookmarkStart w:id="2828" w:name="_Toc11139492"/>
      <w:bookmarkStart w:id="2829" w:name="_Toc11139910"/>
      <w:bookmarkStart w:id="2830" w:name="_Toc11140328"/>
      <w:bookmarkStart w:id="2831" w:name="_Toc11390438"/>
      <w:bookmarkStart w:id="2832" w:name="_Toc11937661"/>
      <w:r>
        <w:t>Малыгина А.А., Аристархова Л.Н., Татарчук А.Т., Виноградова О.В.</w:t>
      </w:r>
      <w:bookmarkEnd w:id="2822"/>
      <w:bookmarkEnd w:id="2823"/>
      <w:bookmarkEnd w:id="2824"/>
      <w:bookmarkEnd w:id="2825"/>
      <w:bookmarkEnd w:id="2826"/>
      <w:bookmarkEnd w:id="2827"/>
      <w:bookmarkEnd w:id="2828"/>
      <w:bookmarkEnd w:id="2829"/>
      <w:bookmarkEnd w:id="2830"/>
      <w:bookmarkEnd w:id="2831"/>
      <w:bookmarkEnd w:id="2832"/>
    </w:p>
    <w:p w:rsidR="00F4654E" w:rsidRDefault="00F4654E">
      <w:pPr>
        <w:pStyle w:val="a5"/>
      </w:pPr>
      <w:r>
        <w:t>Свердловская научно-исследовательская ветеринарная станция</w:t>
      </w:r>
    </w:p>
    <w:p w:rsidR="00F4654E" w:rsidRDefault="00F4654E">
      <w:pPr>
        <w:pStyle w:val="a6"/>
      </w:pPr>
      <w:r>
        <w:t>Особенность Уральского региона формирует критический уровень экологической опасности. В Свердловской области функционирует 2225 промышленных предприятий, выброс загрязняющих веществ с которых в атмосферу составляет 1320,5 тыс. тонн в год. Длительное антропогенное воздействие окружающей среды Урала привело к загрязнению тяжелыми металлами почвы, воды, воздуха, растительных кормов, которое способс</w:t>
      </w:r>
      <w:r>
        <w:t>т</w:t>
      </w:r>
      <w:r>
        <w:lastRenderedPageBreak/>
        <w:t>вовало созданию техногенных биогеохимических провинций с аномал</w:t>
      </w:r>
      <w:r>
        <w:t>ь</w:t>
      </w:r>
      <w:r>
        <w:t>ным содержанием токсикантов. Тяжелые металлы включаются в биотич</w:t>
      </w:r>
      <w:r>
        <w:t>е</w:t>
      </w:r>
      <w:r>
        <w:t>ский цикл и с растительными кормами, воздухом попадают в организм ж</w:t>
      </w:r>
      <w:r>
        <w:t>и</w:t>
      </w:r>
      <w:r>
        <w:t>вотных, продукцию, и в конечном итоге, оказывают негативное воздейс</w:t>
      </w:r>
      <w:r>
        <w:t>т</w:t>
      </w:r>
      <w:r>
        <w:t xml:space="preserve">вие на человека. </w:t>
      </w:r>
    </w:p>
    <w:p w:rsidR="00F4654E" w:rsidRDefault="00F4654E">
      <w:pPr>
        <w:pStyle w:val="a6"/>
      </w:pPr>
      <w:r>
        <w:t>На этом фоне проведены обширные исследования по  изучению те</w:t>
      </w:r>
      <w:r>
        <w:t>р</w:t>
      </w:r>
      <w:r>
        <w:t>риториального распределения тяжелых металлов и их накопления в орг</w:t>
      </w:r>
      <w:r>
        <w:t>а</w:t>
      </w:r>
      <w:r>
        <w:t>низме сельскохозяйственных животных. Токсикологические исследования биологического материала от 308 животных из 22 хозяйств 10 районов о</w:t>
      </w:r>
      <w:r>
        <w:t>б</w:t>
      </w:r>
      <w:r>
        <w:t>ласти выполнены на атомно-абсорбционном спектрофотометре AAS - 30. Исследованиями установлено, что среднеобластные  показатели накопл</w:t>
      </w:r>
      <w:r>
        <w:t>е</w:t>
      </w:r>
      <w:r>
        <w:t>ния тяжелых металлов в организме животных превышают ПДК по соде</w:t>
      </w:r>
      <w:r>
        <w:t>р</w:t>
      </w:r>
      <w:r>
        <w:t>жанию в мышцах цинка в 2,2 раза, кадмия - на 40, свинца - на 12%; в печ</w:t>
      </w:r>
      <w:r>
        <w:t>е</w:t>
      </w:r>
      <w:r>
        <w:t xml:space="preserve">ни - меди в 3 раза, цинка - на 27,7%; в почках - кадмия на 22%. В то же время в районах с повышенной техногенной нагрузкой в организме коров в возрасте 5-7 лет содержание в мышечной ткани – свинца в 8; кадмия – в 10 и цинка - в 2,8 раза; в печени – свинца в 4; кадмия в 2,9; меди в 15 и цинка в 2 раза; в почках - свинца и кадмия в 3-4 раза превышает ПДК. </w:t>
      </w:r>
    </w:p>
    <w:p w:rsidR="00F4654E" w:rsidRDefault="00F4654E">
      <w:pPr>
        <w:pStyle w:val="a6"/>
      </w:pPr>
      <w:r>
        <w:t>На этом фоне вызван интерес к изучению возрастной динамики нак</w:t>
      </w:r>
      <w:r>
        <w:t>о</w:t>
      </w:r>
      <w:r>
        <w:t>пления токсикантов в организме животных. С учетом этого отбирали пр</w:t>
      </w:r>
      <w:r>
        <w:t>о</w:t>
      </w:r>
      <w:r>
        <w:t>бы биологического материала (кусочки мышечной ткани, печени, почек, реберной кости) от животных  3 возрастных групп – коровы 5-7 лет, м</w:t>
      </w:r>
      <w:r>
        <w:t>о</w:t>
      </w:r>
      <w:r>
        <w:t>лодняк 16-18 месяцев, телята до 2-х месячного возраста и плоды 3, 6 и 8-месячного периодов развития из хозяйств в зоне техногенных загрязнений и относительного экологического благополучия. Результаты исследования подтвердили, что большинство тяжелых металлов проходят через плаце</w:t>
      </w:r>
      <w:r>
        <w:t>н</w:t>
      </w:r>
      <w:r>
        <w:t>тарный барьер и в значительных количествах накапливаются в органах плодов. Отмечена высокая концентрация цинка, меди, железа в печени плодов и у телят в первые дни жизни. На ранних стадиях развития печень плодов богаче этими элементами, чем на поздних. Активное накопление цинка, меди и железа зарегистрировано в обеих экологических зонах.</w:t>
      </w:r>
    </w:p>
    <w:p w:rsidR="00F4654E" w:rsidRDefault="00F4654E">
      <w:pPr>
        <w:pStyle w:val="a6"/>
      </w:pPr>
      <w:r>
        <w:t>В районах с техногенным загрязнением в тканях плода происходит накопление более токсичных элементов, таких как свинец и кадмий. Св</w:t>
      </w:r>
      <w:r>
        <w:t>и</w:t>
      </w:r>
      <w:r>
        <w:t>нец беспрепятственно проходит  плацентарный барьер и депонируется во всех органах плода, с преимущественной локализацией в мышечной и к</w:t>
      </w:r>
      <w:r>
        <w:t>о</w:t>
      </w:r>
      <w:r>
        <w:t>стной тканях. Так, в материнской плаценте свинца было 1,67 мг/кг, а в плодной – 2 мг/кг. Кадмий по сравнению со свинцом проникает через пл</w:t>
      </w:r>
      <w:r>
        <w:t>а</w:t>
      </w:r>
      <w:r>
        <w:t>центу в меньшей степени. В материнской плаценте содержание кадмия с</w:t>
      </w:r>
      <w:r>
        <w:t>о</w:t>
      </w:r>
      <w:r>
        <w:t>ставляло 0,13 мг/кг, а в плодной – 0,04 мг/кг. Накопление кадмия в м</w:t>
      </w:r>
      <w:r>
        <w:t>ы</w:t>
      </w:r>
      <w:r>
        <w:t>шечной ткани плодов зарегистрировано лишь к концу их внутриутробного развития. Уровень его составил 0,1 мг/кг. В печени, почках, костях выя</w:t>
      </w:r>
      <w:r>
        <w:t>в</w:t>
      </w:r>
      <w:r>
        <w:t>ляли  следы кадмия к концу плодного периода. В зоне относительного эк</w:t>
      </w:r>
      <w:r>
        <w:t>о</w:t>
      </w:r>
      <w:r>
        <w:t xml:space="preserve">логического благополучия в печени плодов отмечено более интенсивное </w:t>
      </w:r>
      <w:r>
        <w:lastRenderedPageBreak/>
        <w:t>накопление меди. Уровень свинца в мышцах плода ниже в 12 раз, в печени в 2 раза, в почках - на 42,1%, в костях в 1,7 раза по сравнению с аналоги</w:t>
      </w:r>
      <w:r>
        <w:t>ч</w:t>
      </w:r>
      <w:r>
        <w:t xml:space="preserve">ными плодами из техногенно загрязненных районов. Что касается кадмия, то в органах и тканях плодов на протяжении всех стадий их развития из районов относительного  экологического благополучия обнаруживаются лишь его следы. </w:t>
      </w:r>
    </w:p>
    <w:p w:rsidR="00F4654E" w:rsidRDefault="00F4654E">
      <w:pPr>
        <w:pStyle w:val="a6"/>
      </w:pPr>
      <w:r>
        <w:t>В постнатальный период у телят отмечено  снижение концентрации  цинка, меди, но по сравнению с содержанием их у коров она остается в</w:t>
      </w:r>
      <w:r>
        <w:t>ы</w:t>
      </w:r>
      <w:r>
        <w:t>сокой и разница составляет 10 и 6 раз соответственно. Максимальное  снижение уровня названных элементов  регистрируется к 18-месячному возрасту,  а затем снова идет их накопление. В постнатальный период пр</w:t>
      </w:r>
      <w:r>
        <w:t>о</w:t>
      </w:r>
      <w:r>
        <w:t>исходит снижение содержания свинца, что подтверждается исследовани</w:t>
      </w:r>
      <w:r>
        <w:t>я</w:t>
      </w:r>
      <w:r>
        <w:t xml:space="preserve">ми почек телят в 10-14 дневном, 2-х месячном возрасте и молодняка 18-месячного возраста, а затем идет его накопление. Разница в содержании свинца у молодняка в 18 месяцев и взрослых животных составляет 2-2,8 раза. </w:t>
      </w:r>
    </w:p>
    <w:p w:rsidR="00F4654E" w:rsidRDefault="00F4654E">
      <w:pPr>
        <w:pStyle w:val="a6"/>
      </w:pPr>
      <w:r>
        <w:t>Что касается кадмия, то его постепенное накопление в организме ж</w:t>
      </w:r>
      <w:r>
        <w:t>и</w:t>
      </w:r>
      <w:r>
        <w:t>вотных идет по мере увеличения  их возраста.</w:t>
      </w:r>
    </w:p>
    <w:p w:rsidR="00F4654E" w:rsidRDefault="00F4654E">
      <w:pPr>
        <w:pStyle w:val="a6"/>
      </w:pPr>
      <w:r>
        <w:t>Таким образом, проведенные исследования показали, что в условиях техногенного загрязнения в организме крупного рогатого скота кумулир</w:t>
      </w:r>
      <w:r>
        <w:t>у</w:t>
      </w:r>
      <w:r>
        <w:t>ются тяжелые металлы. В период внутриутробного развития в тканях пл</w:t>
      </w:r>
      <w:r>
        <w:t>о</w:t>
      </w:r>
      <w:r>
        <w:t>да депонируются высокие концентрации токсикантов, уровень которых в постнатальный период снижается с последующим ростом у взрослых ж</w:t>
      </w:r>
      <w:r>
        <w:t>и</w:t>
      </w:r>
      <w:r>
        <w:t>вотных.</w:t>
      </w:r>
    </w:p>
    <w:p w:rsidR="00F4654E" w:rsidRDefault="00F4654E">
      <w:pPr>
        <w:pStyle w:val="a4"/>
      </w:pPr>
      <w:r>
        <w:t>УДК 619.636.088</w:t>
      </w:r>
    </w:p>
    <w:p w:rsidR="00F4654E" w:rsidRDefault="00F4654E">
      <w:pPr>
        <w:pStyle w:val="1"/>
      </w:pPr>
      <w:bookmarkStart w:id="2833" w:name="_Toc10731390"/>
      <w:bookmarkStart w:id="2834" w:name="_Toc11137821"/>
      <w:bookmarkStart w:id="2835" w:name="_Toc11138239"/>
      <w:bookmarkStart w:id="2836" w:name="_Toc11138657"/>
      <w:bookmarkStart w:id="2837" w:name="_Toc11139075"/>
      <w:bookmarkStart w:id="2838" w:name="_Toc11139493"/>
      <w:bookmarkStart w:id="2839" w:name="_Toc11139911"/>
      <w:bookmarkStart w:id="2840" w:name="_Toc11140329"/>
      <w:bookmarkStart w:id="2841" w:name="_Toc11390439"/>
      <w:bookmarkStart w:id="2842" w:name="_Toc11840124"/>
      <w:bookmarkStart w:id="2843" w:name="_Toc11937662"/>
      <w:r>
        <w:t>ВЛИЯНИЕ ГУМИНОВЫХ ВЕЩЕСТВ НА ФИЗИОЛОГИЧЕСКОЕ СОСТОЯНИЕ И ПРОДУКТИВНОСТЬ КРУПНОГО РОГАТОГО СКОТА</w:t>
      </w:r>
      <w:bookmarkEnd w:id="2833"/>
      <w:bookmarkEnd w:id="2834"/>
      <w:bookmarkEnd w:id="2835"/>
      <w:bookmarkEnd w:id="2836"/>
      <w:bookmarkEnd w:id="2837"/>
      <w:bookmarkEnd w:id="2838"/>
      <w:bookmarkEnd w:id="2839"/>
      <w:bookmarkEnd w:id="2840"/>
      <w:bookmarkEnd w:id="2841"/>
      <w:bookmarkEnd w:id="2842"/>
      <w:bookmarkEnd w:id="2843"/>
    </w:p>
    <w:p w:rsidR="00F4654E" w:rsidRDefault="0001153D">
      <w:pPr>
        <w:pStyle w:val="2"/>
      </w:pPr>
      <w:bookmarkStart w:id="2844" w:name="_Toc10731391"/>
      <w:bookmarkStart w:id="2845" w:name="_Toc11032273"/>
      <w:bookmarkStart w:id="2846" w:name="_Toc11137822"/>
      <w:bookmarkStart w:id="2847" w:name="_Toc11138240"/>
      <w:bookmarkStart w:id="2848" w:name="_Toc11138658"/>
      <w:bookmarkStart w:id="2849" w:name="_Toc11139076"/>
      <w:bookmarkStart w:id="2850" w:name="_Toc11139494"/>
      <w:bookmarkStart w:id="2851" w:name="_Toc11139912"/>
      <w:bookmarkStart w:id="2852" w:name="_Toc11140330"/>
      <w:bookmarkStart w:id="2853" w:name="_Toc11390440"/>
      <w:bookmarkStart w:id="2854" w:name="_Toc11937663"/>
      <w:r>
        <w:t xml:space="preserve">Малыгина </w:t>
      </w:r>
      <w:r w:rsidR="00F4654E">
        <w:t>А.А., Аристархова Л.Н., Верещак Н.А.,</w:t>
      </w:r>
      <w:r w:rsidR="00F4654E">
        <w:br/>
        <w:t>Виноградова О.В., Зуев А.А.</w:t>
      </w:r>
      <w:bookmarkEnd w:id="2844"/>
      <w:bookmarkEnd w:id="2845"/>
      <w:bookmarkEnd w:id="2846"/>
      <w:bookmarkEnd w:id="2847"/>
      <w:bookmarkEnd w:id="2848"/>
      <w:bookmarkEnd w:id="2849"/>
      <w:bookmarkEnd w:id="2850"/>
      <w:bookmarkEnd w:id="2851"/>
      <w:bookmarkEnd w:id="2852"/>
      <w:bookmarkEnd w:id="2853"/>
      <w:bookmarkEnd w:id="2854"/>
    </w:p>
    <w:p w:rsidR="00F4654E" w:rsidRDefault="00F4654E">
      <w:pPr>
        <w:pStyle w:val="a5"/>
      </w:pPr>
      <w:r>
        <w:t xml:space="preserve">Свердловская научно-исследовательская  ветеринарная станция </w:t>
      </w:r>
      <w:r>
        <w:br/>
        <w:t>Агрофирма «Уральская»</w:t>
      </w:r>
    </w:p>
    <w:p w:rsidR="00F4654E" w:rsidRDefault="00F4654E">
      <w:pPr>
        <w:pStyle w:val="a6"/>
      </w:pPr>
      <w:r>
        <w:tab/>
        <w:t>Гуминовые вещества (от лат. humus - земля, почва) впервые были выделены в 1786 году немецким ученым Ф. Ахардом из торфа, а позднее источниками для получения ряда препаратов гуминовых кислот стали служить также почвы, сапропель, бурые угли. Гуминовые вещества усто</w:t>
      </w:r>
      <w:r>
        <w:t>й</w:t>
      </w:r>
      <w:r>
        <w:t>чивы, высокомолекулярны, полидисперсны, содержат аминокислоты, п</w:t>
      </w:r>
      <w:r>
        <w:t>о</w:t>
      </w:r>
      <w:r>
        <w:t>лисахариды, углеводы, витамины, макро- и микроэлементы, гормоноп</w:t>
      </w:r>
      <w:r>
        <w:t>о</w:t>
      </w:r>
      <w:r>
        <w:t>добные соединения. В биосфере гуминовые вещества выполняют множ</w:t>
      </w:r>
      <w:r>
        <w:t>е</w:t>
      </w:r>
      <w:r>
        <w:t>ство важнейших функций: аккумулятивную - накопление химических эл</w:t>
      </w:r>
      <w:r>
        <w:t>е</w:t>
      </w:r>
      <w:r>
        <w:t>ментов и энергии; транспортную - формирование геохимических потоков минеральных и органических веществ, преимущественно за счет образов</w:t>
      </w:r>
      <w:r>
        <w:t>а</w:t>
      </w:r>
      <w:r>
        <w:lastRenderedPageBreak/>
        <w:t>ния устойчивых комплексных соединений гумусовых кислот с катионами металлов или гидроксидами; протекторную - связывание токсичных и р</w:t>
      </w:r>
      <w:r>
        <w:t>а</w:t>
      </w:r>
      <w:r>
        <w:t>диоактивных элементов в малоподвижные и  трудно-диссоциирующие с</w:t>
      </w:r>
      <w:r>
        <w:t>о</w:t>
      </w:r>
      <w:r>
        <w:t>единения; физиологическую – стимулирование   прорастания семян, дых</w:t>
      </w:r>
      <w:r>
        <w:t>а</w:t>
      </w:r>
      <w:r>
        <w:t xml:space="preserve">ния растений,  продуктивности крупного рогатого скота, птицы. </w:t>
      </w:r>
    </w:p>
    <w:p w:rsidR="00F4654E" w:rsidRDefault="00F4654E">
      <w:pPr>
        <w:pStyle w:val="a6"/>
      </w:pPr>
      <w:r>
        <w:t>В России эксперименты по использованию гуминовых препаратов в качестве кормовой добавки для сельскохозяйственных животных  пров</w:t>
      </w:r>
      <w:r>
        <w:t>о</w:t>
      </w:r>
      <w:r>
        <w:t>дятся  с  60-х годов  и продолжаются по настоящее время. В результате н</w:t>
      </w:r>
      <w:r>
        <w:t>а</w:t>
      </w:r>
      <w:r>
        <w:t>копился экспериментальный материал, доказывающий, что использование гуматов приводит к ускорению роста животных, снижению заболеваем</w:t>
      </w:r>
      <w:r>
        <w:t>о</w:t>
      </w:r>
      <w:r>
        <w:t>сти и падежа, повышению устойчивости организма к неблагоприятным у</w:t>
      </w:r>
      <w:r>
        <w:t>с</w:t>
      </w:r>
      <w:r>
        <w:t>ловиям среды.</w:t>
      </w:r>
    </w:p>
    <w:p w:rsidR="00F4654E" w:rsidRDefault="00F4654E">
      <w:pPr>
        <w:pStyle w:val="a6"/>
      </w:pPr>
      <w:r>
        <w:t xml:space="preserve"> Свердловская область располагает обширным сырьем для произво</w:t>
      </w:r>
      <w:r>
        <w:t>д</w:t>
      </w:r>
      <w:r>
        <w:t>ства гуминовых препаратов. ООО «Росглавтехника-БИО» разработали кормовую добавку «Уральская» – препарат природного происхождения, получаемый из торфа. Выпускается кормовая добавка в виде сухого пол</w:t>
      </w:r>
      <w:r>
        <w:t>у</w:t>
      </w:r>
      <w:r>
        <w:t>фабриката, из которого готовится маточный раствор для применения ж</w:t>
      </w:r>
      <w:r>
        <w:t>и</w:t>
      </w:r>
      <w:r>
        <w:t>вотным. С целью получения раствора пакет с препаратом (вес 1 кг) залив</w:t>
      </w:r>
      <w:r>
        <w:t>а</w:t>
      </w:r>
      <w:r>
        <w:t xml:space="preserve">ется 25 литрами горячей воды (60-65 </w:t>
      </w:r>
      <w:r>
        <w:rPr>
          <w:vertAlign w:val="superscript"/>
        </w:rPr>
        <w:t>0</w:t>
      </w:r>
      <w:r>
        <w:t>С) на 10-12 часов.</w:t>
      </w:r>
    </w:p>
    <w:p w:rsidR="00F4654E" w:rsidRDefault="00F4654E">
      <w:pPr>
        <w:pStyle w:val="a6"/>
      </w:pPr>
      <w:r>
        <w:t>Научно-производственные опыты по изучению влияния кормовой д</w:t>
      </w:r>
      <w:r>
        <w:t>о</w:t>
      </w:r>
      <w:r>
        <w:t>бавки на физиологическое состояние и продуктивность крупного рогатого скота проведены в АФ «Уральская» Невьянского района на бычках 18-месячного возраста. По принципу аналогов было сформировано 3 группы по 10 голов в каждой. Помимо основного рациона животные первой опы</w:t>
      </w:r>
      <w:r>
        <w:t>т</w:t>
      </w:r>
      <w:r>
        <w:t>ной группы получали кормовую добавку по 100 мл 2 раза в день, второй – по 150 мл 1 раз в день путем увлажнения комбикорма. Опытным группам соответствовала контрольная. Все животные (опытные и контрольные) н</w:t>
      </w:r>
      <w:r>
        <w:t>а</w:t>
      </w:r>
      <w:r>
        <w:t>ходились в одинаковых  зоогигиенических условиях и получали один и тот же рацион. В течение опытного периода учитывали клиническое состояние животных, гемато-иммунологические показатели, прирост живой массы. Продолжительность опыта составила три месяца.</w:t>
      </w:r>
    </w:p>
    <w:p w:rsidR="00F4654E" w:rsidRPr="0001153D" w:rsidRDefault="00F4654E">
      <w:pPr>
        <w:pStyle w:val="a6"/>
        <w:rPr>
          <w:spacing w:val="-2"/>
        </w:rPr>
      </w:pPr>
      <w:r w:rsidRPr="0001153D">
        <w:rPr>
          <w:spacing w:val="-2"/>
        </w:rPr>
        <w:t>Как показали результаты наблюдения, кормовая добавка «Уральская» оказывает положительное действие на  молодняк крупного рогатого скота. В ходе опыта отмечено достоверное различие у опытных и контрольных бычков по уровню эритроцитов и гемоглобина. Так, у животных первой опытной группы, содержание эритроцитов было выше по сравнению с ко</w:t>
      </w:r>
      <w:r w:rsidRPr="0001153D">
        <w:rPr>
          <w:spacing w:val="-2"/>
        </w:rPr>
        <w:t>н</w:t>
      </w:r>
      <w:r w:rsidRPr="0001153D">
        <w:rPr>
          <w:spacing w:val="-2"/>
        </w:rPr>
        <w:t>тролем на 8,14-12,40 %, гемоглобина на 4,23-9,07%, во второй опытной группе – на 11,46-15,57% и на 8,05% соответственно.</w:t>
      </w:r>
      <w:r w:rsidR="0001153D" w:rsidRPr="0001153D">
        <w:rPr>
          <w:spacing w:val="-2"/>
        </w:rPr>
        <w:t xml:space="preserve"> </w:t>
      </w:r>
      <w:r w:rsidRPr="0001153D">
        <w:rPr>
          <w:spacing w:val="-2"/>
        </w:rPr>
        <w:t>Установлено полож</w:t>
      </w:r>
      <w:r w:rsidRPr="0001153D">
        <w:rPr>
          <w:spacing w:val="-2"/>
        </w:rPr>
        <w:t>и</w:t>
      </w:r>
      <w:r w:rsidRPr="0001153D">
        <w:rPr>
          <w:spacing w:val="-2"/>
        </w:rPr>
        <w:t>тельное влияние добавки на клеточный иммунитет. Через 30 дней после применения препарата количество Т-лимфоцитов в первой опытной группе возросло на 7,96%, во второй на  35,45% по сравнению с фоновыми данн</w:t>
      </w:r>
      <w:r w:rsidRPr="0001153D">
        <w:rPr>
          <w:spacing w:val="-2"/>
        </w:rPr>
        <w:t>ы</w:t>
      </w:r>
      <w:r w:rsidRPr="0001153D">
        <w:rPr>
          <w:spacing w:val="-2"/>
        </w:rPr>
        <w:t>ми, в то время как  у животных  контрольной группы данный показатель  остался на прежнем уровне. Аналогичная з</w:t>
      </w:r>
      <w:r w:rsidRPr="0001153D">
        <w:rPr>
          <w:spacing w:val="-2"/>
        </w:rPr>
        <w:t>а</w:t>
      </w:r>
      <w:r w:rsidRPr="0001153D">
        <w:rPr>
          <w:spacing w:val="-2"/>
        </w:rPr>
        <w:t xml:space="preserve">кономерность прослеживается и </w:t>
      </w:r>
      <w:r w:rsidRPr="0001153D">
        <w:rPr>
          <w:spacing w:val="-2"/>
        </w:rPr>
        <w:lastRenderedPageBreak/>
        <w:t>к концу периода наблюдения. Фагоцитарная активность через 90дней до</w:t>
      </w:r>
      <w:r w:rsidRPr="0001153D">
        <w:rPr>
          <w:spacing w:val="-2"/>
        </w:rPr>
        <w:t>с</w:t>
      </w:r>
      <w:r w:rsidRPr="0001153D">
        <w:rPr>
          <w:spacing w:val="-2"/>
        </w:rPr>
        <w:t>товерно увеличилась в обеих опытных группах на  14,47 и 19,27% по сра</w:t>
      </w:r>
      <w:r w:rsidRPr="0001153D">
        <w:rPr>
          <w:spacing w:val="-2"/>
        </w:rPr>
        <w:t>в</w:t>
      </w:r>
      <w:r w:rsidRPr="0001153D">
        <w:rPr>
          <w:spacing w:val="-2"/>
        </w:rPr>
        <w:t>нению с исходными данными. Частота пульса, дыхания, руминации  у ж</w:t>
      </w:r>
      <w:r w:rsidRPr="0001153D">
        <w:rPr>
          <w:spacing w:val="-2"/>
        </w:rPr>
        <w:t>и</w:t>
      </w:r>
      <w:r w:rsidRPr="0001153D">
        <w:rPr>
          <w:spacing w:val="-2"/>
        </w:rPr>
        <w:t>вотных в течение  опыта находились в пределах физиологической но</w:t>
      </w:r>
      <w:r w:rsidRPr="0001153D">
        <w:rPr>
          <w:spacing w:val="-2"/>
        </w:rPr>
        <w:t>р</w:t>
      </w:r>
      <w:r w:rsidRPr="0001153D">
        <w:rPr>
          <w:spacing w:val="-2"/>
        </w:rPr>
        <w:t>мы.</w:t>
      </w:r>
    </w:p>
    <w:p w:rsidR="00F4654E" w:rsidRPr="0001153D" w:rsidRDefault="00F4654E">
      <w:pPr>
        <w:pStyle w:val="a6"/>
        <w:rPr>
          <w:spacing w:val="-4"/>
        </w:rPr>
      </w:pPr>
      <w:r w:rsidRPr="0001153D">
        <w:rPr>
          <w:spacing w:val="-4"/>
        </w:rPr>
        <w:t>Кормовая добавка «Уральская» существенно стимулирует прирост ж</w:t>
      </w:r>
      <w:r w:rsidRPr="0001153D">
        <w:rPr>
          <w:spacing w:val="-4"/>
        </w:rPr>
        <w:t>и</w:t>
      </w:r>
      <w:r w:rsidRPr="0001153D">
        <w:rPr>
          <w:spacing w:val="-4"/>
        </w:rPr>
        <w:t>вой массы молодняка крупного рогатого скота. По сравнению с контрольн</w:t>
      </w:r>
      <w:r w:rsidRPr="0001153D">
        <w:rPr>
          <w:spacing w:val="-4"/>
        </w:rPr>
        <w:t>ы</w:t>
      </w:r>
      <w:r w:rsidRPr="0001153D">
        <w:rPr>
          <w:spacing w:val="-4"/>
        </w:rPr>
        <w:t>ми животными, среднесуточный прирост живой массы у бычков первой опытной группы через два месяца после введения кормовой добавки  был выше на 9,6%, через три месяца на 19,1%, во второй опытной группе, где препарат задавали по 150 г один раз в сутки, среднесуточный прирост живой массы через два месяца был выше на 5,7%,  а через три на 26,9%. Выбраковки животных за период опыта во всех 3-х группах не зарегистрировано. При убое животных после завершения проведения опыта никаких патологоанат</w:t>
      </w:r>
      <w:r w:rsidRPr="0001153D">
        <w:rPr>
          <w:spacing w:val="-4"/>
        </w:rPr>
        <w:t>о</w:t>
      </w:r>
      <w:r w:rsidRPr="0001153D">
        <w:rPr>
          <w:spacing w:val="-4"/>
        </w:rPr>
        <w:t xml:space="preserve">мических изменений в паренхиматозных органах не выявлено. </w:t>
      </w:r>
    </w:p>
    <w:p w:rsidR="00F4654E" w:rsidRDefault="00F4654E">
      <w:pPr>
        <w:pStyle w:val="a6"/>
      </w:pPr>
      <w:r>
        <w:t>Таким образом, на основании проведенных исследований можно сд</w:t>
      </w:r>
      <w:r>
        <w:t>е</w:t>
      </w:r>
      <w:r>
        <w:t xml:space="preserve">лать вывод, что кормовая добавка «Уральская», содержащая гуминовые кислоты, обладает выраженным положительным действием. Введение ее в рацион животных стимулирует прирост живой массы, повышает защитные силы организма. </w:t>
      </w:r>
    </w:p>
    <w:p w:rsidR="00F4654E" w:rsidRDefault="00F4654E">
      <w:pPr>
        <w:pStyle w:val="a4"/>
      </w:pPr>
      <w:r>
        <w:t xml:space="preserve"> УДК 619:616-636.053.2(470.6)</w:t>
      </w:r>
    </w:p>
    <w:p w:rsidR="00F4654E" w:rsidRDefault="00F4654E">
      <w:pPr>
        <w:pStyle w:val="1"/>
      </w:pPr>
      <w:bookmarkStart w:id="2855" w:name="_Toc10731392"/>
      <w:bookmarkStart w:id="2856" w:name="_Toc11137823"/>
      <w:bookmarkStart w:id="2857" w:name="_Toc11138241"/>
      <w:bookmarkStart w:id="2858" w:name="_Toc11138659"/>
      <w:bookmarkStart w:id="2859" w:name="_Toc11139077"/>
      <w:bookmarkStart w:id="2860" w:name="_Toc11139495"/>
      <w:bookmarkStart w:id="2861" w:name="_Toc11139913"/>
      <w:bookmarkStart w:id="2862" w:name="_Toc11140331"/>
      <w:bookmarkStart w:id="2863" w:name="_Toc11390441"/>
      <w:bookmarkStart w:id="2864" w:name="_Toc11840126"/>
      <w:bookmarkStart w:id="2865" w:name="_Toc11937664"/>
      <w:r>
        <w:t>Физиолого-биохимические основы болезней метаболизма у молодняка крупного рогатого скота  в зоне Прикаспия</w:t>
      </w:r>
      <w:bookmarkEnd w:id="2855"/>
      <w:bookmarkEnd w:id="2856"/>
      <w:bookmarkEnd w:id="2857"/>
      <w:bookmarkEnd w:id="2858"/>
      <w:bookmarkEnd w:id="2859"/>
      <w:bookmarkEnd w:id="2860"/>
      <w:bookmarkEnd w:id="2861"/>
      <w:bookmarkEnd w:id="2862"/>
      <w:bookmarkEnd w:id="2863"/>
      <w:bookmarkEnd w:id="2864"/>
      <w:bookmarkEnd w:id="2865"/>
    </w:p>
    <w:p w:rsidR="00F4654E" w:rsidRDefault="00F4654E">
      <w:pPr>
        <w:pStyle w:val="2"/>
      </w:pPr>
      <w:bookmarkStart w:id="2866" w:name="_Toc10731393"/>
      <w:bookmarkStart w:id="2867" w:name="_Toc11032274"/>
      <w:bookmarkStart w:id="2868" w:name="_Toc11137824"/>
      <w:bookmarkStart w:id="2869" w:name="_Toc11138242"/>
      <w:bookmarkStart w:id="2870" w:name="_Toc11138660"/>
      <w:bookmarkStart w:id="2871" w:name="_Toc11139078"/>
      <w:bookmarkStart w:id="2872" w:name="_Toc11139496"/>
      <w:bookmarkStart w:id="2873" w:name="_Toc11139914"/>
      <w:bookmarkStart w:id="2874" w:name="_Toc11140332"/>
      <w:bookmarkStart w:id="2875" w:name="_Toc11390442"/>
      <w:bookmarkStart w:id="2876" w:name="_Toc11937665"/>
      <w:r>
        <w:t>Мамаев Н.Х., Джамалудинова И.Н., Мурзаева А.Н.*</w:t>
      </w:r>
      <w:bookmarkEnd w:id="2866"/>
      <w:bookmarkEnd w:id="2867"/>
      <w:bookmarkEnd w:id="2868"/>
      <w:bookmarkEnd w:id="2869"/>
      <w:bookmarkEnd w:id="2870"/>
      <w:bookmarkEnd w:id="2871"/>
      <w:bookmarkEnd w:id="2872"/>
      <w:bookmarkEnd w:id="2873"/>
      <w:bookmarkEnd w:id="2874"/>
      <w:bookmarkEnd w:id="2875"/>
      <w:bookmarkEnd w:id="2876"/>
    </w:p>
    <w:p w:rsidR="00F4654E" w:rsidRDefault="00F4654E">
      <w:pPr>
        <w:pStyle w:val="a5"/>
      </w:pPr>
      <w:r>
        <w:t>Прикаспийский зональный научно-исследовательский ветеринарный институт</w:t>
      </w:r>
      <w:r>
        <w:br/>
        <w:t>*Дагестанская государственная сельскохозяйственная академия</w:t>
      </w:r>
    </w:p>
    <w:p w:rsidR="00F4654E" w:rsidRDefault="00F4654E">
      <w:pPr>
        <w:pStyle w:val="a6"/>
      </w:pPr>
      <w:r>
        <w:t>Состояние обмена веществ является основным показателем системно-физиологических, структурно-функциональных изменений биохимическ</w:t>
      </w:r>
      <w:r>
        <w:t>о</w:t>
      </w:r>
      <w:r>
        <w:t>го статуса организма, включая и  патологические. Поэтому важное знач</w:t>
      </w:r>
      <w:r>
        <w:t>е</w:t>
      </w:r>
      <w:r>
        <w:t>ние имеет разработка методов ранней диагностики патологических сбоев обменных процессов в организме животных, особенно молодняка.</w:t>
      </w:r>
      <w:r w:rsidR="0001153D">
        <w:t xml:space="preserve"> </w:t>
      </w:r>
      <w:r>
        <w:t>Среди молодняка крупного рогатого скота нередко наблюдаются с</w:t>
      </w:r>
      <w:r>
        <w:t>о</w:t>
      </w:r>
      <w:r>
        <w:t>четаемость, множественность заболеваний алиментарного характера, связанных с н</w:t>
      </w:r>
      <w:r>
        <w:t>а</w:t>
      </w:r>
      <w:r>
        <w:t>рушением белкового, углеводного, минерального и витаминн</w:t>
      </w:r>
      <w:r>
        <w:t>о</w:t>
      </w:r>
      <w:r>
        <w:t>го обменов, в том числе алиментарная анемия, рахит, остеодистрофия, к</w:t>
      </w:r>
      <w:r>
        <w:t>е</w:t>
      </w:r>
      <w:r>
        <w:t>тозы, макро- микроэлементозы, а также желудочно-кишечные и респираторные.</w:t>
      </w:r>
      <w:r w:rsidR="0001153D">
        <w:t xml:space="preserve"> </w:t>
      </w:r>
      <w:r>
        <w:t>При проведении специальных биохимических исследований выявляются знач</w:t>
      </w:r>
      <w:r>
        <w:t>и</w:t>
      </w:r>
      <w:r>
        <w:t>тельные изменения в обмене веществ, протекающие субклинически, кот</w:t>
      </w:r>
      <w:r>
        <w:t>о</w:t>
      </w:r>
      <w:r>
        <w:t>рые постепенно могут привести к серьезным отрицательным последств</w:t>
      </w:r>
      <w:r>
        <w:t>и</w:t>
      </w:r>
      <w:r>
        <w:t>ям: нарушению важнейших функций внутренних органов и систем,  жи</w:t>
      </w:r>
      <w:r>
        <w:t>з</w:t>
      </w:r>
      <w:r>
        <w:t>недеятельности организма в целом, замедлению роста, развития и созрев</w:t>
      </w:r>
      <w:r>
        <w:t>а</w:t>
      </w:r>
      <w:r>
        <w:t>ния животных, снижению прироста массы тела, дополнител</w:t>
      </w:r>
      <w:r>
        <w:t>ь</w:t>
      </w:r>
      <w:r>
        <w:t xml:space="preserve">ных затрат на </w:t>
      </w:r>
      <w:r>
        <w:lastRenderedPageBreak/>
        <w:t>кормление, лечение и содержание животных, чем наносится значительный экономический ущерб хозяйствам (Н.А.Уразаев, М.Я. Сальников,1971; В.Ф. Павлов с соавторами 1976; А.Г. Сапунов,1982; И.П. Ко</w:t>
      </w:r>
      <w:r>
        <w:t>н</w:t>
      </w:r>
      <w:r>
        <w:t>драхин,1983-1989; А.А. Кабыш,1995; А.М. Самотин,1997).</w:t>
      </w:r>
    </w:p>
    <w:p w:rsidR="00F4654E" w:rsidRDefault="00F4654E">
      <w:pPr>
        <w:pStyle w:val="a6"/>
      </w:pPr>
      <w:r>
        <w:t>Научные исследования проведены на телках 14-18 мес. возраста в у</w:t>
      </w:r>
      <w:r>
        <w:t>с</w:t>
      </w:r>
      <w:r>
        <w:t>ловиях колхоза им. Серго Гунибского района в равнинной зоне Прикаспия. Определены питательная ценность рационов в разные периоды года, би</w:t>
      </w:r>
      <w:r>
        <w:t>о</w:t>
      </w:r>
      <w:r>
        <w:t xml:space="preserve">химический статус организма, динамика роста и развития. </w:t>
      </w:r>
    </w:p>
    <w:p w:rsidR="00F4654E" w:rsidRDefault="00F4654E">
      <w:pPr>
        <w:pStyle w:val="a6"/>
      </w:pPr>
      <w:r>
        <w:t>Установлено нарушение условий кормления и содержания. В зимнем рационе в основном преобладали кислые корма (силос и сенаж). Животные на протяжении всего зимнего периода находились в условиях гиподинамии при недостатке инсоляции, витаминного голодания, сахаро-протеинового и минерального дефицита, в том числе выявлен недостаток протеина в в</w:t>
      </w:r>
      <w:r>
        <w:t>е</w:t>
      </w:r>
      <w:r>
        <w:t>сенне-летнее время до 9%, осенне-зимнее – более 30% и его неполноце</w:t>
      </w:r>
      <w:r>
        <w:t>н</w:t>
      </w:r>
      <w:r>
        <w:t>ность, особенно в стойловый период из-за пониженного содержания жи</w:t>
      </w:r>
      <w:r>
        <w:t>з</w:t>
      </w:r>
      <w:r>
        <w:t>ненно важных аминокислот, в том числе незаменимых (лизина, метионина, лейцина, изолейцина и др.). Отмечен недостаток сахара до 45,5%, наруш</w:t>
      </w:r>
      <w:r>
        <w:t>е</w:t>
      </w:r>
      <w:r>
        <w:t>ние сахаро-протеинового соотношения, дефицит каротина до 20% в зи</w:t>
      </w:r>
      <w:r>
        <w:t>м</w:t>
      </w:r>
      <w:r>
        <w:t>ний период, многих макро- и микроэлементов (натрия до 80,0%, кальция – 72%, фосфора – 69,8%, меди до 30%, цинка и кобальта до 28,0%, марганца – 58,6%), при избыточном количестве калия, магния и свинца. Нарушены соотношения между многими биоэлементами. Это способствовало патол</w:t>
      </w:r>
      <w:r>
        <w:t>о</w:t>
      </w:r>
      <w:r>
        <w:t>гическому сбою процессов метаболизма, отставанию в росте и развитии телок, нарушению функций кроветворения, снижению иммунобиологич</w:t>
      </w:r>
      <w:r>
        <w:t>е</w:t>
      </w:r>
      <w:r>
        <w:t>ского</w:t>
      </w:r>
      <w:r w:rsidR="0001153D">
        <w:t xml:space="preserve"> равновесия, оплодотворяемости. </w:t>
      </w:r>
      <w:r>
        <w:t>Отмечен низкий уровень гемогл</w:t>
      </w:r>
      <w:r>
        <w:t>о</w:t>
      </w:r>
      <w:r>
        <w:t>бина (8,04 г%). У отдельных живо</w:t>
      </w:r>
      <w:r>
        <w:t>т</w:t>
      </w:r>
      <w:r>
        <w:t>ных этот показатель не превышал 7 г%. Щелочной резерв также оказался ниже физиологической нормы (34,6 об % СО</w:t>
      </w:r>
      <w:r>
        <w:rPr>
          <w:vertAlign w:val="subscript"/>
        </w:rPr>
        <w:t>2</w:t>
      </w:r>
      <w:r>
        <w:t>). Содержание каротина в сыворотке крови подопытных телок было ниже пороговой границы и не превышало  0,3 мг%. Ко</w:t>
      </w:r>
      <w:r>
        <w:t>н</w:t>
      </w:r>
      <w:r>
        <w:t>центрация многих макро</w:t>
      </w:r>
      <w:r w:rsidR="0001153D">
        <w:t>-</w:t>
      </w:r>
      <w:r>
        <w:t xml:space="preserve"> и микроэлементов в крови подопытных телок б</w:t>
      </w:r>
      <w:r>
        <w:t>ы</w:t>
      </w:r>
      <w:r>
        <w:t>ла пониженной.</w:t>
      </w:r>
    </w:p>
    <w:p w:rsidR="00F4654E" w:rsidRDefault="00F4654E">
      <w:pPr>
        <w:pStyle w:val="a6"/>
      </w:pPr>
      <w:r>
        <w:t>Проведенные исследования позволили сделать заключение, что в у</w:t>
      </w:r>
      <w:r>
        <w:t>с</w:t>
      </w:r>
      <w:r>
        <w:t>ловиях равнинной зоны Прикаспия у молодняка крупного рогатого скота широко распространены сочетаемость, множественность болезней метаб</w:t>
      </w:r>
      <w:r>
        <w:t>о</w:t>
      </w:r>
      <w:r>
        <w:t>лизма алиментарного характера.</w:t>
      </w:r>
    </w:p>
    <w:p w:rsidR="00F4654E" w:rsidRDefault="00F4654E">
      <w:pPr>
        <w:pStyle w:val="a4"/>
      </w:pPr>
      <w:r>
        <w:t>УДК 619.616.995:636.32(470.47)</w:t>
      </w:r>
    </w:p>
    <w:p w:rsidR="00F4654E" w:rsidRDefault="00F4654E">
      <w:pPr>
        <w:pStyle w:val="1"/>
      </w:pPr>
      <w:bookmarkStart w:id="2877" w:name="_Toc10731394"/>
      <w:bookmarkStart w:id="2878" w:name="_Toc11137825"/>
      <w:bookmarkStart w:id="2879" w:name="_Toc11138243"/>
      <w:bookmarkStart w:id="2880" w:name="_Toc11138661"/>
      <w:bookmarkStart w:id="2881" w:name="_Toc11139079"/>
      <w:bookmarkStart w:id="2882" w:name="_Toc11139497"/>
      <w:bookmarkStart w:id="2883" w:name="_Toc11139915"/>
      <w:bookmarkStart w:id="2884" w:name="_Toc11140333"/>
      <w:bookmarkStart w:id="2885" w:name="_Toc11390443"/>
      <w:bookmarkStart w:id="2886" w:name="_Toc11840128"/>
      <w:bookmarkStart w:id="2887" w:name="_Toc11937666"/>
      <w:r>
        <w:t xml:space="preserve">ВАКЦИНАЦИЯ ЯГНЯТ ПРОТИВ ЦЕНУРОЗА В ХОЗЯЙСТВАХ </w:t>
      </w:r>
      <w:r>
        <w:br/>
        <w:t>МАЛО-ДЕРБЕТОВСКОГО РАЙОНА РЕСПУБЛИКИ КАЛМЫКИЯ</w:t>
      </w:r>
      <w:bookmarkEnd w:id="2877"/>
      <w:bookmarkEnd w:id="2878"/>
      <w:bookmarkEnd w:id="2879"/>
      <w:bookmarkEnd w:id="2880"/>
      <w:bookmarkEnd w:id="2881"/>
      <w:bookmarkEnd w:id="2882"/>
      <w:bookmarkEnd w:id="2883"/>
      <w:bookmarkEnd w:id="2884"/>
      <w:bookmarkEnd w:id="2885"/>
      <w:bookmarkEnd w:id="2886"/>
      <w:bookmarkEnd w:id="2887"/>
    </w:p>
    <w:p w:rsidR="00F4654E" w:rsidRDefault="00F4654E">
      <w:pPr>
        <w:pStyle w:val="2"/>
      </w:pPr>
      <w:bookmarkStart w:id="2888" w:name="_Toc10731395"/>
      <w:bookmarkStart w:id="2889" w:name="_Toc11032275"/>
      <w:bookmarkStart w:id="2890" w:name="_Toc11137826"/>
      <w:bookmarkStart w:id="2891" w:name="_Toc11138244"/>
      <w:bookmarkStart w:id="2892" w:name="_Toc11138662"/>
      <w:bookmarkStart w:id="2893" w:name="_Toc11139080"/>
      <w:bookmarkStart w:id="2894" w:name="_Toc11139498"/>
      <w:bookmarkStart w:id="2895" w:name="_Toc11139916"/>
      <w:bookmarkStart w:id="2896" w:name="_Toc11140334"/>
      <w:bookmarkStart w:id="2897" w:name="_Toc11390444"/>
      <w:bookmarkStart w:id="2898" w:name="_Toc11937667"/>
      <w:r>
        <w:t>Манджиев Б.А., Сысоева Н. Ю.,  Верховская Г.Л.</w:t>
      </w:r>
      <w:bookmarkEnd w:id="2888"/>
      <w:bookmarkEnd w:id="2889"/>
      <w:bookmarkEnd w:id="2890"/>
      <w:bookmarkEnd w:id="2891"/>
      <w:bookmarkEnd w:id="2892"/>
      <w:bookmarkEnd w:id="2893"/>
      <w:bookmarkEnd w:id="2894"/>
      <w:bookmarkEnd w:id="2895"/>
      <w:bookmarkEnd w:id="2896"/>
      <w:bookmarkEnd w:id="2897"/>
      <w:bookmarkEnd w:id="2898"/>
    </w:p>
    <w:p w:rsidR="00F4654E" w:rsidRDefault="00F4654E">
      <w:pPr>
        <w:pStyle w:val="a5"/>
      </w:pPr>
      <w:r>
        <w:t>Московский государственный университет прикладной биотехнологии</w:t>
      </w:r>
    </w:p>
    <w:p w:rsidR="00F4654E" w:rsidRDefault="00F4654E">
      <w:pPr>
        <w:pStyle w:val="a6"/>
      </w:pPr>
      <w:r>
        <w:t>Проблема профилактики ценуроза овец, несмотря на проводимые м</w:t>
      </w:r>
      <w:r>
        <w:t>е</w:t>
      </w:r>
      <w:r>
        <w:t>роприятия, еще не решена окончательно. В современных условиях хозя</w:t>
      </w:r>
      <w:r>
        <w:t>й</w:t>
      </w:r>
      <w:r>
        <w:lastRenderedPageBreak/>
        <w:t>ствования, при отсутствии достаточного финансирования и нарушения сложившихся принципов профилактической работы, используемых ранее в условиях крупных овцеводческих хозяйств, существующие рекомендации по борьбе с данным гельминтозом трудно выполнимы. Поэтому соверше</w:t>
      </w:r>
      <w:r>
        <w:t>н</w:t>
      </w:r>
      <w:r>
        <w:t xml:space="preserve">ствование методов и средств борьбы с данным гельминтозом, в том числе и специфической профилактики, основанной на использовании различных антигенных компонентов, полученных от гельминтов, является актуальной проблемой.  </w:t>
      </w:r>
    </w:p>
    <w:p w:rsidR="00F4654E" w:rsidRDefault="00F4654E">
      <w:pPr>
        <w:pStyle w:val="a6"/>
      </w:pPr>
      <w:r>
        <w:t>В последние годы отмечается большой интерес  к  результатам вакц</w:t>
      </w:r>
      <w:r>
        <w:t>и</w:t>
      </w:r>
      <w:r>
        <w:t>нации  против  различных гельминтозов сельскохозяйственных животных,  особенно тканевых. Имеющиеся сообщения показывают определенную перспективность  данного направления борьбы и профилактики гельми</w:t>
      </w:r>
      <w:r>
        <w:t>н</w:t>
      </w:r>
      <w:r>
        <w:t>тозов животных. При правильном включении в общую схему борьбы с п</w:t>
      </w:r>
      <w:r>
        <w:t>а</w:t>
      </w:r>
      <w:r>
        <w:t>разитарными заболеваниями уменьшается число случаев заражения ж</w:t>
      </w:r>
      <w:r>
        <w:t>и</w:t>
      </w:r>
      <w:r>
        <w:t>вотных. Эффективность применения этого метода борьбы с гельминтозами зависит  от  качества вакцины,  правильно подобранных сроков вакцин</w:t>
      </w:r>
      <w:r>
        <w:t>а</w:t>
      </w:r>
      <w:r>
        <w:t>ции, условий кормления и содержания,  физиологического статуса имм</w:t>
      </w:r>
      <w:r>
        <w:t>у</w:t>
      </w:r>
      <w:r>
        <w:t xml:space="preserve">низируемых животных. </w:t>
      </w:r>
    </w:p>
    <w:p w:rsidR="00F4654E" w:rsidRDefault="00F4654E">
      <w:pPr>
        <w:pStyle w:val="a6"/>
      </w:pPr>
      <w:r>
        <w:t>В вакцине для профилактики ценуроза овец, разработанной на кафе</w:t>
      </w:r>
      <w:r>
        <w:t>д</w:t>
      </w:r>
      <w:r>
        <w:t>ре паразитологии МГУПБ (Н.Е. Косминков, 1986), иммуногенным  су</w:t>
      </w:r>
      <w:r>
        <w:t>б</w:t>
      </w:r>
      <w:r>
        <w:t>стратом являются мигрирующие онкосферы и начальные  2-3  суточные  стадии  их развития. Вакцина прошла успешные испытания в овцеводч</w:t>
      </w:r>
      <w:r>
        <w:t>е</w:t>
      </w:r>
      <w:r>
        <w:t>ских хозяйствах Российской Федерации и Казахстана. В 1996-1998 гг. в у</w:t>
      </w:r>
      <w:r>
        <w:t>с</w:t>
      </w:r>
      <w:r>
        <w:t>ловиях лаборатории паразитологии МГУПБ была произведена партия м</w:t>
      </w:r>
      <w:r>
        <w:t>о</w:t>
      </w:r>
      <w:r>
        <w:t>дифицированной  вакцины против ценуроза, содержащая двухсуточную культуру проценурусов в среде 199 с добавлением 8 % от объема сыворо</w:t>
      </w:r>
      <w:r>
        <w:t>т</w:t>
      </w:r>
      <w:r>
        <w:t>ки крови крупного рогатого скота, 10 % геля гидроокиси алюминия и 0,2 % формалина в конечной концентрации в качестве консерванта. Вакцину вводят в дозе по 1 мл двукратно с интервалом 20 дней во внутреннюю п</w:t>
      </w:r>
      <w:r>
        <w:t>о</w:t>
      </w:r>
      <w:r>
        <w:t>верхность бедра.</w:t>
      </w:r>
    </w:p>
    <w:p w:rsidR="00F4654E" w:rsidRDefault="00F4654E">
      <w:pPr>
        <w:pStyle w:val="a6"/>
      </w:pPr>
      <w:r>
        <w:t>Нами были изучены сезонная и возрастная динамика основных гел</w:t>
      </w:r>
      <w:r>
        <w:t>ь</w:t>
      </w:r>
      <w:r>
        <w:t xml:space="preserve">минтозов овец и подобраны сроки оптимальной вакцинации ягнят против ценуроза в конкретных условиях Мало-Дербетовского Северо-западного  региона  Республики Калмыкия. </w:t>
      </w:r>
    </w:p>
    <w:p w:rsidR="00F4654E" w:rsidRDefault="00F4654E">
      <w:pPr>
        <w:pStyle w:val="a6"/>
      </w:pPr>
      <w:r>
        <w:t xml:space="preserve"> Мало-Дербетовский район  представлен климатической зоной сухих степей. Для этого региона характерно лето жаркое и сухое, зима - мал</w:t>
      </w:r>
      <w:r>
        <w:t>о</w:t>
      </w:r>
      <w:r>
        <w:t>снежная,  иногда с большими морозами. Периодически наблюдаются зас</w:t>
      </w:r>
      <w:r>
        <w:t>у</w:t>
      </w:r>
      <w:r>
        <w:t>хи.  Так, если  в 1996-1997 гг. весной в регионе выпало достаточное кол</w:t>
      </w:r>
      <w:r>
        <w:t>и</w:t>
      </w:r>
      <w:r>
        <w:t xml:space="preserve">чество осадков для хорошего травостоя,  лето было жаркое (35-40 </w:t>
      </w:r>
      <w:r>
        <w:sym w:font="Symbol" w:char="F0B0"/>
      </w:r>
      <w:r>
        <w:t>С) с  малым количеством  осадков,  осень  - теплая и относительно дождливая (до 125 мм осадков), то  в 1998 г. отмечалась жесткая засуха. Уже в начале июня посевы зерновых и кормовых культур выгорели, а трава на пастб</w:t>
      </w:r>
      <w:r>
        <w:t>и</w:t>
      </w:r>
      <w:r>
        <w:lastRenderedPageBreak/>
        <w:t>щах была съедена до корней,  в августе  и  сентябре овец выпасали на п</w:t>
      </w:r>
      <w:r>
        <w:t>о</w:t>
      </w:r>
      <w:r>
        <w:t>севах зерновых, признанных нерентабельными для уборки.</w:t>
      </w:r>
    </w:p>
    <w:p w:rsidR="00F4654E" w:rsidRDefault="00F4654E">
      <w:pPr>
        <w:pStyle w:val="a6"/>
      </w:pPr>
      <w:r>
        <w:t>Система ведения овцеводства - отгонно-стойловая.  Овцы содержатся  в  отарах  -  овцематки, ягнята и  взрослые  валухи.  Частный  скот выпас</w:t>
      </w:r>
      <w:r>
        <w:t>а</w:t>
      </w:r>
      <w:r>
        <w:t>ют совместно с отарами общественного сектора. В зимнее время овцы с</w:t>
      </w:r>
      <w:r>
        <w:t>о</w:t>
      </w:r>
      <w:r>
        <w:t>держатся в кошарах  на несменяемой подстилке. Пастбищный сезон длится  с марта-апреля по ноябрь-декабрь. В марте-апреле формируют небольшие группы овец (сакманы), которые выпасают на закрепленных за каждой  точкой  пастбищах вблизи кошар. Окот поздний - с конца марта до серед</w:t>
      </w:r>
      <w:r>
        <w:t>и</w:t>
      </w:r>
      <w:r>
        <w:t xml:space="preserve">ны мая, ягнят выпасают на летних пастбищах вместе с матками, отбивку молодняка и формирование новых отар проводят в сентябре. </w:t>
      </w:r>
    </w:p>
    <w:p w:rsidR="00F4654E" w:rsidRDefault="00F4654E">
      <w:pPr>
        <w:pStyle w:val="a6"/>
      </w:pPr>
      <w:r>
        <w:t xml:space="preserve"> Как показали исследования, проведенные в период 1996-1998 гг., в хозяйствах Мало-Дербетовского района все возрастные группы овец зар</w:t>
      </w:r>
      <w:r>
        <w:t>а</w:t>
      </w:r>
      <w:r>
        <w:t>жены гельминтами в течение всего года при невысокой интенсивности и</w:t>
      </w:r>
      <w:r>
        <w:t>н</w:t>
      </w:r>
      <w:r>
        <w:t>вазии, при которой заболевание протекает, как правило, в латентной фо</w:t>
      </w:r>
      <w:r>
        <w:t>р</w:t>
      </w:r>
      <w:r>
        <w:t>ме, без проявления клинических признаков. Основными гельминтозами, ежегодно регистрируемыми в районе, являются мониезиоз, ценуроз, эх</w:t>
      </w:r>
      <w:r>
        <w:t>и</w:t>
      </w:r>
      <w:r>
        <w:t>нококкоз,  желудочно-кишечные и легочные стронгилятозы. ЭИ в целом составила в этот период 2,2 %, 2,1 и 1,89 % соответственно, что связано, на наш взгляд, с жарким сухим летом, когда пастбища и сенокосы освобо</w:t>
      </w:r>
      <w:r>
        <w:t>ж</w:t>
      </w:r>
      <w:r>
        <w:t>даются частично или полностью от инвазионного начала большинства п</w:t>
      </w:r>
      <w:r>
        <w:t>а</w:t>
      </w:r>
      <w:r>
        <w:t>стбищных гельминтозов.</w:t>
      </w:r>
    </w:p>
    <w:p w:rsidR="00F4654E" w:rsidRDefault="00F4654E">
      <w:pPr>
        <w:pStyle w:val="a6"/>
      </w:pPr>
      <w:r>
        <w:t>В структуре гельминтозов овец всех возрастов преобладали желудо</w:t>
      </w:r>
      <w:r>
        <w:t>ч</w:t>
      </w:r>
      <w:r>
        <w:t>но-кишечные стронгилятозы. ЭИ инвазии нарастала от весны к осени и с</w:t>
      </w:r>
      <w:r>
        <w:t>о</w:t>
      </w:r>
      <w:r>
        <w:t>ставляла у ягнят 24,4 % весной и 84,4 % осенью, у молодняка – 8,9 % и 68,9 %, у овцематок – 13,3 % и 82,2 % соответственно. В начале выпасного сезона ИИ у ягнят составила 347</w:t>
      </w:r>
      <w:r>
        <w:sym w:font="Symbol" w:char="F0B1"/>
      </w:r>
      <w:r>
        <w:t>116 экз. при доминировании нематод</w:t>
      </w:r>
      <w:r>
        <w:t>и</w:t>
      </w:r>
      <w:r>
        <w:t>русов (до 71 % от общего числа гельминтов), осенью ИИ достигала 753</w:t>
      </w:r>
      <w:r>
        <w:sym w:font="Symbol" w:char="F0B1"/>
      </w:r>
      <w:r>
        <w:t>112 экз., при этом в гельминтоценозе  преобладали  трихостронгил</w:t>
      </w:r>
      <w:r>
        <w:t>ю</w:t>
      </w:r>
      <w:r>
        <w:t>сы. ЭИ ягнят мониезиями составляла 14,2 % весной и 53,3 % осенью.</w:t>
      </w:r>
    </w:p>
    <w:p w:rsidR="00F4654E" w:rsidRDefault="00F4654E">
      <w:pPr>
        <w:pStyle w:val="a6"/>
      </w:pPr>
      <w:r>
        <w:t>Таким образом, о ягнята в возрасте 2-3 месяцев, т.е. в начале выпасн</w:t>
      </w:r>
      <w:r>
        <w:t>о</w:t>
      </w:r>
      <w:r>
        <w:t>го сезона заражены стронгилятами и мониезиями.</w:t>
      </w:r>
    </w:p>
    <w:p w:rsidR="00F4654E" w:rsidRDefault="00F4654E">
      <w:pPr>
        <w:pStyle w:val="a6"/>
      </w:pPr>
      <w:r>
        <w:t>Первые случаи ценуроза регистрировали у ягнят в возрасте 4-5 мес</w:t>
      </w:r>
      <w:r>
        <w:t>я</w:t>
      </w:r>
      <w:r>
        <w:t>цев (август-сентябрь), при этом  отмечали отставание в росте и развитии. При вскрытии в головном мозгу обнаруживали овальные или округлой формы ценурусы диаметром 2-3 см, содержащие сколексы в начальной стадии развития. Количество заболевших ягнят в этот период было незн</w:t>
      </w:r>
      <w:r>
        <w:t>а</w:t>
      </w:r>
      <w:r>
        <w:t>чительным и составляло в среднем 0,8 % к общему числу заболевших в данном году ягнят.</w:t>
      </w:r>
    </w:p>
    <w:p w:rsidR="00F4654E" w:rsidRDefault="00F4654E">
      <w:pPr>
        <w:pStyle w:val="a6"/>
      </w:pPr>
      <w:r>
        <w:t xml:space="preserve">Наибольшее число заболевших ценурозом животных регистрировали в январе-марте следующего года среди 8-12 месячного молодняка овец. ЭИ составила 8,57-17,14  %.  При этом наблюдали характерные клинические признаки. В головном мозгу были обнаружены ценурусы размером от 3 до </w:t>
      </w:r>
      <w:r>
        <w:lastRenderedPageBreak/>
        <w:t>5 см, содержащие сколексы на разной стадии развития. Наиболее крупные  имели развитые присоски и крючья. В апреле-мае мы выявляли до 13,4</w:t>
      </w:r>
      <w:r>
        <w:sym w:font="Symbol" w:char="F0B1"/>
      </w:r>
      <w:r>
        <w:t>2,4 % заболевших ценурозом овец. К июню  заболевших ценурозом животных практически не выявлялось.</w:t>
      </w:r>
    </w:p>
    <w:p w:rsidR="00F4654E" w:rsidRDefault="00F4654E">
      <w:pPr>
        <w:pStyle w:val="a6"/>
      </w:pPr>
      <w:r>
        <w:t>Таким образом, клиническое проявление ценуроза у овец в хозяйствах Мало-Дербетовского района связано со сроками заражения животных: первое, массовое - осенью, после отбивки от маток, второе - менее инте</w:t>
      </w:r>
      <w:r>
        <w:t>н</w:t>
      </w:r>
      <w:r>
        <w:t>сивное – ранней весной. В этот период животные выпасаются на огран</w:t>
      </w:r>
      <w:r>
        <w:t>и</w:t>
      </w:r>
      <w:r>
        <w:t>ченных прикошарных пастбищах, что создает дополнительную возмо</w:t>
      </w:r>
      <w:r>
        <w:t>ж</w:t>
      </w:r>
      <w:r>
        <w:t xml:space="preserve">ность заражения.  </w:t>
      </w:r>
    </w:p>
    <w:p w:rsidR="00F4654E" w:rsidRDefault="00F4654E">
      <w:pPr>
        <w:pStyle w:val="a6"/>
      </w:pPr>
      <w:r>
        <w:t>ЭИ приотарных собак мультицептозом составила в среднем по хозя</w:t>
      </w:r>
      <w:r>
        <w:t>й</w:t>
      </w:r>
      <w:r>
        <w:t>ствам Мало-Дербетовского района 29,4</w:t>
      </w:r>
      <w:r>
        <w:sym w:font="Symbol" w:char="F0B1"/>
      </w:r>
      <w:r>
        <w:t>1,47 % в зимний (январь-февраль),  42,3</w:t>
      </w:r>
      <w:r>
        <w:sym w:font="Symbol" w:char="F0B1"/>
      </w:r>
      <w:r>
        <w:t>2,1 % в весенний (март-апрель) и 12,0</w:t>
      </w:r>
      <w:r>
        <w:sym w:font="Symbol" w:char="F0B1"/>
      </w:r>
      <w:r>
        <w:t>0,6 % в  осенний (октябрь-ноябрь) периоды.</w:t>
      </w:r>
    </w:p>
    <w:p w:rsidR="00F4654E" w:rsidRDefault="00F4654E">
      <w:pPr>
        <w:pStyle w:val="a6"/>
      </w:pPr>
      <w:r>
        <w:t>Изучение сезонной динамики основных гельминтозов у ягнят позв</w:t>
      </w:r>
      <w:r>
        <w:t>о</w:t>
      </w:r>
      <w:r>
        <w:t>лило нам предложить оптимальные сроки вакцинации ягнят против цен</w:t>
      </w:r>
      <w:r>
        <w:t>у</w:t>
      </w:r>
      <w:r>
        <w:t xml:space="preserve">роза. </w:t>
      </w:r>
    </w:p>
    <w:p w:rsidR="00F4654E" w:rsidRDefault="00F4654E">
      <w:pPr>
        <w:pStyle w:val="a6"/>
      </w:pPr>
      <w:r>
        <w:t>При вакцинации в 1997 г. 3103  ягнят в возрасте 2-3 месяцев в начале выпасного сезона (июнь месяц) ценуроз зарегистрирован у 49 или в 1,57 % случаев. Из невакцинированных 1441 голов ягнят ценурозом заболело 82 или 5,69 %. При этом 23 случая заболевания (28,05 % от числа заболе</w:t>
      </w:r>
      <w:r>
        <w:t>в</w:t>
      </w:r>
      <w:r>
        <w:t>ших) зарегистрировано в декабре-январе, а 59 (71,95 %) в феврале-мае сл</w:t>
      </w:r>
      <w:r>
        <w:t>е</w:t>
      </w:r>
      <w:r>
        <w:t xml:space="preserve">дующего календарного года. </w:t>
      </w:r>
    </w:p>
    <w:p w:rsidR="00F4654E" w:rsidRDefault="00F4654E">
      <w:pPr>
        <w:pStyle w:val="a6"/>
      </w:pPr>
      <w:r>
        <w:t>Эффективность вакцинации составила 97,4 %.Вакцинация ягнят 5-6 месячного возраста в количестве 1245 голов, выпасавшихся в течение вс</w:t>
      </w:r>
      <w:r>
        <w:t>е</w:t>
      </w:r>
      <w:r>
        <w:t>го выпасного сезона на пастбище, за 30 дней до отбивки от маток позвол</w:t>
      </w:r>
      <w:r>
        <w:t>и</w:t>
      </w:r>
      <w:r>
        <w:t>ла полностью предохранить животных от заражения ценурозом. У имм</w:t>
      </w:r>
      <w:r>
        <w:t>у</w:t>
      </w:r>
      <w:r>
        <w:t>низированных ягнят отмечали повышение уровня лейкоцитов, появление юных и сегментоядерных нейтрофилов, что свидетельствует об усилении регенераторных процессов костного мозга. Фагоцитарная активность не</w:t>
      </w:r>
      <w:r>
        <w:t>й</w:t>
      </w:r>
      <w:r>
        <w:t>трофилов увеличилась на 19,5 % по сравнению с данным показателем до вакцинации. Все это свидетельствует о повышении резистентности орг</w:t>
      </w:r>
      <w:r>
        <w:t>а</w:t>
      </w:r>
      <w:r>
        <w:t xml:space="preserve">низма ягнят, которое сохраняется и через 90 дней после иммунизации. У иммунизированных ягнят  яйца стронгилят были обнаружены  в 35,5 % проб фекалий, мониезий – в 13,3 %, среди не иммунизированных – в 76,4 % и 21,7 % проб соответственно. </w:t>
      </w:r>
    </w:p>
    <w:p w:rsidR="00F4654E" w:rsidRDefault="00F4654E">
      <w:pPr>
        <w:pStyle w:val="a6"/>
      </w:pPr>
      <w:r>
        <w:t>Полученные результаты позволили предложить нам в условиях Мало-Дербетовского района, практикующего поздний окот, вакцинировать ягнят текущего года рождения за месяц до отбивки от маток. Введение в эти сроки вакцины против ценуроза позволяет предохранить животных от з</w:t>
      </w:r>
      <w:r>
        <w:t>а</w:t>
      </w:r>
      <w:r>
        <w:t>ражения в период после отбивки от маток.</w:t>
      </w:r>
    </w:p>
    <w:p w:rsidR="0001153D" w:rsidRDefault="0001153D">
      <w:pPr>
        <w:pStyle w:val="a6"/>
      </w:pPr>
    </w:p>
    <w:p w:rsidR="00F4654E" w:rsidRDefault="00F4654E">
      <w:pPr>
        <w:pStyle w:val="a4"/>
      </w:pPr>
      <w:r>
        <w:lastRenderedPageBreak/>
        <w:t>УДК 619:576.88/.89.546.15:578/.579.</w:t>
      </w:r>
    </w:p>
    <w:p w:rsidR="00F4654E" w:rsidRDefault="00F4654E">
      <w:pPr>
        <w:pStyle w:val="1"/>
      </w:pPr>
      <w:bookmarkStart w:id="2899" w:name="_Toc11137827"/>
      <w:bookmarkStart w:id="2900" w:name="_Toc11138245"/>
      <w:bookmarkStart w:id="2901" w:name="_Toc11138663"/>
      <w:bookmarkStart w:id="2902" w:name="_Toc11139081"/>
      <w:bookmarkStart w:id="2903" w:name="_Toc11139499"/>
      <w:bookmarkStart w:id="2904" w:name="_Toc11139917"/>
      <w:bookmarkStart w:id="2905" w:name="_Toc11140335"/>
      <w:bookmarkStart w:id="2906" w:name="_Toc11390445"/>
      <w:bookmarkStart w:id="2907" w:name="_Toc11840130"/>
      <w:bookmarkStart w:id="2908" w:name="_Toc11937668"/>
      <w:r>
        <w:t>ЭФФЕКТИВНОСТЬ НОВЫХ ЙОД-СОДЕРЖАЩИХ ПРЕПАРАТОВ ПРИ ЛЕЧЕНИИ ТЕЛЯЗИОЗА КРУПНОГО РОГАТОГО СКОТА</w:t>
      </w:r>
      <w:bookmarkEnd w:id="2899"/>
      <w:bookmarkEnd w:id="2900"/>
      <w:bookmarkEnd w:id="2901"/>
      <w:bookmarkEnd w:id="2902"/>
      <w:bookmarkEnd w:id="2903"/>
      <w:bookmarkEnd w:id="2904"/>
      <w:bookmarkEnd w:id="2905"/>
      <w:bookmarkEnd w:id="2906"/>
      <w:bookmarkEnd w:id="2907"/>
      <w:bookmarkEnd w:id="2908"/>
    </w:p>
    <w:p w:rsidR="00F4654E" w:rsidRDefault="00F4654E">
      <w:pPr>
        <w:pStyle w:val="2"/>
      </w:pPr>
      <w:bookmarkStart w:id="2909" w:name="_Toc11032276"/>
      <w:bookmarkStart w:id="2910" w:name="_Toc11137828"/>
      <w:bookmarkStart w:id="2911" w:name="_Toc11138246"/>
      <w:bookmarkStart w:id="2912" w:name="_Toc11138664"/>
      <w:bookmarkStart w:id="2913" w:name="_Toc11139082"/>
      <w:bookmarkStart w:id="2914" w:name="_Toc11139500"/>
      <w:bookmarkStart w:id="2915" w:name="_Toc11139918"/>
      <w:bookmarkStart w:id="2916" w:name="_Toc11140336"/>
      <w:bookmarkStart w:id="2917" w:name="_Toc11390446"/>
      <w:bookmarkStart w:id="2918" w:name="_Toc11937669"/>
      <w:r>
        <w:t>Манукало С.А.</w:t>
      </w:r>
      <w:bookmarkEnd w:id="2909"/>
      <w:bookmarkEnd w:id="2910"/>
      <w:bookmarkEnd w:id="2911"/>
      <w:bookmarkEnd w:id="2912"/>
      <w:bookmarkEnd w:id="2913"/>
      <w:bookmarkEnd w:id="2914"/>
      <w:bookmarkEnd w:id="2915"/>
      <w:bookmarkEnd w:id="2916"/>
      <w:bookmarkEnd w:id="2917"/>
      <w:bookmarkEnd w:id="2918"/>
    </w:p>
    <w:p w:rsidR="00F4654E" w:rsidRDefault="00F4654E">
      <w:pPr>
        <w:pStyle w:val="a5"/>
      </w:pPr>
      <w:r>
        <w:t>Краснодарский научно-исследовательский ветеринарный институт</w:t>
      </w:r>
    </w:p>
    <w:p w:rsidR="00F4654E" w:rsidRDefault="00F4654E">
      <w:pPr>
        <w:pStyle w:val="a6"/>
      </w:pPr>
      <w:r>
        <w:t>Телязиоз крупного рогатого скота – инвазионный кератоконъюнкт</w:t>
      </w:r>
      <w:r>
        <w:t>и</w:t>
      </w:r>
      <w:r>
        <w:t>вит, вызываемый поселением в конъюнктивальном мешке или слезных к</w:t>
      </w:r>
      <w:r>
        <w:t>а</w:t>
      </w:r>
      <w:r>
        <w:t>налах гельминтов рода телязия. Клинические признаки связаны с пораж</w:t>
      </w:r>
      <w:r>
        <w:t>е</w:t>
      </w:r>
      <w:r>
        <w:t>нием глаз: слезотечение, светобоязнь, покраснение конъюнктивы, при о</w:t>
      </w:r>
      <w:r>
        <w:t>с</w:t>
      </w:r>
      <w:r>
        <w:t>ложнении микрофлорой появляется серозно-слизистое или гнойное ист</w:t>
      </w:r>
      <w:r>
        <w:t>е</w:t>
      </w:r>
      <w:r>
        <w:t>чение из глаз, отек век, помутнение и даже изъязвление роговицы, зрение теряется. Поражаются оба глаза или один. Коровы снижают удой, а телята привесы. Животные заражаются летом на пастбищах при контакте с мух</w:t>
      </w:r>
      <w:r>
        <w:t>а</w:t>
      </w:r>
      <w:r>
        <w:t>ми различных видов.</w:t>
      </w:r>
    </w:p>
    <w:p w:rsidR="00F4654E" w:rsidRDefault="00F4654E">
      <w:pPr>
        <w:pStyle w:val="a6"/>
      </w:pPr>
      <w:r>
        <w:t>В своих экспериментах приводимых в СХП ВВС «Рассвет» Динского района Краснодарского края мы применяли четыре препарата: йодопирон 0,1%, йодвидон, водный раствор йода с йодистым калием, 3%-ный раствор борной кислоты. Диагноз ставили на основании клинических признаков. Для уточнения диагноза промывали конъюнктивальный мешок.</w:t>
      </w:r>
    </w:p>
    <w:p w:rsidR="00F4654E" w:rsidRDefault="00F4654E">
      <w:pPr>
        <w:pStyle w:val="a6"/>
      </w:pPr>
      <w:r>
        <w:t>Первой группе больных коров назначали йодопирон (0,1%-ный во</w:t>
      </w:r>
      <w:r>
        <w:t>д</w:t>
      </w:r>
      <w:r>
        <w:t>ный раствор). При помощи резиновой спринцовки с резиновым наконе</w:t>
      </w:r>
      <w:r>
        <w:t>ч</w:t>
      </w:r>
      <w:r>
        <w:t>ником. Три раза в день в дозе 50-80 мл на каждое промывание. Второй группе назначили йодовидон. Третьей группе водный раствор йода с кал</w:t>
      </w:r>
      <w:r>
        <w:t>и</w:t>
      </w:r>
      <w:r>
        <w:t>ем йодистым. Четвертой группе 3%-ный раствор борной кислоты. Все группы лечились по однотипной схеме.</w:t>
      </w:r>
    </w:p>
    <w:p w:rsidR="00F4654E" w:rsidRDefault="00F4654E">
      <w:pPr>
        <w:pStyle w:val="a6"/>
      </w:pPr>
      <w:r>
        <w:t>Наибольший процент быстрых выздоровлений мы наблюдали у коров первой и второй групп. В течении двух дней клиническая картина телязи</w:t>
      </w:r>
      <w:r>
        <w:t>о</w:t>
      </w:r>
      <w:r>
        <w:t>за исчезала, биохимические показатели крови возвращались в норму через 7 дней. У коров третей и четвертой групп клиническая картина исчезла у большинства животных на 4-5 день, у некоторых на 6-7-ой. Биохимическая картина крови пришла в норму на 10-ый день.</w:t>
      </w:r>
    </w:p>
    <w:p w:rsidR="00F4654E" w:rsidRDefault="00F4654E">
      <w:pPr>
        <w:pStyle w:val="a4"/>
      </w:pPr>
      <w:r>
        <w:t>УДК 619:636.982.2+615.7</w:t>
      </w:r>
    </w:p>
    <w:p w:rsidR="00F4654E" w:rsidRDefault="00F4654E">
      <w:pPr>
        <w:pStyle w:val="1"/>
      </w:pPr>
      <w:bookmarkStart w:id="2919" w:name="_Toc10731426"/>
      <w:bookmarkStart w:id="2920" w:name="_Toc11137859"/>
      <w:bookmarkStart w:id="2921" w:name="_Toc11138277"/>
      <w:bookmarkStart w:id="2922" w:name="_Toc11138695"/>
      <w:bookmarkStart w:id="2923" w:name="_Toc11139113"/>
      <w:bookmarkStart w:id="2924" w:name="_Toc11139531"/>
      <w:bookmarkStart w:id="2925" w:name="_Toc11139949"/>
      <w:bookmarkStart w:id="2926" w:name="_Toc11140367"/>
      <w:bookmarkStart w:id="2927" w:name="_Toc11390475"/>
      <w:bookmarkStart w:id="2928" w:name="_Toc11840160"/>
      <w:bookmarkStart w:id="2929" w:name="_Toc11937670"/>
      <w:r>
        <w:t>К ВОПРОСУ ТУБЕРКУЛЁЗА ЖИВОТНЫХ</w:t>
      </w:r>
      <w:bookmarkEnd w:id="2919"/>
      <w:bookmarkEnd w:id="2920"/>
      <w:bookmarkEnd w:id="2921"/>
      <w:bookmarkEnd w:id="2922"/>
      <w:bookmarkEnd w:id="2923"/>
      <w:bookmarkEnd w:id="2924"/>
      <w:bookmarkEnd w:id="2925"/>
      <w:bookmarkEnd w:id="2926"/>
      <w:bookmarkEnd w:id="2927"/>
      <w:bookmarkEnd w:id="2928"/>
      <w:bookmarkEnd w:id="2929"/>
    </w:p>
    <w:p w:rsidR="00F4654E" w:rsidRDefault="00F4654E">
      <w:pPr>
        <w:pStyle w:val="2"/>
      </w:pPr>
      <w:bookmarkStart w:id="2930" w:name="_Toc10731427"/>
      <w:bookmarkStart w:id="2931" w:name="_Toc11032292"/>
      <w:bookmarkStart w:id="2932" w:name="_Toc11137860"/>
      <w:bookmarkStart w:id="2933" w:name="_Toc11138278"/>
      <w:bookmarkStart w:id="2934" w:name="_Toc11138696"/>
      <w:bookmarkStart w:id="2935" w:name="_Toc11139114"/>
      <w:bookmarkStart w:id="2936" w:name="_Toc11139532"/>
      <w:bookmarkStart w:id="2937" w:name="_Toc11139950"/>
      <w:bookmarkStart w:id="2938" w:name="_Toc11140368"/>
      <w:bookmarkStart w:id="2939" w:name="_Toc11390476"/>
      <w:bookmarkStart w:id="2940" w:name="_Toc11937671"/>
      <w:r>
        <w:t>Мамадуллаев Г.Х.</w:t>
      </w:r>
      <w:bookmarkEnd w:id="2930"/>
      <w:bookmarkEnd w:id="2931"/>
      <w:bookmarkEnd w:id="2932"/>
      <w:bookmarkEnd w:id="2933"/>
      <w:bookmarkEnd w:id="2934"/>
      <w:bookmarkEnd w:id="2935"/>
      <w:bookmarkEnd w:id="2936"/>
      <w:bookmarkEnd w:id="2937"/>
      <w:bookmarkEnd w:id="2938"/>
      <w:bookmarkEnd w:id="2939"/>
      <w:bookmarkEnd w:id="2940"/>
    </w:p>
    <w:p w:rsidR="00F4654E" w:rsidRDefault="00F4654E">
      <w:pPr>
        <w:pStyle w:val="a5"/>
      </w:pPr>
      <w:r>
        <w:t>Узбекский научно-исследовательский институт ветеринарии</w:t>
      </w:r>
    </w:p>
    <w:p w:rsidR="00F4654E" w:rsidRDefault="00F4654E">
      <w:pPr>
        <w:pStyle w:val="a6"/>
      </w:pPr>
      <w:r>
        <w:t>Туберкулёз в настоящее время является важной глобальной пробл</w:t>
      </w:r>
      <w:r>
        <w:t>е</w:t>
      </w:r>
      <w:r>
        <w:t>мой. Сегодня мы должны, к сожалению, констатировать, что оптимистич</w:t>
      </w:r>
      <w:r>
        <w:t>е</w:t>
      </w:r>
      <w:r>
        <w:t>ские прогнозы, которые составлялись в 80-е годы, о ликвидации в 2000 г</w:t>
      </w:r>
      <w:r>
        <w:t>о</w:t>
      </w:r>
      <w:r>
        <w:t>ду т</w:t>
      </w:r>
      <w:r>
        <w:t>у</w:t>
      </w:r>
      <w:r>
        <w:t xml:space="preserve">беркулёза, как массового заболевания, не оправдались. Туберкулёз не </w:t>
      </w:r>
      <w:r>
        <w:lastRenderedPageBreak/>
        <w:t>только не побежден, но и стремительно распространяется во всем мире, как в разв</w:t>
      </w:r>
      <w:r>
        <w:t>и</w:t>
      </w:r>
      <w:r>
        <w:t>вающихся, так и в промышленно развитых странах. По мнению французск</w:t>
      </w:r>
      <w:r>
        <w:t>о</w:t>
      </w:r>
      <w:r>
        <w:t>го ученого Франка Реймонда, туберкулёз это новая чума XXI века.</w:t>
      </w:r>
    </w:p>
    <w:p w:rsidR="00F4654E" w:rsidRDefault="00F4654E">
      <w:pPr>
        <w:pStyle w:val="a6"/>
      </w:pPr>
      <w:r>
        <w:t>Каждую секунду в мире инфицируется один человек, одна треть чел</w:t>
      </w:r>
      <w:r>
        <w:t>о</w:t>
      </w:r>
      <w:r>
        <w:t>вечества (2 млрд.) уже инфицирована туберкулёзом. Ежегодно 8-10 млн. человек заболевают туберкулёзом, более 3 млн. умирает от этой болезни, в том числе свыше 300 тыс. детей. По прогнозу ВОЗ, в ближайшие годы в мире будет инфицировано туберкулёзом более 300 млн. человек, у 90 млн. из них будет развиваться болезнь и у 30 млн. человек заболевание зако</w:t>
      </w:r>
      <w:r>
        <w:t>н</w:t>
      </w:r>
      <w:r>
        <w:t>чится смертельным исходом.</w:t>
      </w:r>
    </w:p>
    <w:p w:rsidR="00F4654E" w:rsidRDefault="00F4654E">
      <w:pPr>
        <w:pStyle w:val="a6"/>
      </w:pPr>
      <w:r>
        <w:t>Особенное беспокойство во всем мире вызывает неуклонное увелич</w:t>
      </w:r>
      <w:r>
        <w:t>е</w:t>
      </w:r>
      <w:r>
        <w:t>ние числа больных туберкулёзом, носителей полирезистентных к осно</w:t>
      </w:r>
      <w:r>
        <w:t>в</w:t>
      </w:r>
      <w:r>
        <w:t>ным противотуберкулёзным препаратам, что как правило, связано с пров</w:t>
      </w:r>
      <w:r>
        <w:t>е</w:t>
      </w:r>
      <w:r>
        <w:t>дением неполноценной химиотерапии. Больные люди длительное время лечатся в туберкулёзных больницах и санаториях и годами находятся под наблюдением врача. Установлена зависимость, где больные туберкулёзом люди, там чаще встречаются больные данной инфекцией животные и н</w:t>
      </w:r>
      <w:r>
        <w:t>а</w:t>
      </w:r>
      <w:r>
        <w:t>оборот. Социально-экономический ущерб от этой болезни велик и не сл</w:t>
      </w:r>
      <w:r>
        <w:t>у</w:t>
      </w:r>
      <w:r>
        <w:t>чайно государство обращает серьезное внимание на это заболевание. Для животноводов туберкулёз может стать профессиональной болезнью.</w:t>
      </w:r>
    </w:p>
    <w:p w:rsidR="00F4654E" w:rsidRDefault="00F4654E">
      <w:pPr>
        <w:pStyle w:val="a6"/>
      </w:pPr>
      <w:r>
        <w:t>Эпизоотическая обстановка в Республике значительно улучшилась сравнительно с началом туберкулёзной эпопеи, которая имела место в 1991-1997 гг. В Республике проведена большая работа по ликвидации н</w:t>
      </w:r>
      <w:r>
        <w:t>е</w:t>
      </w:r>
      <w:r>
        <w:t>благополучных пунктов по туберкулёзу крупного рогатого скота.</w:t>
      </w:r>
    </w:p>
    <w:p w:rsidR="00F4654E" w:rsidRDefault="00F4654E">
      <w:pPr>
        <w:pStyle w:val="a6"/>
      </w:pPr>
      <w:r>
        <w:t>Вместе с тем, как показывает анализ данных ветеринарной отчетности и собственных исследований ряда областей, районов и хозяйств Республ</w:t>
      </w:r>
      <w:r>
        <w:t>и</w:t>
      </w:r>
      <w:r>
        <w:t>ки, эпизоотическая ситуация по туберкулёзу крупного рогатого скота пр</w:t>
      </w:r>
      <w:r>
        <w:t>о</w:t>
      </w:r>
      <w:r>
        <w:t>должает оставаться сложной. Всё ещё сохраняется мнимое благополучие по этой инфекции в таких областях как Каракалпакстане где имеется 2 н</w:t>
      </w:r>
      <w:r>
        <w:t>е</w:t>
      </w:r>
      <w:r>
        <w:t>благополучных пункта, в Самаркандской области –1. Успокаиваться на достигнутом ветслужбе не приходится, выделение больного скота продо</w:t>
      </w:r>
      <w:r>
        <w:t>л</w:t>
      </w:r>
      <w:r>
        <w:t>жается в ряде благополучных хозяйств областей Республики.</w:t>
      </w:r>
    </w:p>
    <w:p w:rsidR="00F4654E" w:rsidRDefault="00F4654E">
      <w:pPr>
        <w:pStyle w:val="a6"/>
      </w:pPr>
      <w:r>
        <w:t>По сводным данным ГУВ МСВХ Республика Узбекистан за первое полугодие 2001г. новых карантинированных неблагополучных пунктов по туберкулёзу крупного рогатого скота не зарегистрировано, хотя выделение больного скота в благополучных хозяйствах продолжается. Так за второе полугодие в Республике Каракалпакстан выявлено – 19 и в Самаркандской области – 9 голов положительно реагирующих животных.</w:t>
      </w:r>
    </w:p>
    <w:p w:rsidR="00F4654E" w:rsidRDefault="00F4654E">
      <w:pPr>
        <w:pStyle w:val="a6"/>
      </w:pPr>
      <w:r>
        <w:t>Как показывают данные ветстатистики и данные мясокомбинатов с</w:t>
      </w:r>
      <w:r>
        <w:t>и</w:t>
      </w:r>
      <w:r>
        <w:t xml:space="preserve">туация по туберкулёзу животных сохраняет вероятность распространения инфекции и есть все основания беспокоиться за судьбу животноводства, </w:t>
      </w:r>
      <w:r>
        <w:lastRenderedPageBreak/>
        <w:t>тогда как совместно проводились мероприятия по приватизации общес</w:t>
      </w:r>
      <w:r>
        <w:t>т</w:t>
      </w:r>
      <w:r>
        <w:t>венного скота, образования фермерских и арендных хозяйств.</w:t>
      </w:r>
    </w:p>
    <w:p w:rsidR="00F4654E" w:rsidRDefault="00F4654E">
      <w:pPr>
        <w:pStyle w:val="a6"/>
      </w:pPr>
      <w:r>
        <w:t>В хозяйствах с длительным течением туберкулёзной инфекции заб</w:t>
      </w:r>
      <w:r>
        <w:t>о</w:t>
      </w:r>
      <w:r>
        <w:t>левание возникает повторно, зачастую без заноса инфекции из вне. Прич</w:t>
      </w:r>
      <w:r>
        <w:t>и</w:t>
      </w:r>
      <w:r>
        <w:t>ной являются инфицированные возбудителем туберкулёза объекты вне</w:t>
      </w:r>
      <w:r>
        <w:t>ш</w:t>
      </w:r>
      <w:r>
        <w:t>ней среды, животноводческие помещения, прилегающие к ним террит</w:t>
      </w:r>
      <w:r>
        <w:t>о</w:t>
      </w:r>
      <w:r>
        <w:t>рии, летние лагеря, инвентарь, не подвергнутый тщательной санации, а также водоемы где выпаиваются животные.</w:t>
      </w:r>
    </w:p>
    <w:p w:rsidR="00F4654E" w:rsidRDefault="00F4654E">
      <w:pPr>
        <w:pStyle w:val="a6"/>
      </w:pPr>
      <w:r>
        <w:t>В неблагополучных хозяйствах, где не уделяется должное внимание биотермической обработке навоза и используется необезвреженный навоз в качестве органического удобрения, создаётся своего рода круговорот инфекции в природе. Такая экологически опасная обстановка по туберк</w:t>
      </w:r>
      <w:r>
        <w:t>у</w:t>
      </w:r>
      <w:r>
        <w:t>лёзу животных может сохранится длительное время. Туберкулёзная и</w:t>
      </w:r>
      <w:r>
        <w:t>н</w:t>
      </w:r>
      <w:r>
        <w:t>фекция может быть занесена в благополучные хозяйства при контакте с больными животными и с инфицированными пастбищами и водоёмами, а также с кормом.</w:t>
      </w:r>
    </w:p>
    <w:p w:rsidR="00F4654E" w:rsidRDefault="00F4654E">
      <w:pPr>
        <w:pStyle w:val="a6"/>
      </w:pPr>
      <w:r>
        <w:t>За последние годы, несмотря на значительное высвобождение пол</w:t>
      </w:r>
      <w:r>
        <w:t>е</w:t>
      </w:r>
      <w:r>
        <w:t>вых земель из под хлопка, заготовка грубых и концентрированных кормов для фермерских хозяйств областей (в большинстве хозяйств) идёт крайне недостаточно. Рацион для животных зачастую не соответствует физиол</w:t>
      </w:r>
      <w:r>
        <w:t>о</w:t>
      </w:r>
      <w:r>
        <w:t>гической потребности организма животных. Всё это создаёт условия для возникновения и распространения туберкулёзной инфекции.</w:t>
      </w:r>
    </w:p>
    <w:p w:rsidR="00F4654E" w:rsidRDefault="00F4654E">
      <w:pPr>
        <w:pStyle w:val="a6"/>
      </w:pPr>
      <w:r>
        <w:t>Современная транспортная система значительно расширила геогр</w:t>
      </w:r>
      <w:r>
        <w:t>а</w:t>
      </w:r>
      <w:r>
        <w:t>фическую зону распространения туберкулёза и это заболевание может во</w:t>
      </w:r>
      <w:r>
        <w:t>з</w:t>
      </w:r>
      <w:r>
        <w:t>никнуть в любом хозяйстве благополучной зоны. Всем хорошо известно, что в настоящее время наряду с развитием общественного скотоводства, значительно расширились арендное и фермерское хозяйствования и ли</w:t>
      </w:r>
      <w:r>
        <w:t>ч</w:t>
      </w:r>
      <w:r>
        <w:t>ное подсобное хозяйство. Однако, появление этих хозяйств может беско</w:t>
      </w:r>
      <w:r>
        <w:t>н</w:t>
      </w:r>
      <w:r>
        <w:t>трольно расширить и туберкулёзную инфекцию, следовательно для их о</w:t>
      </w:r>
      <w:r>
        <w:t>б</w:t>
      </w:r>
      <w:r>
        <w:t>служивания нужна и соответствующая ветслужба.</w:t>
      </w:r>
    </w:p>
    <w:p w:rsidR="00F4654E" w:rsidRDefault="00F4654E">
      <w:pPr>
        <w:pStyle w:val="a6"/>
      </w:pPr>
      <w:r>
        <w:t>Для улучшения эпизоотической ситуации по туберкулёзу животных необходимо изменить систему ветеринарного обслуживания ферм х</w:t>
      </w:r>
      <w:r>
        <w:t>о</w:t>
      </w:r>
      <w:r>
        <w:t>зяйств путём усиления контроля и соответствующих мер воздействия к в</w:t>
      </w:r>
      <w:r>
        <w:t>и</w:t>
      </w:r>
      <w:r>
        <w:t>новным лицам распространяющих заболевание, вернуть ветеринарных специалистов к их прямым обязанностям с достойной оплатой и сделать специальность вет. специалиста престижной, как это делается в цивилиз</w:t>
      </w:r>
      <w:r>
        <w:t>о</w:t>
      </w:r>
      <w:r>
        <w:t>ванных странах.</w:t>
      </w:r>
    </w:p>
    <w:p w:rsidR="00F4654E" w:rsidRDefault="00F4654E">
      <w:pPr>
        <w:pStyle w:val="a6"/>
      </w:pPr>
      <w:r>
        <w:t>В настоящее время ученными УзНИВИ разработаны средства хими</w:t>
      </w:r>
      <w:r>
        <w:t>о</w:t>
      </w:r>
      <w:r>
        <w:t>профилактики туберкулёза животных, которая пока не имеет аналог в практике борьбы с туберкулёзом животных.</w:t>
      </w:r>
    </w:p>
    <w:p w:rsidR="00F4654E" w:rsidRDefault="00F4654E">
      <w:pPr>
        <w:pStyle w:val="a6"/>
      </w:pPr>
      <w:r>
        <w:t>Предварительные данные дают основание сделать широкую перспе</w:t>
      </w:r>
      <w:r>
        <w:t>к</w:t>
      </w:r>
      <w:r>
        <w:t>тиву этих разработок. Разработанный метод химиопрофилактики туберк</w:t>
      </w:r>
      <w:r>
        <w:t>у</w:t>
      </w:r>
      <w:r>
        <w:t xml:space="preserve">лёза крупного рогатого скота с применением суспензии ППТЖ – ЭТИС-1 </w:t>
      </w:r>
      <w:r>
        <w:lastRenderedPageBreak/>
        <w:t>на практике дали хорошие результаты. Срок оздоровления неблагополу</w:t>
      </w:r>
      <w:r>
        <w:t>ч</w:t>
      </w:r>
      <w:r>
        <w:t>ных хозяйств этим методом не превышает 9 месяцев.</w:t>
      </w:r>
    </w:p>
    <w:p w:rsidR="00F4654E" w:rsidRDefault="00F4654E">
      <w:pPr>
        <w:pStyle w:val="a6"/>
      </w:pPr>
      <w:r>
        <w:t>Разработанным методом химиопрофилактики туберкулёза крупного рогатого скота с препаратом ППТЖ – ЭТИС-1 можно оздоровить неблаг</w:t>
      </w:r>
      <w:r>
        <w:t>о</w:t>
      </w:r>
      <w:r>
        <w:t>получные по туберкулёзу хозяйства с большим процентом инфицирова</w:t>
      </w:r>
      <w:r>
        <w:t>н</w:t>
      </w:r>
      <w:r>
        <w:t>ности. Кроме того, компоненты входящие в состав препарата дают лече</w:t>
      </w:r>
      <w:r>
        <w:t>б</w:t>
      </w:r>
      <w:r>
        <w:t>но-профилактический эффект при некоторых острых и хронических бакт</w:t>
      </w:r>
      <w:r>
        <w:t>е</w:t>
      </w:r>
      <w:r>
        <w:t>риальных (бруцеллёз, лептоспироз, желудочно-кишечные инфекции) в о</w:t>
      </w:r>
      <w:r>
        <w:t>т</w:t>
      </w:r>
      <w:r>
        <w:t>дельных протозойных и гинекологических (метриты, эндометриты) заб</w:t>
      </w:r>
      <w:r>
        <w:t>о</w:t>
      </w:r>
      <w:r>
        <w:t>леваниях.</w:t>
      </w:r>
    </w:p>
    <w:p w:rsidR="00F4654E" w:rsidRDefault="00F4654E">
      <w:pPr>
        <w:pStyle w:val="a4"/>
      </w:pPr>
      <w:r>
        <w:t>УДК 619:616.98:579.887.111М:636.52/.58</w:t>
      </w:r>
    </w:p>
    <w:p w:rsidR="00F4654E" w:rsidRDefault="00F4654E">
      <w:pPr>
        <w:pStyle w:val="1"/>
      </w:pPr>
      <w:bookmarkStart w:id="2941" w:name="_Toc10731428"/>
      <w:bookmarkStart w:id="2942" w:name="_Toc11137861"/>
      <w:bookmarkStart w:id="2943" w:name="_Toc11138279"/>
      <w:bookmarkStart w:id="2944" w:name="_Toc11138697"/>
      <w:bookmarkStart w:id="2945" w:name="_Toc11139115"/>
      <w:bookmarkStart w:id="2946" w:name="_Toc11139533"/>
      <w:bookmarkStart w:id="2947" w:name="_Toc11139951"/>
      <w:bookmarkStart w:id="2948" w:name="_Toc11140369"/>
      <w:bookmarkStart w:id="2949" w:name="_Toc11390477"/>
      <w:bookmarkStart w:id="2950" w:name="_Toc11840162"/>
      <w:bookmarkStart w:id="2951" w:name="_Toc11937672"/>
      <w:r>
        <w:t>РЕСПИРАТОРНЫЙ МИКОПЛАЗМОЗ КУР</w:t>
      </w:r>
      <w:bookmarkEnd w:id="2941"/>
      <w:bookmarkEnd w:id="2942"/>
      <w:bookmarkEnd w:id="2943"/>
      <w:bookmarkEnd w:id="2944"/>
      <w:bookmarkEnd w:id="2945"/>
      <w:bookmarkEnd w:id="2946"/>
      <w:bookmarkEnd w:id="2947"/>
      <w:bookmarkEnd w:id="2948"/>
      <w:bookmarkEnd w:id="2949"/>
      <w:bookmarkEnd w:id="2950"/>
      <w:bookmarkEnd w:id="2951"/>
    </w:p>
    <w:p w:rsidR="00F4654E" w:rsidRDefault="00F4654E">
      <w:pPr>
        <w:pStyle w:val="2"/>
      </w:pPr>
      <w:bookmarkStart w:id="2952" w:name="_Toc10731429"/>
      <w:bookmarkStart w:id="2953" w:name="_Toc11032293"/>
      <w:bookmarkStart w:id="2954" w:name="_Toc11137862"/>
      <w:bookmarkStart w:id="2955" w:name="_Toc11138280"/>
      <w:bookmarkStart w:id="2956" w:name="_Toc11138698"/>
      <w:bookmarkStart w:id="2957" w:name="_Toc11139116"/>
      <w:bookmarkStart w:id="2958" w:name="_Toc11139534"/>
      <w:bookmarkStart w:id="2959" w:name="_Toc11139952"/>
      <w:bookmarkStart w:id="2960" w:name="_Toc11140370"/>
      <w:bookmarkStart w:id="2961" w:name="_Toc11390478"/>
      <w:bookmarkStart w:id="2962" w:name="_Toc11937673"/>
      <w:r>
        <w:t>Мандрусова Т. А., Молев А. И., Великанов В. И., Махова В. И.</w:t>
      </w:r>
      <w:bookmarkEnd w:id="2952"/>
      <w:bookmarkEnd w:id="2953"/>
      <w:bookmarkEnd w:id="2954"/>
      <w:bookmarkEnd w:id="2955"/>
      <w:bookmarkEnd w:id="2956"/>
      <w:bookmarkEnd w:id="2957"/>
      <w:bookmarkEnd w:id="2958"/>
      <w:bookmarkEnd w:id="2959"/>
      <w:bookmarkEnd w:id="2960"/>
      <w:bookmarkEnd w:id="2961"/>
      <w:bookmarkEnd w:id="2962"/>
    </w:p>
    <w:p w:rsidR="00F4654E" w:rsidRDefault="00F4654E">
      <w:pPr>
        <w:pStyle w:val="a5"/>
      </w:pPr>
      <w:r>
        <w:t>Нижегородская государственная сельскохозяйственная академия</w:t>
      </w:r>
    </w:p>
    <w:p w:rsidR="00F4654E" w:rsidRDefault="00F4654E">
      <w:pPr>
        <w:pStyle w:val="a6"/>
      </w:pPr>
      <w:r>
        <w:t>Респираторный микоплазмоз кур наиболее опасное и часто встреча</w:t>
      </w:r>
      <w:r>
        <w:t>ю</w:t>
      </w:r>
      <w:r>
        <w:t>щееся заболевание при интенсивной поточной системе содержания птицы в крупных птицеводческих хозяйствах. Проявление, распространение и т</w:t>
      </w:r>
      <w:r>
        <w:t>е</w:t>
      </w:r>
      <w:r>
        <w:t>чение респираторного микоплазмоза кур в значительной степени зависит от условий содержания, кормления, стресс-факторов, наличия в хозяйствах других заболеваний и вакцинаций поголовья живыми вакцинами, приг</w:t>
      </w:r>
      <w:r>
        <w:t>о</w:t>
      </w:r>
      <w:r>
        <w:t>товленными на куриных эмбрионах. Возбудитель микоплазмоза кур резко снижает защитные силы организма, способствуя возникновению втори</w:t>
      </w:r>
      <w:r>
        <w:t>ч</w:t>
      </w:r>
      <w:r>
        <w:t>ной бактериальной (колисептицемии) инфекции или обострению болезней бактериальной вирусной этиологии при бессимптомном течении (паст</w:t>
      </w:r>
      <w:r>
        <w:t>е</w:t>
      </w:r>
      <w:r>
        <w:t>реллез, инфекционный ларинготрахеит, инфекционный бронхит и др.). З</w:t>
      </w:r>
      <w:r>
        <w:t>а</w:t>
      </w:r>
      <w:r>
        <w:t>болевание характеризуется поражением органов дыхания, хроническим т</w:t>
      </w:r>
      <w:r>
        <w:t>е</w:t>
      </w:r>
      <w:r>
        <w:t>чением с пожизненным носительством возбудителя, длительным неблаг</w:t>
      </w:r>
      <w:r>
        <w:t>о</w:t>
      </w:r>
      <w:r>
        <w:t>получием и острыми вспышками указанных заболеваний при поступлении новых партий птиц в такое хозяйство (Серебряков А. С., Грошева Г. А., Шубин В. А., 1970; Ибрагимов А. А., 1983).</w:t>
      </w:r>
    </w:p>
    <w:p w:rsidR="00F4654E" w:rsidRDefault="00F4654E">
      <w:pPr>
        <w:pStyle w:val="a6"/>
      </w:pPr>
      <w:r>
        <w:t>Основным источником микоплазмоза являются больные птицы, а о</w:t>
      </w:r>
      <w:r>
        <w:t>с</w:t>
      </w:r>
      <w:r>
        <w:t>новной путь распространения инфекции – трансовариальный. По данным Б. Ф. Бессарабова, И. И. Мельниковой (1998) в начале яйцекладки от кур неблагополучных к микоплазмозу, при кажущемся клиническом благоп</w:t>
      </w:r>
      <w:r>
        <w:t>о</w:t>
      </w:r>
      <w:r>
        <w:t>лучии, передача возбудителя через яйцо может достигать от 0,1 до 10% и удерживаться в течение 1,5-2 месяцев. Аэрогенный и контактный пути п</w:t>
      </w:r>
      <w:r>
        <w:t>е</w:t>
      </w:r>
      <w:r>
        <w:t>редачи возбудителя имеют ограниченное значение с медленным распр</w:t>
      </w:r>
      <w:r>
        <w:t>о</w:t>
      </w:r>
      <w:r>
        <w:t>странением инфекции и наибольшей заболеваемостью в 3-7 месячном во</w:t>
      </w:r>
      <w:r>
        <w:t>з</w:t>
      </w:r>
      <w:r>
        <w:t>расте. Клинико–эпизоотологическая диагностика затруднена, в связи с о</w:t>
      </w:r>
      <w:r>
        <w:t>д</w:t>
      </w:r>
      <w:r>
        <w:t>нотипностью проявления болезни у кур при многих респираторных заб</w:t>
      </w:r>
      <w:r>
        <w:t>о</w:t>
      </w:r>
      <w:r>
        <w:lastRenderedPageBreak/>
        <w:t>леваниях инфекционного и неинфекционного происхождения и требует лабораторных подтверждений.</w:t>
      </w:r>
    </w:p>
    <w:p w:rsidR="00F4654E" w:rsidRDefault="00F4654E">
      <w:pPr>
        <w:pStyle w:val="a6"/>
      </w:pPr>
      <w:r>
        <w:t>Целью нашей работы явилась серологическая, патоморфологическая диагностика и определение степени инфицирования стада респираторным микоплазмозом кур, протекающего в условиях яичного промышленного птицеводства с реализацией продукции для населения.</w:t>
      </w:r>
    </w:p>
    <w:p w:rsidR="00F4654E" w:rsidRDefault="00F4654E">
      <w:pPr>
        <w:pStyle w:val="a6"/>
      </w:pPr>
      <w:r>
        <w:t>С этой целью на одной из птицефабрик серологическому исследов</w:t>
      </w:r>
      <w:r>
        <w:t>а</w:t>
      </w:r>
      <w:r>
        <w:t>нию подвергалась птица всех возрастов и цехов в количестве 1 % птицеп</w:t>
      </w:r>
      <w:r>
        <w:t>о</w:t>
      </w:r>
      <w:r>
        <w:t>головья, с диагностическим убоем 30 кур, сыворотки которых имели п</w:t>
      </w:r>
      <w:r>
        <w:t>о</w:t>
      </w:r>
      <w:r>
        <w:t>ложительные серологические реакции с микоплазмозным антигеном, а отобранный из органов и тканей от них патматериал подвергался гистол</w:t>
      </w:r>
      <w:r>
        <w:t>о</w:t>
      </w:r>
      <w:r>
        <w:t>гическому исследованию. Кроме этого патологоанатомическому вскрытию повергнуто 2204 трупа птицы с гистологическим обследование патмат</w:t>
      </w:r>
      <w:r>
        <w:t>е</w:t>
      </w:r>
      <w:r>
        <w:t>риала от 25 кур с разной патологоанатомической картиной. Для постано</w:t>
      </w:r>
      <w:r>
        <w:t>в</w:t>
      </w:r>
      <w:r>
        <w:t>ки сывороточно-капельной реакции агглютинации (СКРА) использовался микоплазмозный антиген, изготовленный в лаборатории биопрепаратов института защиты животных.</w:t>
      </w:r>
    </w:p>
    <w:p w:rsidR="00F4654E" w:rsidRDefault="00F4654E">
      <w:pPr>
        <w:pStyle w:val="a6"/>
      </w:pPr>
      <w:r>
        <w:t>Результаты серологических исследований проб сывороток крови кур показывают, что у цыплят в возрасте от 1 до 120 дней в сыворотках крови не обнаруживаются специфические антитела.</w:t>
      </w:r>
    </w:p>
    <w:p w:rsidR="00F4654E" w:rsidRDefault="00F4654E">
      <w:pPr>
        <w:pStyle w:val="a6"/>
      </w:pPr>
      <w:r>
        <w:t>В связи с временным нарушением технологического процесса на пт</w:t>
      </w:r>
      <w:r>
        <w:t>и</w:t>
      </w:r>
      <w:r>
        <w:t>цефабрике по инкубированию яйца, птицы в возрасте с 5 по 7 месяц не оказалось, поэтому в этом возрастном аспекте результаты исследований не представлены.</w:t>
      </w:r>
    </w:p>
    <w:p w:rsidR="00F4654E" w:rsidRDefault="00F4654E">
      <w:pPr>
        <w:pStyle w:val="a6"/>
      </w:pPr>
      <w:r>
        <w:t>Исследуемая птица к 8 месяцам имеет 100 %-ую положительную р</w:t>
      </w:r>
      <w:r>
        <w:t>е</w:t>
      </w:r>
      <w:r>
        <w:t>акцию на микоплазмоз.</w:t>
      </w:r>
    </w:p>
    <w:p w:rsidR="00F4654E" w:rsidRDefault="00F4654E">
      <w:pPr>
        <w:pStyle w:val="a6"/>
      </w:pPr>
      <w:r>
        <w:t>У кур в возрасте с 9 до 11 месяцев положительные серологические р</w:t>
      </w:r>
      <w:r>
        <w:t>е</w:t>
      </w:r>
      <w:r>
        <w:t>акции колеблются в разных цехах от 60 до 98 %. Возможно это связано с дачей лекарственного препарата (энроксил) или обусловлены другими факторами. У кур в возрасте с 11 до 15 месяцев исследуемые сыворотки крови кур имели положительные серологические реакции в 100 % случаев.</w:t>
      </w:r>
    </w:p>
    <w:p w:rsidR="00F4654E" w:rsidRDefault="00F4654E">
      <w:pPr>
        <w:pStyle w:val="a6"/>
      </w:pPr>
      <w:r>
        <w:t>При макроскопическом осмотре органов и тканей от убитой птицы разных возрастных групп с диагностической целью (при отсутствии кл</w:t>
      </w:r>
      <w:r>
        <w:t>и</w:t>
      </w:r>
      <w:r>
        <w:t>нических проявлений болезни, но серопозитивных на микоплазмоз) в трех случаях обнаружили изменения в виде уплотненных красноватых очагов с синюшным оттенком размерами 1 на 1,5 см в центре правого или левого легкого. На разрезе ткань измененного очага не имеет четкого рисунка, а представлена однородной плотноватой массой сероватого цвета с желтов</w:t>
      </w:r>
      <w:r>
        <w:t>а</w:t>
      </w:r>
      <w:r>
        <w:t>тым оттенком.</w:t>
      </w:r>
    </w:p>
    <w:p w:rsidR="00F4654E" w:rsidRDefault="00F4654E">
      <w:pPr>
        <w:pStyle w:val="a6"/>
      </w:pPr>
      <w:r>
        <w:t xml:space="preserve">При гистологическом исследовании в мелких, средних и крупных бронхах слизистая оболочка представлена ворсинообразными  выступами с резко выраженной клеточной инфильтрацией лимфоидными клетками в виде диффузных, реже очаговых пролифератов с атрофией железистых </w:t>
      </w:r>
      <w:r>
        <w:lastRenderedPageBreak/>
        <w:t>структур. В подслизистом слое бронхов и вокруг хрящевых дисков выя</w:t>
      </w:r>
      <w:r>
        <w:t>в</w:t>
      </w:r>
      <w:r>
        <w:t>ляются диффузные лимфоидные инфильтраты и умеренно наполненные кровеносные сосуды.</w:t>
      </w:r>
    </w:p>
    <w:p w:rsidR="00F4654E" w:rsidRDefault="00F4654E">
      <w:pPr>
        <w:pStyle w:val="a6"/>
      </w:pPr>
      <w:r>
        <w:t>В полостях парабронхов содержится серозно-фибринозный экссудат с наличием слущенного покровного эпителия и псевдоэозинофилов, а вокруг них легочная ткань уплотнена и инфильтрирована псевдоэозинофилами и лимфоидными клетками.</w:t>
      </w:r>
    </w:p>
    <w:p w:rsidR="00F4654E" w:rsidRDefault="00F4654E">
      <w:pPr>
        <w:pStyle w:val="a6"/>
      </w:pPr>
      <w:r>
        <w:t>В печени, почках, сердечной мышце выявлены дистрофические изм</w:t>
      </w:r>
      <w:r>
        <w:t>е</w:t>
      </w:r>
      <w:r>
        <w:t>нения зернистой, жировой и гиалиново-капильной дистрофии.</w:t>
      </w:r>
    </w:p>
    <w:p w:rsidR="00F4654E" w:rsidRDefault="00F4654E">
      <w:pPr>
        <w:pStyle w:val="a6"/>
      </w:pPr>
      <w:r>
        <w:t>Патоморфологическими исследованиями у павшей птицы разных во</w:t>
      </w:r>
      <w:r>
        <w:t>з</w:t>
      </w:r>
      <w:r>
        <w:t>растных групп выявили серозно-фибринозные перикардиты, перигепатиты от 0,1 до 3,5 %, желточные перитониты от 1,5 до 5,5, фибринозные сал</w:t>
      </w:r>
      <w:r>
        <w:t>ь</w:t>
      </w:r>
      <w:r>
        <w:t>пингиты от 0,04 до 1,5, энтероколиты от 0,1 до 6,8 % случаев преимущес</w:t>
      </w:r>
      <w:r>
        <w:t>т</w:t>
      </w:r>
      <w:r>
        <w:t>венно у птиц старше 11 месяцев.</w:t>
      </w:r>
    </w:p>
    <w:p w:rsidR="00F4654E" w:rsidRDefault="00F4654E">
      <w:pPr>
        <w:pStyle w:val="a6"/>
      </w:pPr>
      <w:r>
        <w:t>Результаты серологических и патоморфологических исследований п</w:t>
      </w:r>
      <w:r>
        <w:t>о</w:t>
      </w:r>
      <w:r>
        <w:t>казывают, что на птицефабрике яичного направления регистрируются ре</w:t>
      </w:r>
      <w:r>
        <w:t>с</w:t>
      </w:r>
      <w:r>
        <w:t>пираторный микоплазмоз птиц, который 100 % степени инфицирования стада достигает к 8-ми месячному возрасту и в дальнейшем удерживается на протяжении всего периода содержания птицы. Основной путь передачи возбудителя в хозяйстве является контактный и аэрогенный. Резко возра</w:t>
      </w:r>
      <w:r>
        <w:t>с</w:t>
      </w:r>
      <w:r>
        <w:t>тает падеж птицы с 11 месячного возраста с патологией в органах и тканях серозно-фибринозного характера, осложненного E. coli, что подтверждае</w:t>
      </w:r>
      <w:r>
        <w:t>т</w:t>
      </w:r>
      <w:r>
        <w:t>ся лабораторными бактериологическими исследованиями.</w:t>
      </w:r>
    </w:p>
    <w:p w:rsidR="00F4654E" w:rsidRDefault="00F4654E">
      <w:pPr>
        <w:pStyle w:val="a6"/>
      </w:pPr>
      <w:r>
        <w:t>Антиген для диагностики респираторного микоплазмоза птиц прие</w:t>
      </w:r>
      <w:r>
        <w:t>м</w:t>
      </w:r>
      <w:r>
        <w:t>лем в производственных условиях как для диагностики, так и для  контр</w:t>
      </w:r>
      <w:r>
        <w:t>о</w:t>
      </w:r>
      <w:r>
        <w:t>ля оздоровительных мероприятий.</w:t>
      </w:r>
    </w:p>
    <w:p w:rsidR="00F4654E" w:rsidRDefault="00F4654E">
      <w:pPr>
        <w:pStyle w:val="a4"/>
      </w:pPr>
      <w:r>
        <w:t xml:space="preserve">УДК 611.36 – 002:541.123.8/9:616.233 – 002 </w:t>
      </w:r>
    </w:p>
    <w:p w:rsidR="00F4654E" w:rsidRDefault="00F4654E">
      <w:pPr>
        <w:pStyle w:val="1"/>
      </w:pPr>
      <w:bookmarkStart w:id="2963" w:name="_Toc10731442"/>
      <w:bookmarkStart w:id="2964" w:name="_Toc11137863"/>
      <w:bookmarkStart w:id="2965" w:name="_Toc11138281"/>
      <w:bookmarkStart w:id="2966" w:name="_Toc11138699"/>
      <w:bookmarkStart w:id="2967" w:name="_Toc11139117"/>
      <w:bookmarkStart w:id="2968" w:name="_Toc11139535"/>
      <w:bookmarkStart w:id="2969" w:name="_Toc11139953"/>
      <w:bookmarkStart w:id="2970" w:name="_Toc11140371"/>
      <w:bookmarkStart w:id="2971" w:name="_Toc11390479"/>
      <w:bookmarkStart w:id="2972" w:name="_Toc11840164"/>
      <w:bookmarkStart w:id="2973" w:name="_Toc11937674"/>
      <w:r>
        <w:t>ТЕРРИТОРИАЛЬНЫЕ РАЗЛИЧИЯ МЕЗЕНХИМАЛЬНОЙ РЕАКЦИИ ПОРТАЛЬНЫХ ТРАКТОВ ПЕЧЕНИ ЧЕЛОВЕКА ПРИ ХРОНИЧЕСКОМ БРОНХИТЕ</w:t>
      </w:r>
      <w:bookmarkEnd w:id="2963"/>
      <w:bookmarkEnd w:id="2964"/>
      <w:bookmarkEnd w:id="2965"/>
      <w:bookmarkEnd w:id="2966"/>
      <w:bookmarkEnd w:id="2967"/>
      <w:bookmarkEnd w:id="2968"/>
      <w:bookmarkEnd w:id="2969"/>
      <w:bookmarkEnd w:id="2970"/>
      <w:bookmarkEnd w:id="2971"/>
      <w:bookmarkEnd w:id="2972"/>
      <w:bookmarkEnd w:id="2973"/>
    </w:p>
    <w:p w:rsidR="00F4654E" w:rsidRDefault="00F4654E">
      <w:pPr>
        <w:pStyle w:val="2"/>
      </w:pPr>
      <w:bookmarkStart w:id="2974" w:name="_Toc10731443"/>
      <w:bookmarkStart w:id="2975" w:name="_Toc11032294"/>
      <w:bookmarkStart w:id="2976" w:name="_Toc11137864"/>
      <w:bookmarkStart w:id="2977" w:name="_Toc11138282"/>
      <w:bookmarkStart w:id="2978" w:name="_Toc11138700"/>
      <w:bookmarkStart w:id="2979" w:name="_Toc11139118"/>
      <w:bookmarkStart w:id="2980" w:name="_Toc11139536"/>
      <w:bookmarkStart w:id="2981" w:name="_Toc11139954"/>
      <w:bookmarkStart w:id="2982" w:name="_Toc11140372"/>
      <w:bookmarkStart w:id="2983" w:name="_Toc11390480"/>
      <w:bookmarkStart w:id="2984" w:name="_Toc11937675"/>
      <w:r>
        <w:t>Маркин П.Г., Де-Жорж И.Г., Маслова Т.Н., Шмакова Н.М.,</w:t>
      </w:r>
      <w:r>
        <w:br/>
        <w:t>Стогов В.А.*, Толкачев И.С.</w:t>
      </w:r>
      <w:bookmarkEnd w:id="2974"/>
      <w:bookmarkEnd w:id="2975"/>
      <w:bookmarkEnd w:id="2976"/>
      <w:bookmarkEnd w:id="2977"/>
      <w:bookmarkEnd w:id="2978"/>
      <w:bookmarkEnd w:id="2979"/>
      <w:bookmarkEnd w:id="2980"/>
      <w:bookmarkEnd w:id="2981"/>
      <w:bookmarkEnd w:id="2982"/>
      <w:bookmarkEnd w:id="2983"/>
      <w:r>
        <w:t>**</w:t>
      </w:r>
      <w:bookmarkEnd w:id="2984"/>
    </w:p>
    <w:p w:rsidR="00F4654E" w:rsidRDefault="00F4654E">
      <w:pPr>
        <w:pStyle w:val="a5"/>
      </w:pPr>
      <w:r>
        <w:t>Воронежская государственная медицинская академия им. Н.Н. Бурденко</w:t>
      </w:r>
      <w:r>
        <w:br/>
        <w:t>*Воронежская областная клиническая больница</w:t>
      </w:r>
      <w:r>
        <w:br/>
        <w:t xml:space="preserve">**Всероссийский НИВИ патологии, фармакологии и терапии </w:t>
      </w:r>
    </w:p>
    <w:p w:rsidR="00F4654E" w:rsidRDefault="00F4654E">
      <w:pPr>
        <w:pStyle w:val="a6"/>
      </w:pPr>
      <w:r>
        <w:t xml:space="preserve">В морфофункциональном исследовании состояния печени важное значение отводится выявлению и оценке портального воспаления. При крайне малом относительном объеме исследуемых образцов из большой массы печени, важно иметь информацию о возможной территориальной гетерогенности проявлений мезенхимальной реакции портальных трактов в сложной системе долевого и сегментарного устройства органа. </w:t>
      </w:r>
    </w:p>
    <w:p w:rsidR="00F4654E" w:rsidRDefault="00F4654E">
      <w:pPr>
        <w:pStyle w:val="a6"/>
      </w:pPr>
      <w:r>
        <w:lastRenderedPageBreak/>
        <w:t>Целью работы является изучение выраженности мезенхимальной р</w:t>
      </w:r>
      <w:r>
        <w:t>е</w:t>
      </w:r>
      <w:r>
        <w:t>акции портальных трактов в различных отделах печени.</w:t>
      </w:r>
    </w:p>
    <w:p w:rsidR="00F4654E" w:rsidRDefault="00F4654E">
      <w:pPr>
        <w:pStyle w:val="a6"/>
      </w:pPr>
      <w:r>
        <w:t>Материалом исследования служила печень 125 мужчин: 1 серия, практически здоровых лиц, погибших в результате механических повре</w:t>
      </w:r>
      <w:r>
        <w:t>ж</w:t>
      </w:r>
      <w:r>
        <w:t>дений (в возрасте от 15 до 87 лет - 79 случаев), 2 серия – умерших от хр</w:t>
      </w:r>
      <w:r>
        <w:t>о</w:t>
      </w:r>
      <w:r>
        <w:t>нического бронхита с типичными осложнениями (от 25 до 83 лет - 46 сл</w:t>
      </w:r>
      <w:r>
        <w:t>у</w:t>
      </w:r>
      <w:r>
        <w:t>чаев). В каждом случае исследовали по четыре образца ткани печени: из диафрагмальной поверхности и центра органа, из нижнего края правой д</w:t>
      </w:r>
      <w:r>
        <w:t>о</w:t>
      </w:r>
      <w:r>
        <w:t xml:space="preserve">ли, из диафрагмальной поверхности левой доли, соответственно YIII, Y, III сегмент, по классификации C. Couinaud (1954,1957). </w:t>
      </w:r>
    </w:p>
    <w:p w:rsidR="00F4654E" w:rsidRPr="0001153D" w:rsidRDefault="00F4654E">
      <w:pPr>
        <w:pStyle w:val="a6"/>
        <w:rPr>
          <w:spacing w:val="-2"/>
        </w:rPr>
      </w:pPr>
      <w:r w:rsidRPr="0001153D">
        <w:rPr>
          <w:spacing w:val="-2"/>
        </w:rPr>
        <w:t>Для характеристики «мезенхимальной реакции» использовали моде</w:t>
      </w:r>
      <w:r w:rsidRPr="0001153D">
        <w:rPr>
          <w:spacing w:val="-2"/>
        </w:rPr>
        <w:t>р</w:t>
      </w:r>
      <w:r w:rsidRPr="0001153D">
        <w:rPr>
          <w:spacing w:val="-2"/>
        </w:rPr>
        <w:t>низированный фрагмент метода Knodell R.G. с соавторами (1981), в отл</w:t>
      </w:r>
      <w:r w:rsidRPr="0001153D">
        <w:rPr>
          <w:spacing w:val="-2"/>
        </w:rPr>
        <w:t>и</w:t>
      </w:r>
      <w:r w:rsidRPr="0001153D">
        <w:rPr>
          <w:spacing w:val="-2"/>
        </w:rPr>
        <w:t>чие от которого, баллами (т.е. полуколичественно) оценивали только выраже</w:t>
      </w:r>
      <w:r w:rsidRPr="0001153D">
        <w:rPr>
          <w:spacing w:val="-2"/>
        </w:rPr>
        <w:t>н</w:t>
      </w:r>
      <w:r w:rsidRPr="0001153D">
        <w:rPr>
          <w:spacing w:val="-2"/>
        </w:rPr>
        <w:t>ность клеточной реакции конкретного профиля портального тракта, а не распространенность процесса, последняя определялась количественно в в</w:t>
      </w:r>
      <w:r w:rsidRPr="0001153D">
        <w:rPr>
          <w:spacing w:val="-2"/>
        </w:rPr>
        <w:t>и</w:t>
      </w:r>
      <w:r w:rsidRPr="0001153D">
        <w:rPr>
          <w:spacing w:val="-2"/>
        </w:rPr>
        <w:t>де интегральных показателей, по правилам статистики. Кроме этого, изм</w:t>
      </w:r>
      <w:r w:rsidRPr="0001153D">
        <w:rPr>
          <w:spacing w:val="-2"/>
        </w:rPr>
        <w:t>е</w:t>
      </w:r>
      <w:r w:rsidRPr="0001153D">
        <w:rPr>
          <w:spacing w:val="-2"/>
        </w:rPr>
        <w:t>нено смысловое содержание шкалы баллов, как «0» баллов обознач</w:t>
      </w:r>
      <w:r w:rsidRPr="0001153D">
        <w:rPr>
          <w:spacing w:val="-2"/>
        </w:rPr>
        <w:t>а</w:t>
      </w:r>
      <w:r w:rsidRPr="0001153D">
        <w:rPr>
          <w:spacing w:val="-2"/>
        </w:rPr>
        <w:t>ли не отсутствие портального воспаления, а снижение количества клеточных эл</w:t>
      </w:r>
      <w:r w:rsidRPr="0001153D">
        <w:rPr>
          <w:spacing w:val="-2"/>
        </w:rPr>
        <w:t>е</w:t>
      </w:r>
      <w:r w:rsidRPr="0001153D">
        <w:rPr>
          <w:spacing w:val="-2"/>
        </w:rPr>
        <w:t>ментов в соединительной ткани по сравнению с типичной нас</w:t>
      </w:r>
      <w:r w:rsidRPr="0001153D">
        <w:rPr>
          <w:spacing w:val="-2"/>
        </w:rPr>
        <w:t>ы</w:t>
      </w:r>
      <w:r w:rsidRPr="0001153D">
        <w:rPr>
          <w:spacing w:val="-2"/>
        </w:rPr>
        <w:t>щенностью – 1 балл, характерной для периода максимальной морфологической стабил</w:t>
      </w:r>
      <w:r w:rsidRPr="0001153D">
        <w:rPr>
          <w:spacing w:val="-2"/>
        </w:rPr>
        <w:t>ь</w:t>
      </w:r>
      <w:r w:rsidRPr="0001153D">
        <w:rPr>
          <w:spacing w:val="-2"/>
        </w:rPr>
        <w:t>ности практически здоровых лиц в возрасте от 23 до 27 лет. Собственно портальное воспаление регистрируется при наличии избыточной инфиль</w:t>
      </w:r>
      <w:r w:rsidRPr="0001153D">
        <w:rPr>
          <w:spacing w:val="-2"/>
        </w:rPr>
        <w:t>т</w:t>
      </w:r>
      <w:r w:rsidRPr="0001153D">
        <w:rPr>
          <w:spacing w:val="-2"/>
        </w:rPr>
        <w:t>рации: диффузной рыхло расположенной – 2 балла или с плотным заполн</w:t>
      </w:r>
      <w:r w:rsidRPr="0001153D">
        <w:rPr>
          <w:spacing w:val="-2"/>
        </w:rPr>
        <w:t>е</w:t>
      </w:r>
      <w:r w:rsidRPr="0001153D">
        <w:rPr>
          <w:spacing w:val="-2"/>
        </w:rPr>
        <w:t>нием соединительной ткани – 3  балла. Такая шкала баллов позволяет рег</w:t>
      </w:r>
      <w:r w:rsidRPr="0001153D">
        <w:rPr>
          <w:spacing w:val="-2"/>
        </w:rPr>
        <w:t>и</w:t>
      </w:r>
      <w:r w:rsidRPr="0001153D">
        <w:rPr>
          <w:spacing w:val="-2"/>
        </w:rPr>
        <w:t>стрировать не только наличие и интенсивность воспалительной инфильтр</w:t>
      </w:r>
      <w:r w:rsidRPr="0001153D">
        <w:rPr>
          <w:spacing w:val="-2"/>
        </w:rPr>
        <w:t>а</w:t>
      </w:r>
      <w:r w:rsidRPr="0001153D">
        <w:rPr>
          <w:spacing w:val="-2"/>
        </w:rPr>
        <w:t>ции, но и состояние снижения выраженности «мезе</w:t>
      </w:r>
      <w:r w:rsidRPr="0001153D">
        <w:rPr>
          <w:spacing w:val="-2"/>
        </w:rPr>
        <w:t>н</w:t>
      </w:r>
      <w:r w:rsidRPr="0001153D">
        <w:rPr>
          <w:spacing w:val="-2"/>
        </w:rPr>
        <w:t>химальной реакции», что расширяет спектр ее использования, в частности, для оценок действия факторов малой интенсивности или в изучении формирования неспециф</w:t>
      </w:r>
      <w:r w:rsidRPr="0001153D">
        <w:rPr>
          <w:spacing w:val="-2"/>
        </w:rPr>
        <w:t>и</w:t>
      </w:r>
      <w:r w:rsidRPr="0001153D">
        <w:rPr>
          <w:spacing w:val="-2"/>
        </w:rPr>
        <w:t>ческого реактивного гепатита. В итоге 100-120 час</w:t>
      </w:r>
      <w:r w:rsidRPr="0001153D">
        <w:rPr>
          <w:spacing w:val="-2"/>
        </w:rPr>
        <w:t>т</w:t>
      </w:r>
      <w:r w:rsidRPr="0001153D">
        <w:rPr>
          <w:spacing w:val="-2"/>
        </w:rPr>
        <w:t>ных оценок отдельных профилей в каждом случае, получены два показателя: средняя выраже</w:t>
      </w:r>
      <w:r w:rsidRPr="0001153D">
        <w:rPr>
          <w:spacing w:val="-2"/>
        </w:rPr>
        <w:t>н</w:t>
      </w:r>
      <w:r w:rsidRPr="0001153D">
        <w:rPr>
          <w:spacing w:val="-2"/>
        </w:rPr>
        <w:t>ность инфильтрации в о</w:t>
      </w:r>
      <w:r w:rsidRPr="0001153D">
        <w:rPr>
          <w:spacing w:val="-2"/>
        </w:rPr>
        <w:t>д</w:t>
      </w:r>
      <w:r w:rsidRPr="0001153D">
        <w:rPr>
          <w:spacing w:val="-2"/>
        </w:rPr>
        <w:t>ном профиле портального тракта (в баллах), как отношение суммы всех баллов к общему количеству исследованных проф</w:t>
      </w:r>
      <w:r w:rsidRPr="0001153D">
        <w:rPr>
          <w:spacing w:val="-2"/>
        </w:rPr>
        <w:t>и</w:t>
      </w:r>
      <w:r w:rsidRPr="0001153D">
        <w:rPr>
          <w:spacing w:val="-2"/>
        </w:rPr>
        <w:t>лей портальных трактов и доля профилей портал</w:t>
      </w:r>
      <w:r w:rsidRPr="0001153D">
        <w:rPr>
          <w:spacing w:val="-2"/>
        </w:rPr>
        <w:t>ь</w:t>
      </w:r>
      <w:r w:rsidRPr="0001153D">
        <w:rPr>
          <w:spacing w:val="-2"/>
        </w:rPr>
        <w:t>ных трактов с избыточной (воспалительной) инфильтрацией в 2 – 3  балла (%). Кроме этого определ</w:t>
      </w:r>
      <w:r w:rsidRPr="0001153D">
        <w:rPr>
          <w:spacing w:val="-2"/>
        </w:rPr>
        <w:t>я</w:t>
      </w:r>
      <w:r w:rsidRPr="0001153D">
        <w:rPr>
          <w:spacing w:val="-2"/>
        </w:rPr>
        <w:t>ли частоту случаев с максимальными и мин</w:t>
      </w:r>
      <w:r w:rsidRPr="0001153D">
        <w:rPr>
          <w:spacing w:val="-2"/>
        </w:rPr>
        <w:t>и</w:t>
      </w:r>
      <w:r w:rsidRPr="0001153D">
        <w:rPr>
          <w:spacing w:val="-2"/>
        </w:rPr>
        <w:t>мальными индивидуальными значениями выше названных показателей в образцах ткани из различных отделов печени. Полученные результаты ра</w:t>
      </w:r>
      <w:r w:rsidRPr="0001153D">
        <w:rPr>
          <w:spacing w:val="-2"/>
        </w:rPr>
        <w:t>с</w:t>
      </w:r>
      <w:r w:rsidRPr="0001153D">
        <w:rPr>
          <w:spacing w:val="-2"/>
        </w:rPr>
        <w:t>сматриваются по возрастным периодам – от молодого до старческого во</w:t>
      </w:r>
      <w:r w:rsidRPr="0001153D">
        <w:rPr>
          <w:spacing w:val="-2"/>
        </w:rPr>
        <w:t>з</w:t>
      </w:r>
      <w:r w:rsidRPr="0001153D">
        <w:rPr>
          <w:spacing w:val="-2"/>
        </w:rPr>
        <w:t>раста.</w:t>
      </w:r>
    </w:p>
    <w:p w:rsidR="00F4654E" w:rsidRDefault="00F4654E">
      <w:pPr>
        <w:pStyle w:val="a6"/>
      </w:pPr>
      <w:r>
        <w:t>В исследованном материале выраженность клеточной инфильтрации имеет очаговый характер. В гистологических срезах профили портальных трактов могут, как содержать значительную инфильтрацию, так и иметь крайне скромное ее представительство. По качественному составу и</w:t>
      </w:r>
      <w:r>
        <w:t>н</w:t>
      </w:r>
      <w:r>
        <w:t>фильтрат обычно, мононуклеарный, со значительным преобладанием ли</w:t>
      </w:r>
      <w:r>
        <w:t>м</w:t>
      </w:r>
      <w:r>
        <w:lastRenderedPageBreak/>
        <w:t>фоцитов и гистиоцитов; в отдельных случаях, чаще при хроническом бронхите с наличием выраженного неспецифического реактивного гепат</w:t>
      </w:r>
      <w:r>
        <w:t>и</w:t>
      </w:r>
      <w:r>
        <w:t xml:space="preserve">та с примесью нейтрофильных лейкоцитов. </w:t>
      </w:r>
    </w:p>
    <w:p w:rsidR="00F4654E" w:rsidRDefault="00F4654E">
      <w:pPr>
        <w:pStyle w:val="a6"/>
      </w:pPr>
      <w:r>
        <w:t>По средним значениям выраженности лимфогистиоцитарной и</w:t>
      </w:r>
      <w:r>
        <w:t>н</w:t>
      </w:r>
      <w:r>
        <w:t>фильтрации профиля портального тракта у практически здоровых лиц о</w:t>
      </w:r>
      <w:r>
        <w:t>б</w:t>
      </w:r>
      <w:r>
        <w:t>наружено увеличение статистической значимости территориальных разл</w:t>
      </w:r>
      <w:r>
        <w:t>и</w:t>
      </w:r>
      <w:r>
        <w:t>чий с возрастом. Из пяти возрастных периодов (1, 2 молодого, среднего, пожилого возраста), только в старческом возрасте уровень территориал</w:t>
      </w:r>
      <w:r>
        <w:t>ь</w:t>
      </w:r>
      <w:r>
        <w:t>ного различия достигает достоверного (P&lt;0,05) с максимумом в образцах нижнего края (0,84</w:t>
      </w:r>
      <w:r>
        <w:sym w:font="Symbol" w:char="F0B1"/>
      </w:r>
      <w:r>
        <w:t>0,08 баллов), диафрагмальной поверхности правой (0,83</w:t>
      </w:r>
      <w:r>
        <w:sym w:font="Symbol" w:char="F0B1"/>
      </w:r>
      <w:r>
        <w:t>0,11 баллов) и левой (0,82</w:t>
      </w:r>
      <w:r>
        <w:sym w:font="Symbol" w:char="F0B1"/>
      </w:r>
      <w:r>
        <w:t>0,11 баллов) долей, минимумом в центре печени (0,51</w:t>
      </w:r>
      <w:r>
        <w:sym w:font="Symbol" w:char="F0B1"/>
      </w:r>
      <w:r>
        <w:t xml:space="preserve">0,11 баллов). </w:t>
      </w:r>
    </w:p>
    <w:p w:rsidR="00F4654E" w:rsidRDefault="00F4654E">
      <w:pPr>
        <w:pStyle w:val="a6"/>
      </w:pPr>
      <w:r>
        <w:t>Схожее по своим крайним проявлениям территориальное распредел</w:t>
      </w:r>
      <w:r>
        <w:t>е</w:t>
      </w:r>
      <w:r>
        <w:t>ние, при более высоких уровнях показателей выявлено при хроническом бронхите в пожилом возрасте, с тенденцией к статистической достоверн</w:t>
      </w:r>
      <w:r>
        <w:t>о</w:t>
      </w:r>
      <w:r>
        <w:t>сти (P&lt;0,1), только между максимальным значением нижнего края (1,07</w:t>
      </w:r>
      <w:r>
        <w:sym w:font="Symbol" w:char="F0B1"/>
      </w:r>
      <w:r>
        <w:t>0,09 баллов) и минимальным - центра печени (0,88</w:t>
      </w:r>
      <w:r>
        <w:sym w:font="Symbol" w:char="F0B1"/>
      </w:r>
      <w:r>
        <w:t>0,07 баллов).</w:t>
      </w:r>
    </w:p>
    <w:p w:rsidR="00F4654E" w:rsidRDefault="00F4654E">
      <w:pPr>
        <w:pStyle w:val="a6"/>
      </w:pPr>
      <w:r>
        <w:t>По показателю доли профилей портальных трактов с избыточной (в 2-3 балла) инфильтрацией, у практически здоровых лиц в старческом возра</w:t>
      </w:r>
      <w:r>
        <w:t>с</w:t>
      </w:r>
      <w:r>
        <w:t>те, максимальные значения близки по величине: в диафрагмальной п</w:t>
      </w:r>
      <w:r>
        <w:t>о</w:t>
      </w:r>
      <w:r>
        <w:t>верхности правой доли (11,67</w:t>
      </w:r>
      <w:r>
        <w:sym w:font="Symbol" w:char="F0B1"/>
      </w:r>
      <w:r>
        <w:t>4,14%), нижнем крае печени (11,11</w:t>
      </w:r>
      <w:r>
        <w:sym w:font="Symbol" w:char="F0B1"/>
      </w:r>
      <w:r>
        <w:t>4,73%), диафрагмальной поверхности левой доли (10,56</w:t>
      </w:r>
      <w:r>
        <w:sym w:font="Symbol" w:char="F0B1"/>
      </w:r>
      <w:r>
        <w:t>5,32%). Минимальная в</w:t>
      </w:r>
      <w:r>
        <w:t>е</w:t>
      </w:r>
      <w:r>
        <w:t>личина показателя определяется в центре печени (3,91</w:t>
      </w:r>
      <w:r>
        <w:sym w:font="Symbol" w:char="F0B1"/>
      </w:r>
      <w:r>
        <w:t xml:space="preserve">1,18%), а различие имеет тенденцию к достоверности с первой территорией (P&lt;0,1). </w:t>
      </w:r>
    </w:p>
    <w:p w:rsidR="00F4654E" w:rsidRDefault="00F4654E">
      <w:pPr>
        <w:pStyle w:val="a6"/>
      </w:pPr>
      <w:r>
        <w:t>При хроническом бронхите территориальные распределения доли профилей портальных трактов с избыточной в 2-3 балла инфильтрацией по характеру аналогичны первому показателю: с максимумом в нижнем крае (21,77</w:t>
      </w:r>
      <w:r>
        <w:sym w:font="Symbol" w:char="F0B1"/>
      </w:r>
      <w:r>
        <w:t>4,88%) и минимумом в центре печени (12,60</w:t>
      </w:r>
      <w:r>
        <w:sym w:font="Symbol" w:char="F0B1"/>
      </w:r>
      <w:r>
        <w:t xml:space="preserve">2,44%) с  тенденцией к достоверности различия (P&lt;0,1). </w:t>
      </w:r>
    </w:p>
    <w:p w:rsidR="00F4654E" w:rsidRDefault="00F4654E">
      <w:pPr>
        <w:pStyle w:val="a6"/>
      </w:pPr>
      <w:r>
        <w:t>В другие исследованные возрастные периоды, по двум выше назва</w:t>
      </w:r>
      <w:r>
        <w:t>н</w:t>
      </w:r>
      <w:r>
        <w:t>ным средним показателям, характер территориальных распределений ан</w:t>
      </w:r>
      <w:r>
        <w:t>а</w:t>
      </w:r>
      <w:r>
        <w:t>логичный или с элементами схожести при статистически недостоверных различиях (P&gt;0,05), что так же подтверждает значимость обнаруженной гетерогенности.</w:t>
      </w:r>
    </w:p>
    <w:p w:rsidR="00F4654E" w:rsidRDefault="00F4654E">
      <w:pPr>
        <w:pStyle w:val="a6"/>
      </w:pPr>
      <w:r>
        <w:t>В практических гепатоморфологических исследованиях важно знать, где территориально можно ожидать максимальные и минимальные проя</w:t>
      </w:r>
      <w:r>
        <w:t>в</w:t>
      </w:r>
      <w:r>
        <w:t>ления «мезенхимальной реакции» и с какой вероятностью. В серии пра</w:t>
      </w:r>
      <w:r>
        <w:t>к</w:t>
      </w:r>
      <w:r>
        <w:t>тически здоровых лиц, в образцах нижнего края, показатели средней в</w:t>
      </w:r>
      <w:r>
        <w:t>ы</w:t>
      </w:r>
      <w:r>
        <w:t>раженности и доли избыточной инфильтрации портальных трактов имеют индивидуальные максимальные значения в 41,56% и 32,35%, а минимал</w:t>
      </w:r>
      <w:r>
        <w:t>ь</w:t>
      </w:r>
      <w:r>
        <w:t>ные – в 12,99% и 16,22% случаев соответственно. Напротив, в центре п</w:t>
      </w:r>
      <w:r>
        <w:t>е</w:t>
      </w:r>
      <w:r>
        <w:t>чени максимальные значения названных показателей встречаются с част</w:t>
      </w:r>
      <w:r>
        <w:t>о</w:t>
      </w:r>
      <w:r>
        <w:lastRenderedPageBreak/>
        <w:t>той 12,99% и 20,59%, а минимальные – в 45,45%, 33,33% случаев соотве</w:t>
      </w:r>
      <w:r>
        <w:t>т</w:t>
      </w:r>
      <w:r>
        <w:t>ственно.</w:t>
      </w:r>
    </w:p>
    <w:p w:rsidR="00F4654E" w:rsidRPr="0001153D" w:rsidRDefault="00F4654E">
      <w:pPr>
        <w:pStyle w:val="a6"/>
        <w:rPr>
          <w:spacing w:val="-4"/>
        </w:rPr>
      </w:pPr>
      <w:r w:rsidRPr="0001153D">
        <w:rPr>
          <w:spacing w:val="-4"/>
        </w:rPr>
        <w:t>В серии хронического бронхита, в образцах нижнего края, показатели средней выраженности и доли избыточной инфильтрации портальных тра</w:t>
      </w:r>
      <w:r w:rsidRPr="0001153D">
        <w:rPr>
          <w:spacing w:val="-4"/>
        </w:rPr>
        <w:t>к</w:t>
      </w:r>
      <w:r w:rsidRPr="0001153D">
        <w:rPr>
          <w:spacing w:val="-4"/>
        </w:rPr>
        <w:t>тов имеют индивидуальные максимальные значения в 37,5% и 41,86%, а м</w:t>
      </w:r>
      <w:r w:rsidRPr="0001153D">
        <w:rPr>
          <w:spacing w:val="-4"/>
        </w:rPr>
        <w:t>и</w:t>
      </w:r>
      <w:r w:rsidRPr="0001153D">
        <w:rPr>
          <w:spacing w:val="-4"/>
        </w:rPr>
        <w:t>нимальные – в 9,8% и 21,67% случаев соответственно. В центре печени ма</w:t>
      </w:r>
      <w:r w:rsidRPr="0001153D">
        <w:rPr>
          <w:spacing w:val="-4"/>
        </w:rPr>
        <w:t>к</w:t>
      </w:r>
      <w:r w:rsidRPr="0001153D">
        <w:rPr>
          <w:spacing w:val="-4"/>
        </w:rPr>
        <w:t>симальные значения названных показателей встречаются с частотой 22,92% и23,26 %, а минимальные – в 33,33%, 30,0 % случаев соответстве</w:t>
      </w:r>
      <w:r w:rsidRPr="0001153D">
        <w:rPr>
          <w:spacing w:val="-4"/>
        </w:rPr>
        <w:t>н</w:t>
      </w:r>
      <w:r w:rsidRPr="0001153D">
        <w:rPr>
          <w:spacing w:val="-4"/>
        </w:rPr>
        <w:t>но.</w:t>
      </w:r>
    </w:p>
    <w:p w:rsidR="00F4654E" w:rsidRDefault="00F4654E">
      <w:pPr>
        <w:pStyle w:val="a6"/>
      </w:pPr>
      <w:r>
        <w:t>Таким образом, обнаружена территориальных гетерогенность проя</w:t>
      </w:r>
      <w:r>
        <w:t>в</w:t>
      </w:r>
      <w:r>
        <w:t>лений «мезенхимальной реакции» портальных трактов у практически зд</w:t>
      </w:r>
      <w:r>
        <w:t>о</w:t>
      </w:r>
      <w:r>
        <w:t>ровых лиц и при хроническом бронхите, выраженность ее с возрастом ус</w:t>
      </w:r>
      <w:r>
        <w:t>и</w:t>
      </w:r>
      <w:r>
        <w:t>ливается. Определяющим фактором типичного вида неравномерного ра</w:t>
      </w:r>
      <w:r>
        <w:t>с</w:t>
      </w:r>
      <w:r>
        <w:t>пределения «мезенхимальной реакции» с максимумом  в образцах нижнего края и минимумом – в центре печени, очевидно, является глубина залег</w:t>
      </w:r>
      <w:r>
        <w:t>а</w:t>
      </w:r>
      <w:r>
        <w:t xml:space="preserve">ния или удаленность исследуемого образца от поверхности печени. </w:t>
      </w:r>
    </w:p>
    <w:p w:rsidR="00F4654E" w:rsidRDefault="00F4654E">
      <w:pPr>
        <w:pStyle w:val="a6"/>
      </w:pPr>
      <w:r>
        <w:t>При сборе материала с целью исследования «мезенхимальной реа</w:t>
      </w:r>
      <w:r>
        <w:t>к</w:t>
      </w:r>
      <w:r>
        <w:t>ции» портальных трактов следует учитывать территориальную гетероге</w:t>
      </w:r>
      <w:r>
        <w:t>н</w:t>
      </w:r>
      <w:r>
        <w:t>ность ее проявлений, возможно, в виде взятия некоторого множества к</w:t>
      </w:r>
      <w:r>
        <w:t>у</w:t>
      </w:r>
      <w:r>
        <w:t>сочков из разных отделов и за счет стандартизации локализации забора о</w:t>
      </w:r>
      <w:r>
        <w:t>б</w:t>
      </w:r>
      <w:r>
        <w:t>разцов по отношению к поверхности или центру печени.</w:t>
      </w:r>
    </w:p>
    <w:p w:rsidR="00F4654E" w:rsidRDefault="00F4654E">
      <w:pPr>
        <w:pStyle w:val="a6"/>
      </w:pPr>
      <w:r>
        <w:t>В ветеринарных морфологических исследованиях печени, при исти</w:t>
      </w:r>
      <w:r>
        <w:t>н</w:t>
      </w:r>
      <w:r>
        <w:t>ном разделении долей у многих видов животных (в отличие от «формал</w:t>
      </w:r>
      <w:r>
        <w:t>ь</w:t>
      </w:r>
      <w:r>
        <w:t>ного» у человека), следует ожидать еще более значимых проявлений те</w:t>
      </w:r>
      <w:r>
        <w:t>р</w:t>
      </w:r>
      <w:r>
        <w:t>риториальной гетерогенности показателей, возможно  связанной с аси</w:t>
      </w:r>
      <w:r>
        <w:t>н</w:t>
      </w:r>
      <w:r>
        <w:t>хронностью функционирования.</w:t>
      </w:r>
    </w:p>
    <w:p w:rsidR="00F4654E" w:rsidRDefault="00F4654E">
      <w:pPr>
        <w:pStyle w:val="a4"/>
      </w:pPr>
      <w:r>
        <w:t>УДК 636.4:612.11</w:t>
      </w:r>
    </w:p>
    <w:p w:rsidR="00F4654E" w:rsidRDefault="00F4654E">
      <w:pPr>
        <w:pStyle w:val="1"/>
      </w:pPr>
      <w:bookmarkStart w:id="2985" w:name="_Toc10731396"/>
      <w:bookmarkStart w:id="2986" w:name="_Toc11137829"/>
      <w:bookmarkStart w:id="2987" w:name="_Toc11138247"/>
      <w:bookmarkStart w:id="2988" w:name="_Toc11138665"/>
      <w:bookmarkStart w:id="2989" w:name="_Toc11139083"/>
      <w:bookmarkStart w:id="2990" w:name="_Toc11139501"/>
      <w:bookmarkStart w:id="2991" w:name="_Toc11139919"/>
      <w:bookmarkStart w:id="2992" w:name="_Toc11140337"/>
      <w:bookmarkStart w:id="2993" w:name="_Toc11390447"/>
      <w:bookmarkStart w:id="2994" w:name="_Toc11840132"/>
      <w:bookmarkStart w:id="2995" w:name="_Toc11937676"/>
      <w:r>
        <w:t xml:space="preserve">ГЕМАТОЛОГИЧЕСКИЕ ПОКАЗАТЕЛИ У СВИНОМАТОК И ИХ ПЛОДОВ </w:t>
      </w:r>
      <w:r>
        <w:br/>
        <w:t>В РАЗЛИЧНЫЕ ПЕРИОДЫ СУПОРОСТНОСТИ</w:t>
      </w:r>
      <w:bookmarkEnd w:id="2985"/>
      <w:bookmarkEnd w:id="2986"/>
      <w:bookmarkEnd w:id="2987"/>
      <w:bookmarkEnd w:id="2988"/>
      <w:bookmarkEnd w:id="2989"/>
      <w:bookmarkEnd w:id="2990"/>
      <w:bookmarkEnd w:id="2991"/>
      <w:bookmarkEnd w:id="2992"/>
      <w:bookmarkEnd w:id="2993"/>
      <w:bookmarkEnd w:id="2994"/>
      <w:bookmarkEnd w:id="2995"/>
      <w:r>
        <w:t xml:space="preserve"> </w:t>
      </w:r>
    </w:p>
    <w:p w:rsidR="00F4654E" w:rsidRDefault="00F4654E">
      <w:pPr>
        <w:pStyle w:val="2"/>
      </w:pPr>
      <w:bookmarkStart w:id="2996" w:name="_Toc10731397"/>
      <w:bookmarkStart w:id="2997" w:name="_Toc11032277"/>
      <w:bookmarkStart w:id="2998" w:name="_Toc11137830"/>
      <w:bookmarkStart w:id="2999" w:name="_Toc11138248"/>
      <w:bookmarkStart w:id="3000" w:name="_Toc11138666"/>
      <w:bookmarkStart w:id="3001" w:name="_Toc11139084"/>
      <w:bookmarkStart w:id="3002" w:name="_Toc11139502"/>
      <w:bookmarkStart w:id="3003" w:name="_Toc11139920"/>
      <w:bookmarkStart w:id="3004" w:name="_Toc11140338"/>
      <w:bookmarkStart w:id="3005" w:name="_Toc11390448"/>
      <w:bookmarkStart w:id="3006" w:name="_Toc11937677"/>
      <w:r>
        <w:t>Мацкевич В.К., Алексин А.М., Шилюк О.А.</w:t>
      </w:r>
      <w:bookmarkEnd w:id="2996"/>
      <w:bookmarkEnd w:id="2997"/>
      <w:bookmarkEnd w:id="2998"/>
      <w:bookmarkEnd w:id="2999"/>
      <w:bookmarkEnd w:id="3000"/>
      <w:bookmarkEnd w:id="3001"/>
      <w:bookmarkEnd w:id="3002"/>
      <w:bookmarkEnd w:id="3003"/>
      <w:bookmarkEnd w:id="3004"/>
      <w:bookmarkEnd w:id="3005"/>
      <w:bookmarkEnd w:id="3006"/>
    </w:p>
    <w:p w:rsidR="00F4654E" w:rsidRDefault="00F4654E">
      <w:pPr>
        <w:pStyle w:val="a5"/>
      </w:pPr>
      <w:r>
        <w:t>Витебская государственная академия ветеринарной медицины</w:t>
      </w:r>
    </w:p>
    <w:p w:rsidR="00F4654E" w:rsidRDefault="00F4654E">
      <w:pPr>
        <w:pStyle w:val="a6"/>
      </w:pPr>
      <w:r>
        <w:t>Естественная резистентность является общебиологическим свойством организма. От ее уровня зависит устойчивость организма к воздействию различных неблагоприятных факторов внешней и внутренней среды. Из</w:t>
      </w:r>
      <w:r>
        <w:t>у</w:t>
      </w:r>
      <w:r>
        <w:t>чение естественной резистентности  животных приобретает особое знач</w:t>
      </w:r>
      <w:r>
        <w:t>е</w:t>
      </w:r>
      <w:r>
        <w:t>ние при содержании их на промышленных комплексах.</w:t>
      </w:r>
    </w:p>
    <w:p w:rsidR="00F4654E" w:rsidRDefault="00F4654E">
      <w:pPr>
        <w:pStyle w:val="a6"/>
      </w:pPr>
      <w:r>
        <w:t xml:space="preserve"> Целью наших исследований было изучение некоторых показателей естественной резистентности у свиноматок и плодов в различные сроки супоросности. Работа проводилась на Витебском мясокомбинате и в лаб</w:t>
      </w:r>
      <w:r>
        <w:t>о</w:t>
      </w:r>
      <w:r>
        <w:t>ратории кафедры физиологии Витебской ордена «Знак почета» государс</w:t>
      </w:r>
      <w:r>
        <w:t>т</w:t>
      </w:r>
      <w:r>
        <w:t>венной академии ветеринарной медицины.</w:t>
      </w:r>
    </w:p>
    <w:p w:rsidR="00F4654E" w:rsidRDefault="00F4654E">
      <w:pPr>
        <w:pStyle w:val="a6"/>
      </w:pPr>
      <w:r>
        <w:lastRenderedPageBreak/>
        <w:t xml:space="preserve"> Для проведения исследований было взято 18 свиноматок крупной б</w:t>
      </w:r>
      <w:r>
        <w:t>е</w:t>
      </w:r>
      <w:r>
        <w:t>лой породы массой 200-210 килограмм. Из них 5 свиноматок были хол</w:t>
      </w:r>
      <w:r>
        <w:t>о</w:t>
      </w:r>
      <w:r>
        <w:t>стые, 5 – 58-62-го дня супоросности, 4 -  в 88-91 день супоросности и 4 в 107-110 дней супоросности.</w:t>
      </w:r>
    </w:p>
    <w:p w:rsidR="00F4654E" w:rsidRDefault="00F4654E">
      <w:pPr>
        <w:pStyle w:val="a6"/>
      </w:pPr>
      <w:r>
        <w:t xml:space="preserve"> От каждой свиноматки брали кровь для исследования, кроме того, от каждой супоросной свиноматки брали по 3 плода одинаковой массы, у к</w:t>
      </w:r>
      <w:r>
        <w:t>о</w:t>
      </w:r>
      <w:r>
        <w:t>торых также исследовали кровь. Всего было получено от свиноматок пе</w:t>
      </w:r>
      <w:r>
        <w:t>р</w:t>
      </w:r>
      <w:r>
        <w:t>вой группы (два месяца супоросности) - 52 плода, свиноматок второй группы (три месяца супоросности) – 45 плодов и от свиноматок третьей группы (107-110 дней супоросности) - 50 плодов. Активность ферментов определяли у 18 свиноматок и 45 плодов.</w:t>
      </w:r>
    </w:p>
    <w:p w:rsidR="00F4654E" w:rsidRDefault="00F4654E">
      <w:pPr>
        <w:pStyle w:val="a6"/>
      </w:pPr>
      <w:r>
        <w:t>У свиноматок и их плодов брали кровь и определяли следующие п</w:t>
      </w:r>
      <w:r>
        <w:t>о</w:t>
      </w:r>
      <w:r>
        <w:t>каз</w:t>
      </w:r>
      <w:r>
        <w:t>а</w:t>
      </w:r>
      <w:r>
        <w:t>тели количество гемоглобина, эритроцитов, лейкоцитов, БАСК, ЛАСК, ам</w:t>
      </w:r>
      <w:r>
        <w:t>и</w:t>
      </w:r>
      <w:r>
        <w:t>лазы и щелочной фосфатазы, общий белок. Количество гемоглобина и эри</w:t>
      </w:r>
      <w:r>
        <w:t>т</w:t>
      </w:r>
      <w:r>
        <w:t>роцитов определяли фотоэлектроколориметрическим методом (В.А. Медведский, В.К. Гусаков, Ю.И. Никитин, Н.С. Мотузко, 1995). Количес</w:t>
      </w:r>
      <w:r>
        <w:t>т</w:t>
      </w:r>
      <w:r>
        <w:t>во лейк</w:t>
      </w:r>
      <w:r>
        <w:t>о</w:t>
      </w:r>
      <w:r>
        <w:t>цитов подсчитывали в камере Горяева. Бактерицидную активность сыворо</w:t>
      </w:r>
      <w:r>
        <w:t>т</w:t>
      </w:r>
      <w:r>
        <w:t>ки крови определяли  методом О.В. Смирновой и Т.А. Кузьминой в модиф</w:t>
      </w:r>
      <w:r>
        <w:t>и</w:t>
      </w:r>
      <w:r>
        <w:t>кации  Ю.М. Маркова и др. (1968), с использованием суточной культуры   E. Coli (цитировано по С.С. Абрамову, А.Ф. Могиленко, А.И. Ятусевичу, 1989). Лизоцимную активность сыворотки крови  определяли  с использованием с</w:t>
      </w:r>
      <w:r>
        <w:t>у</w:t>
      </w:r>
      <w:r>
        <w:t>точной культуры M. Lisodeticus (В.Г. Дорофейчук, 1968; И.М. Карпуть и с</w:t>
      </w:r>
      <w:r>
        <w:t>о</w:t>
      </w:r>
      <w:r>
        <w:t>авт., 1992). Активность амилазы и щелочной фосфатазы в сыворотке крови, определяли с помощью наборов Санкт-Петербургского общества естествоиспытателей «Клини-Тест-АА» и «Клини-Тест-ЩФ АМП».</w:t>
      </w:r>
    </w:p>
    <w:p w:rsidR="00F4654E" w:rsidRDefault="00F4654E">
      <w:pPr>
        <w:pStyle w:val="a6"/>
      </w:pPr>
      <w:r>
        <w:t>Гематологические показатели зависят от физиологического состо</w:t>
      </w:r>
      <w:r>
        <w:t>я</w:t>
      </w:r>
      <w:r>
        <w:t>ния организма, так количество гемоглобина у холостых свиноматок с</w:t>
      </w:r>
      <w:r>
        <w:t>о</w:t>
      </w:r>
      <w:r>
        <w:t>ставляло 90,24±5,57 г/л, количество эритроцитов было 4,68±0,28 х 10</w:t>
      </w:r>
      <w:r>
        <w:rPr>
          <w:vertAlign w:val="superscript"/>
        </w:rPr>
        <w:t>12</w:t>
      </w:r>
      <w:r>
        <w:t>/л, а лейкоц</w:t>
      </w:r>
      <w:r>
        <w:t>и</w:t>
      </w:r>
      <w:r>
        <w:t>тов - 5,34±0,4 х 10</w:t>
      </w:r>
      <w:r>
        <w:rPr>
          <w:vertAlign w:val="superscript"/>
        </w:rPr>
        <w:t>9</w:t>
      </w:r>
      <w:r>
        <w:t>/л. Бактерицидная активность сыворотки крови состав</w:t>
      </w:r>
      <w:r>
        <w:t>и</w:t>
      </w:r>
      <w:r>
        <w:t xml:space="preserve">ла 37,04±0,62 %, а лизоцимная активность была 2,01±0,08 %, фосфатазная активность - 21,36±0,76 Е/л, активность амилазы - 3,42±0,02 мг/с.л. </w:t>
      </w:r>
    </w:p>
    <w:p w:rsidR="00F4654E" w:rsidRDefault="00F4654E">
      <w:pPr>
        <w:pStyle w:val="a6"/>
      </w:pPr>
      <w:r>
        <w:t>У супоросных свиноматок эти показатели изменялись. Так, в 60 дней супоросности  гемоглобина было 108±1,9 г/л, постепенно уменьшаясь к 110-и дням до 95,6±0,87 г/л. Количество эритроцитов с увеличением ср</w:t>
      </w:r>
      <w:r>
        <w:t>о</w:t>
      </w:r>
      <w:r>
        <w:t>ка супоросности уменьшалось, в 60 дней  было 7,6±0</w:t>
      </w:r>
      <w:r>
        <w:rPr>
          <w:b/>
        </w:rPr>
        <w:t>.</w:t>
      </w:r>
      <w:r>
        <w:t>12 х 10</w:t>
      </w:r>
      <w:r>
        <w:rPr>
          <w:vertAlign w:val="superscript"/>
        </w:rPr>
        <w:t>12</w:t>
      </w:r>
      <w:r>
        <w:t>/л, к 110 дням снизилось на 42,1%.</w:t>
      </w:r>
    </w:p>
    <w:p w:rsidR="00F4654E" w:rsidRDefault="00F4654E">
      <w:pPr>
        <w:pStyle w:val="a6"/>
      </w:pPr>
      <w:r>
        <w:t>Наибольшее количество лейкоцитов содержалось в 60 дней и состав</w:t>
      </w:r>
      <w:r>
        <w:t>и</w:t>
      </w:r>
      <w:r>
        <w:t>ло 11,94±0,07 х 10</w:t>
      </w:r>
      <w:r>
        <w:rPr>
          <w:vertAlign w:val="superscript"/>
        </w:rPr>
        <w:t>9</w:t>
      </w:r>
      <w:r>
        <w:t>/л, к 110 дням уменьшилось до 9,98±0,16 х 10</w:t>
      </w:r>
      <w:r>
        <w:rPr>
          <w:vertAlign w:val="superscript"/>
        </w:rPr>
        <w:t>9</w:t>
      </w:r>
      <w:r>
        <w:t>/л. При исследовании бактерицидной активности сыворотки крови было устано</w:t>
      </w:r>
      <w:r>
        <w:t>в</w:t>
      </w:r>
      <w:r>
        <w:t>лено, что наибольшая активность наблюдалось в 110 дней супоросности и была 54,72±0,21 %, а к 90 дням снизилась до 35,3±0,2 %. Лизоцимная а</w:t>
      </w:r>
      <w:r>
        <w:t>к</w:t>
      </w:r>
      <w:r>
        <w:lastRenderedPageBreak/>
        <w:t>тивность самой высокой была в 60 дней - 5,93±0,36 % и 110 дням умен</w:t>
      </w:r>
      <w:r>
        <w:t>ь</w:t>
      </w:r>
      <w:r>
        <w:t>шалась в два раза.</w:t>
      </w:r>
    </w:p>
    <w:p w:rsidR="00F4654E" w:rsidRDefault="00F4654E">
      <w:pPr>
        <w:pStyle w:val="a6"/>
      </w:pPr>
      <w:r>
        <w:t>Амилолитическая активность сыворотки крови увеличивалась с ув</w:t>
      </w:r>
      <w:r>
        <w:t>е</w:t>
      </w:r>
      <w:r>
        <w:t>личением срока супоросности, в 60 дней 3,33±0,08 мг/с·л, а к 110 дням достигла 6,26±0,10 мг/с·л. Активность щелочной фосфатазы в 60 дней с</w:t>
      </w:r>
      <w:r>
        <w:t>о</w:t>
      </w:r>
      <w:r>
        <w:t>ставила 33,62±0,86 Е/л, к 110дням увеличилась на 47,8%.</w:t>
      </w:r>
    </w:p>
    <w:p w:rsidR="00F4654E" w:rsidRDefault="00F4654E">
      <w:pPr>
        <w:pStyle w:val="a6"/>
      </w:pPr>
      <w:r>
        <w:t>При исследовании крови плодов установили, что количество эритр</w:t>
      </w:r>
      <w:r>
        <w:t>о</w:t>
      </w:r>
      <w:r>
        <w:t>цитов было меньше, чем у свиноматок. В 60дней было 3,32±0,07 х 10</w:t>
      </w:r>
      <w:r>
        <w:rPr>
          <w:vertAlign w:val="superscript"/>
        </w:rPr>
        <w:t>12/</w:t>
      </w:r>
      <w:r>
        <w:t>л, с увеличением возраста содержание эритроцитов повышалось, и в 110 дней достигло 4,2±0,07 х 10</w:t>
      </w:r>
      <w:r>
        <w:rPr>
          <w:vertAlign w:val="superscript"/>
        </w:rPr>
        <w:t>12</w:t>
      </w:r>
      <w:r>
        <w:t>/л, что на 20,9 % выше. Такая же закономерность наблюдалась и по содержанию гемоглобина. В 60 дней его было 83,4±1,17 г/л, а к 110 дням повысилось до 94,8±0,73 г/л.</w:t>
      </w:r>
    </w:p>
    <w:p w:rsidR="00F4654E" w:rsidRDefault="00F4654E">
      <w:pPr>
        <w:pStyle w:val="a6"/>
      </w:pPr>
      <w:r>
        <w:t>Сыворотка крови плодов обладает невысокой бактерицидной акти</w:t>
      </w:r>
      <w:r>
        <w:t>в</w:t>
      </w:r>
      <w:r>
        <w:t>ностью, в 60 дней она равнялась 6,28±0,32 %, к 110 дням увеличилась до 9,28±0,42 %, что выше на 35,9 %.</w:t>
      </w:r>
    </w:p>
    <w:p w:rsidR="00F4654E" w:rsidRDefault="00F4654E">
      <w:pPr>
        <w:pStyle w:val="a6"/>
      </w:pPr>
      <w:r>
        <w:t>Лизоцимная же активность у плодов в 60-дневном возрасте была на уровне 13,62±0,29 %, а затем с возрастом постепенно снижалась, и у 110- дневных плодов составила 6,8±0,42 %, что более чем в два раза меньше, чем у двухмесячных плодов.</w:t>
      </w:r>
    </w:p>
    <w:p w:rsidR="00F4654E" w:rsidRDefault="00F4654E">
      <w:pPr>
        <w:pStyle w:val="a6"/>
      </w:pPr>
      <w:r>
        <w:t>Содержание общего белка в крови плодов всех возрастов более ни</w:t>
      </w:r>
      <w:r>
        <w:t>з</w:t>
      </w:r>
      <w:r>
        <w:t>кое, чем у свиноматок, но на протяжении всего периода внутриутробного развития постепенно увеличивалось с 25,5±0,67 г/л в 60 дней до 31,18±0,6 г/л в110 дней.</w:t>
      </w:r>
      <w:r w:rsidR="0001153D">
        <w:t xml:space="preserve"> </w:t>
      </w:r>
      <w:r>
        <w:t>Активность амилазы и щелочной фосфатазы в сыворотке крови пл</w:t>
      </w:r>
      <w:r>
        <w:t>о</w:t>
      </w:r>
      <w:r>
        <w:t>дов существенно не отличалась от активности этих ферментов у свином</w:t>
      </w:r>
      <w:r>
        <w:t>а</w:t>
      </w:r>
      <w:r>
        <w:t>ток, но увеличивалась с возрастом плодов. Так, амилолитическая акти</w:t>
      </w:r>
      <w:r>
        <w:t>в</w:t>
      </w:r>
      <w:r>
        <w:t>ность в 60 дней была 3,87±0,09 мг/с·л, а в 110 дней стала 7,01±0,10 мг/с·л, фосфатазная увеличилась с 36,02±0,82 Е/л в 60 дней до 68,9±0,49 Е/л в 110 дней.</w:t>
      </w:r>
    </w:p>
    <w:p w:rsidR="00F4654E" w:rsidRPr="0001153D" w:rsidRDefault="00F4654E">
      <w:pPr>
        <w:pStyle w:val="a6"/>
        <w:rPr>
          <w:spacing w:val="-4"/>
        </w:rPr>
      </w:pPr>
      <w:r w:rsidRPr="0001153D">
        <w:rPr>
          <w:spacing w:val="-4"/>
        </w:rPr>
        <w:t>Из вышеизложенного следует, что показатели естественной резистен</w:t>
      </w:r>
      <w:r w:rsidRPr="0001153D">
        <w:rPr>
          <w:spacing w:val="-4"/>
        </w:rPr>
        <w:t>т</w:t>
      </w:r>
      <w:r w:rsidRPr="0001153D">
        <w:rPr>
          <w:spacing w:val="-4"/>
        </w:rPr>
        <w:t>ности животных начинают формироваться еще во внутриутробный период развития, хотя они еще не такие высокие, как у взрослых живо</w:t>
      </w:r>
      <w:r w:rsidRPr="0001153D">
        <w:rPr>
          <w:spacing w:val="-4"/>
        </w:rPr>
        <w:t>т</w:t>
      </w:r>
      <w:r w:rsidRPr="0001153D">
        <w:rPr>
          <w:spacing w:val="-4"/>
        </w:rPr>
        <w:t>ных.</w:t>
      </w:r>
    </w:p>
    <w:p w:rsidR="00F4654E" w:rsidRDefault="00F4654E">
      <w:pPr>
        <w:pStyle w:val="a4"/>
      </w:pPr>
      <w:r>
        <w:t>УДК 636.2.087.72:612.017.1</w:t>
      </w:r>
    </w:p>
    <w:p w:rsidR="00F4654E" w:rsidRDefault="00F4654E">
      <w:pPr>
        <w:pStyle w:val="1"/>
      </w:pPr>
      <w:bookmarkStart w:id="3007" w:name="_Toc10731398"/>
      <w:bookmarkStart w:id="3008" w:name="_Toc11137831"/>
      <w:bookmarkStart w:id="3009" w:name="_Toc11138249"/>
      <w:bookmarkStart w:id="3010" w:name="_Toc11138667"/>
      <w:bookmarkStart w:id="3011" w:name="_Toc11139085"/>
      <w:bookmarkStart w:id="3012" w:name="_Toc11139503"/>
      <w:bookmarkStart w:id="3013" w:name="_Toc11139921"/>
      <w:bookmarkStart w:id="3014" w:name="_Toc11140339"/>
      <w:bookmarkStart w:id="3015" w:name="_Toc11390449"/>
      <w:bookmarkStart w:id="3016" w:name="_Toc11840134"/>
      <w:bookmarkStart w:id="3017" w:name="_Toc11937678"/>
      <w:r>
        <w:t>Укрепление неспецифического иммунитета организма телят пикумином</w:t>
      </w:r>
      <w:bookmarkEnd w:id="3007"/>
      <w:bookmarkEnd w:id="3008"/>
      <w:bookmarkEnd w:id="3009"/>
      <w:bookmarkEnd w:id="3010"/>
      <w:bookmarkEnd w:id="3011"/>
      <w:bookmarkEnd w:id="3012"/>
      <w:bookmarkEnd w:id="3013"/>
      <w:bookmarkEnd w:id="3014"/>
      <w:bookmarkEnd w:id="3015"/>
      <w:bookmarkEnd w:id="3016"/>
      <w:bookmarkEnd w:id="3017"/>
    </w:p>
    <w:p w:rsidR="00F4654E" w:rsidRDefault="00F4654E">
      <w:pPr>
        <w:pStyle w:val="2"/>
      </w:pPr>
      <w:bookmarkStart w:id="3018" w:name="_Toc10731399"/>
      <w:bookmarkStart w:id="3019" w:name="_Toc11032278"/>
      <w:bookmarkStart w:id="3020" w:name="_Toc11137832"/>
      <w:bookmarkStart w:id="3021" w:name="_Toc11138250"/>
      <w:bookmarkStart w:id="3022" w:name="_Toc11138668"/>
      <w:bookmarkStart w:id="3023" w:name="_Toc11139086"/>
      <w:bookmarkStart w:id="3024" w:name="_Toc11139504"/>
      <w:bookmarkStart w:id="3025" w:name="_Toc11139922"/>
      <w:bookmarkStart w:id="3026" w:name="_Toc11140340"/>
      <w:bookmarkStart w:id="3027" w:name="_Toc11390450"/>
      <w:bookmarkStart w:id="3028" w:name="_Toc11937679"/>
      <w:r>
        <w:t>Медведский В.А., Железко А.Ф., Щебеток И.В.</w:t>
      </w:r>
      <w:bookmarkEnd w:id="3018"/>
      <w:bookmarkEnd w:id="3019"/>
      <w:bookmarkEnd w:id="3020"/>
      <w:bookmarkEnd w:id="3021"/>
      <w:bookmarkEnd w:id="3022"/>
      <w:bookmarkEnd w:id="3023"/>
      <w:bookmarkEnd w:id="3024"/>
      <w:bookmarkEnd w:id="3025"/>
      <w:bookmarkEnd w:id="3026"/>
      <w:bookmarkEnd w:id="3027"/>
      <w:bookmarkEnd w:id="3028"/>
    </w:p>
    <w:p w:rsidR="00F4654E" w:rsidRDefault="00F4654E">
      <w:pPr>
        <w:pStyle w:val="a5"/>
      </w:pPr>
      <w:r>
        <w:t>Витебская государственная академия ветеринарной медицины</w:t>
      </w:r>
    </w:p>
    <w:p w:rsidR="00F4654E" w:rsidRDefault="00F4654E">
      <w:pPr>
        <w:pStyle w:val="a6"/>
      </w:pPr>
      <w:r>
        <w:t>Известно, что полноценное кормление – один из важнейших факт</w:t>
      </w:r>
      <w:r>
        <w:t>о</w:t>
      </w:r>
      <w:r>
        <w:t>ров, обуславливающий сохранение на высоком уровне естественной и приобретенной невосприимчивости животных к заболеваниям различной этиологии. Исследования кормов, применяемых на животноводческих предприятиях Республики Беларусь указывают на дефицит в них мин</w:t>
      </w:r>
      <w:r>
        <w:t>е</w:t>
      </w:r>
      <w:r>
        <w:lastRenderedPageBreak/>
        <w:t>ральных веществ. Учитывая это целью наших исследований было изучение возможности применения минеральной кормовой добавки пикумин для повышения неспецифического иммунитета организма телят.</w:t>
      </w:r>
    </w:p>
    <w:p w:rsidR="00F4654E" w:rsidRDefault="00F4654E">
      <w:pPr>
        <w:pStyle w:val="a6"/>
      </w:pPr>
      <w:r>
        <w:t xml:space="preserve">Пикумин представляет собой мелкий порошок коричневого цвета. В его состав входят кальций, фосфор, магний, медь, цинк, марганец, кобальт и др. макро- и микроэлементы в природно сочетанных пропорциях.  </w:t>
      </w:r>
    </w:p>
    <w:p w:rsidR="00F4654E" w:rsidRDefault="00F4654E">
      <w:pPr>
        <w:pStyle w:val="a6"/>
      </w:pPr>
      <w:r>
        <w:t>Исследования проводились в условиях промышленного комплекса по откорму крупного рогатого скота. Для этого по принципу аналогов были подобраны три группы телят двухмесячного возраста по 20 голов в ка</w:t>
      </w:r>
      <w:r>
        <w:t>ж</w:t>
      </w:r>
      <w:r>
        <w:t>дой. Телята первой группы были контрольными и изучаемую добавку не получали. Животным второй (опытной) группы в рацион вводили мин</w:t>
      </w:r>
      <w:r>
        <w:t>е</w:t>
      </w:r>
      <w:r>
        <w:t xml:space="preserve">ральную добавку пикумин в размере 1,5 %, а третьей (опытной) группы – 3 % из расчета на 1 кг сухого вещества корма в течении 120 дней. </w:t>
      </w:r>
    </w:p>
    <w:p w:rsidR="00F4654E" w:rsidRDefault="00F4654E">
      <w:pPr>
        <w:pStyle w:val="a6"/>
      </w:pPr>
      <w:r>
        <w:t>В результате проведенных исследований установлено, что примен</w:t>
      </w:r>
      <w:r>
        <w:t>е</w:t>
      </w:r>
      <w:r>
        <w:t xml:space="preserve">нии пикумина позволило увеличить бактерицидную активность сыворотки крови телят второй группы на 6,24 и третьей – на 7,71 % по сравнению с контрольной животными. </w:t>
      </w:r>
    </w:p>
    <w:p w:rsidR="00F4654E" w:rsidRDefault="00F4654E">
      <w:pPr>
        <w:pStyle w:val="a6"/>
      </w:pPr>
      <w:r>
        <w:t xml:space="preserve">Лизоцимная активность сыворотки крови подопытных животных на момент постановки опыта колебалась в пределах 1,6±0,32 – 1,9±0,21 %. К концу периода наблюдений данный показатель у животных второй группы был на уровне 2,6±0,75 и третьей – 2,8±0,42 %. </w:t>
      </w:r>
    </w:p>
    <w:p w:rsidR="00F4654E" w:rsidRDefault="00F4654E">
      <w:pPr>
        <w:pStyle w:val="a6"/>
      </w:pPr>
      <w:r>
        <w:t>Применение пикумина способствовало достоверному увеличению суммы иммуноглобулинов, в том числе γ–глобулиновой фракции на 3,8-9,4 %. В результате чего приросты живой массы увеличивались на 3,6-5,4 %, а  заболеваемость снижалась в среднем на 7 %.</w:t>
      </w:r>
    </w:p>
    <w:p w:rsidR="00F4654E" w:rsidRPr="0001153D" w:rsidRDefault="00F4654E">
      <w:pPr>
        <w:pStyle w:val="a6"/>
        <w:rPr>
          <w:b/>
          <w:spacing w:val="-4"/>
        </w:rPr>
      </w:pPr>
      <w:r w:rsidRPr="0001153D">
        <w:rPr>
          <w:spacing w:val="-4"/>
        </w:rPr>
        <w:t>Таким образом, применение минеральной добавки пикумин позволяет укрепить неспецифический иммунитет молодняка крупного рогатого ск</w:t>
      </w:r>
      <w:r w:rsidRPr="0001153D">
        <w:rPr>
          <w:spacing w:val="-4"/>
        </w:rPr>
        <w:t>о</w:t>
      </w:r>
      <w:r w:rsidRPr="0001153D">
        <w:rPr>
          <w:spacing w:val="-4"/>
        </w:rPr>
        <w:t xml:space="preserve">та.  </w:t>
      </w:r>
    </w:p>
    <w:p w:rsidR="00F4654E" w:rsidRDefault="00F4654E">
      <w:pPr>
        <w:pStyle w:val="a4"/>
      </w:pPr>
      <w:r>
        <w:t>УДК  615.31:547.94]. 012.015.4</w:t>
      </w:r>
    </w:p>
    <w:p w:rsidR="00F4654E" w:rsidRDefault="00F4654E">
      <w:pPr>
        <w:pStyle w:val="1"/>
      </w:pPr>
      <w:bookmarkStart w:id="3029" w:name="_Toc10731432"/>
      <w:bookmarkStart w:id="3030" w:name="_Toc11137867"/>
      <w:bookmarkStart w:id="3031" w:name="_Toc11138285"/>
      <w:bookmarkStart w:id="3032" w:name="_Toc11138703"/>
      <w:bookmarkStart w:id="3033" w:name="_Toc11139121"/>
      <w:bookmarkStart w:id="3034" w:name="_Toc11139539"/>
      <w:bookmarkStart w:id="3035" w:name="_Toc11139957"/>
      <w:bookmarkStart w:id="3036" w:name="_Toc11140375"/>
      <w:bookmarkStart w:id="3037" w:name="_Toc11390483"/>
      <w:bookmarkStart w:id="3038" w:name="_Toc11840166"/>
      <w:bookmarkStart w:id="3039" w:name="_Toc11937680"/>
      <w:r>
        <w:t>РАСТЕНИЯ РОДА  PAPAVER L. – ИСТОЧНИКИ ЦЕННЫХ ИЗОХИНОЛИНОВЫХ АЛКАЛОИДОВ</w:t>
      </w:r>
      <w:bookmarkEnd w:id="3029"/>
      <w:bookmarkEnd w:id="3030"/>
      <w:bookmarkEnd w:id="3031"/>
      <w:bookmarkEnd w:id="3032"/>
      <w:bookmarkEnd w:id="3033"/>
      <w:bookmarkEnd w:id="3034"/>
      <w:bookmarkEnd w:id="3035"/>
      <w:bookmarkEnd w:id="3036"/>
      <w:bookmarkEnd w:id="3037"/>
      <w:bookmarkEnd w:id="3038"/>
      <w:bookmarkEnd w:id="3039"/>
    </w:p>
    <w:p w:rsidR="00F4654E" w:rsidRDefault="00F4654E">
      <w:pPr>
        <w:pStyle w:val="2"/>
      </w:pPr>
      <w:bookmarkStart w:id="3040" w:name="_Toc10731433"/>
      <w:bookmarkStart w:id="3041" w:name="_Toc11032296"/>
      <w:bookmarkStart w:id="3042" w:name="_Toc11137868"/>
      <w:bookmarkStart w:id="3043" w:name="_Toc11138286"/>
      <w:bookmarkStart w:id="3044" w:name="_Toc11138704"/>
      <w:bookmarkStart w:id="3045" w:name="_Toc11139122"/>
      <w:bookmarkStart w:id="3046" w:name="_Toc11139540"/>
      <w:bookmarkStart w:id="3047" w:name="_Toc11139958"/>
      <w:bookmarkStart w:id="3048" w:name="_Toc11140376"/>
      <w:bookmarkStart w:id="3049" w:name="_Toc11390484"/>
      <w:bookmarkStart w:id="3050" w:name="_Toc11937681"/>
      <w:r>
        <w:t>Мелик-Гусейнов В.В.</w:t>
      </w:r>
      <w:bookmarkEnd w:id="3040"/>
      <w:bookmarkEnd w:id="3041"/>
      <w:bookmarkEnd w:id="3042"/>
      <w:bookmarkEnd w:id="3043"/>
      <w:bookmarkEnd w:id="3044"/>
      <w:bookmarkEnd w:id="3045"/>
      <w:bookmarkEnd w:id="3046"/>
      <w:bookmarkEnd w:id="3047"/>
      <w:bookmarkEnd w:id="3048"/>
      <w:bookmarkEnd w:id="3049"/>
      <w:bookmarkEnd w:id="3050"/>
    </w:p>
    <w:p w:rsidR="00F4654E" w:rsidRDefault="00F4654E">
      <w:pPr>
        <w:pStyle w:val="a5"/>
      </w:pPr>
      <w:r>
        <w:t>Пятигорская государственная фармацевтическая академия</w:t>
      </w:r>
    </w:p>
    <w:p w:rsidR="00F4654E" w:rsidRDefault="00F4654E">
      <w:pPr>
        <w:pStyle w:val="a6"/>
      </w:pPr>
      <w:r>
        <w:t>Объекты наших исследований – представители рода Papaver L. мак являющиеся эндемами, места их произрастания отмечаются в высокого</w:t>
      </w:r>
      <w:r>
        <w:t>р</w:t>
      </w:r>
      <w:r>
        <w:t>ных районах Северного Кавказа – 1500 м над уровнем моря и выше.</w:t>
      </w:r>
    </w:p>
    <w:p w:rsidR="00F4654E" w:rsidRDefault="00F4654E">
      <w:pPr>
        <w:pStyle w:val="a6"/>
      </w:pPr>
      <w:r>
        <w:t>Данные о химическом составе мака горного, произрастающего в н</w:t>
      </w:r>
      <w:r>
        <w:t>а</w:t>
      </w:r>
      <w:r>
        <w:t>шей стране, крайне ограничены. За рубежом имеются некоторые работы по изучению химического состава растения, культивируемого в ботанических садах Западной Европы, причем данные зарубежных ученых об  алкалои</w:t>
      </w:r>
      <w:r>
        <w:t>д</w:t>
      </w:r>
      <w:r>
        <w:t>ном составе мака горного не всегда согласуются с данными, полученными нами в настоящей работе. Объясняется это рядом причин, в том числе эк</w:t>
      </w:r>
      <w:r>
        <w:t>о</w:t>
      </w:r>
      <w:r>
        <w:lastRenderedPageBreak/>
        <w:t>логических, где условия внешней среды влияют на изменение качестве</w:t>
      </w:r>
      <w:r>
        <w:t>н</w:t>
      </w:r>
      <w:r>
        <w:t>ного и количественного состава алкалоидов культивируемых и дикораст</w:t>
      </w:r>
      <w:r>
        <w:t>у</w:t>
      </w:r>
      <w:r>
        <w:t>щих видов растений.</w:t>
      </w:r>
    </w:p>
    <w:p w:rsidR="00F4654E" w:rsidRDefault="00F4654E">
      <w:pPr>
        <w:pStyle w:val="a6"/>
      </w:pPr>
      <w:r>
        <w:t>Учитывая, что мак Лизы и мак горный содержат ряд ценных изохин</w:t>
      </w:r>
      <w:r>
        <w:t>о</w:t>
      </w:r>
      <w:r>
        <w:t>линовых алкалоидов, нами была изучена возможность введения этих ра</w:t>
      </w:r>
      <w:r>
        <w:t>с</w:t>
      </w:r>
      <w:r>
        <w:t xml:space="preserve">тений в культуру в условиях Северного Кавказа. </w:t>
      </w:r>
    </w:p>
    <w:p w:rsidR="00F4654E" w:rsidRDefault="00F4654E">
      <w:pPr>
        <w:pStyle w:val="a6"/>
      </w:pPr>
      <w:r>
        <w:t>Опыты по интродукции обоих видов мака были проведены на учас</w:t>
      </w:r>
      <w:r>
        <w:t>т</w:t>
      </w:r>
      <w:r>
        <w:t>ках Ботанического сада Пятигорской государственной фармацевтической академии. Посевы семян были сделаны весной и осенью, а отрезки корн</w:t>
      </w:r>
      <w:r>
        <w:t>е</w:t>
      </w:r>
      <w:r>
        <w:t>вищ высажены в октябре.</w:t>
      </w:r>
    </w:p>
    <w:p w:rsidR="00F4654E" w:rsidRDefault="00F4654E">
      <w:pPr>
        <w:pStyle w:val="a6"/>
      </w:pPr>
      <w:r>
        <w:t>В результате биологических и фенологических наблюдений было у</w:t>
      </w:r>
      <w:r>
        <w:t>с</w:t>
      </w:r>
      <w:r>
        <w:t>тановлено, что содержание алкалоидов в траве  и корнях дикорастущих видов обоих форм маков несколько ниже, чем у культивируемых и соста</w:t>
      </w:r>
      <w:r>
        <w:t>в</w:t>
      </w:r>
      <w:r>
        <w:t>ляет в указанные фазы у мака Лизы в траве 0,32%, в корневищах – 1,27%; у мака горного – 0,52% для травы и  0,24% - для    корней.</w:t>
      </w:r>
    </w:p>
    <w:p w:rsidR="00F4654E" w:rsidRDefault="00F4654E">
      <w:pPr>
        <w:pStyle w:val="a6"/>
      </w:pPr>
      <w:r>
        <w:t>Изучение динамики накопления отдельных алкалоидов в онтогенезе показало, что главными алкалоидами в траве и корневищах мака Лизы я</w:t>
      </w:r>
      <w:r>
        <w:t>в</w:t>
      </w:r>
      <w:r>
        <w:t>ляются оридин и мекамбридин. В фазу конец цветения в траве мака Лизы количество оридина составило 44,11%, мекамбридина – 38,33% (от общей суммы алкалоидов), для корневищ в фазу созревания семян – 65,97 и 27,74% соответственно. В траве и корнях  мака горного мажорными алк</w:t>
      </w:r>
      <w:r>
        <w:t>а</w:t>
      </w:r>
      <w:r>
        <w:t>лоидами являлись протопин и α-аллокриптопин, количество которых с</w:t>
      </w:r>
      <w:r>
        <w:t>о</w:t>
      </w:r>
      <w:r>
        <w:t>ставила 51-52% по отношению к сумме алкалоидов.</w:t>
      </w:r>
    </w:p>
    <w:p w:rsidR="00F4654E" w:rsidRDefault="00F4654E">
      <w:pPr>
        <w:pStyle w:val="a6"/>
      </w:pPr>
      <w:r>
        <w:t xml:space="preserve"> Значительное содержание алкалоида оридина в подземной части  как дикорастущего, так и культивируемого вида Papaver lisae N.Busch позв</w:t>
      </w:r>
      <w:r>
        <w:t>о</w:t>
      </w:r>
      <w:r>
        <w:t xml:space="preserve">лило провести фармакологическое изучения последнего. </w:t>
      </w:r>
    </w:p>
    <w:p w:rsidR="00F4654E" w:rsidRDefault="00F4654E">
      <w:pPr>
        <w:pStyle w:val="a6"/>
      </w:pPr>
      <w:r>
        <w:t>Опыты были поставлены в лаборатории противовоспалительных средств института тонкой органической химии им. А.Л.Мнджояна на б</w:t>
      </w:r>
      <w:r>
        <w:t>е</w:t>
      </w:r>
      <w:r>
        <w:t>лых беспородных крысах-самцах массой 100-150 г. Изучаемые вещества вводили внутрь в дозах 2,25,50 мг/кг. Антигиалуронидазную активность изучали вискозиметрическим аппаратом ВК-4. Гиалуроновую кислоту в</w:t>
      </w:r>
      <w:r>
        <w:t>ы</w:t>
      </w:r>
      <w:r>
        <w:t>деляли из пупочных канатиков новорожденных. Растворы фермента из</w:t>
      </w:r>
      <w:r>
        <w:t>у</w:t>
      </w:r>
      <w:r>
        <w:t>чаемых веществ готовили на ацетатном буфере с рН 6,0; фермент лидаза (гиалуронидаза) имел активность 20 ед/мл.</w:t>
      </w:r>
    </w:p>
    <w:p w:rsidR="00F4654E" w:rsidRDefault="00F4654E">
      <w:pPr>
        <w:pStyle w:val="a6"/>
      </w:pPr>
      <w:r>
        <w:t>К 0,2 мл фермента добавили 0,2 мл оридина гидрохлорида в развед</w:t>
      </w:r>
      <w:r>
        <w:t>е</w:t>
      </w:r>
      <w:r>
        <w:t>нии М.10</w:t>
      </w:r>
      <w:r>
        <w:rPr>
          <w:vertAlign w:val="superscript"/>
        </w:rPr>
        <w:t>-3</w:t>
      </w:r>
      <w:r>
        <w:t>, М.10</w:t>
      </w:r>
      <w:r>
        <w:rPr>
          <w:vertAlign w:val="superscript"/>
        </w:rPr>
        <w:t>-4</w:t>
      </w:r>
      <w:r>
        <w:t>, М.10</w:t>
      </w:r>
      <w:r>
        <w:rPr>
          <w:vertAlign w:val="superscript"/>
        </w:rPr>
        <w:t>-5</w:t>
      </w:r>
      <w:r>
        <w:t>, М.10</w:t>
      </w:r>
      <w:r>
        <w:rPr>
          <w:vertAlign w:val="superscript"/>
        </w:rPr>
        <w:t>-6</w:t>
      </w:r>
      <w:r>
        <w:t>, М.10</w:t>
      </w:r>
      <w:r>
        <w:rPr>
          <w:vertAlign w:val="superscript"/>
        </w:rPr>
        <w:t xml:space="preserve">-7 </w:t>
      </w:r>
      <w:r>
        <w:t>и ингибировали 60 мин при 37º С. Эту смесь инактивировали нагреванием при 60º С в течение 10 мин,   доб</w:t>
      </w:r>
      <w:r>
        <w:t>а</w:t>
      </w:r>
      <w:r>
        <w:t>вили 0,2 мл гиалуроновой кислоты. Изменение вязкости гиалуроновой к</w:t>
      </w:r>
      <w:r>
        <w:t>и</w:t>
      </w:r>
      <w:r>
        <w:t>слоты указывало на активизацию и ингибицию фермента. Измерение а</w:t>
      </w:r>
      <w:r>
        <w:t>к</w:t>
      </w:r>
      <w:r>
        <w:t>тивности фермента рассчитывали в процентах по отношению к вязкости контроля гиалуроновой кислоты без добавления оридина гидрохлорида.</w:t>
      </w:r>
    </w:p>
    <w:p w:rsidR="00F4654E" w:rsidRDefault="00F4654E">
      <w:pPr>
        <w:pStyle w:val="a6"/>
      </w:pPr>
      <w:r>
        <w:t>Противовоспалительные свойства оридина гидрохлорида изучали на моделях острого экссудативного воспаления, вызванного введением в п</w:t>
      </w:r>
      <w:r>
        <w:t>о</w:t>
      </w:r>
      <w:r>
        <w:lastRenderedPageBreak/>
        <w:t>дошву лапки крысы 0,1 мл флогогенного раздражителя – 1%-ного раствора каррагенина, 10%-ного раствора каолина или введением в плевральную полость 0,6%-ного раствора азотнокислого серебра.</w:t>
      </w:r>
    </w:p>
    <w:p w:rsidR="00F4654E" w:rsidRDefault="00F4654E">
      <w:pPr>
        <w:pStyle w:val="a6"/>
      </w:pPr>
      <w:r>
        <w:t>Полученные данные показали, что оридин гидрохлорид в дозах 5 и 25 мг/кг не оказывал противовоспалительного действия на каррагениновый и каолиновый отеки лапки крысы, но в дозе 50 мг/кг подавлял их на 20-25% (Р=0,05), подобно контрольному препарату бутадиону в той же дозе.</w:t>
      </w:r>
    </w:p>
    <w:p w:rsidR="00F4654E" w:rsidRDefault="00F4654E">
      <w:pPr>
        <w:pStyle w:val="a6"/>
      </w:pPr>
      <w:r>
        <w:t>Оридин гидрохлорид на экспериментальный плеврит в минимальных дозах действовал сильнее, чем аспирин и бутадион.</w:t>
      </w:r>
    </w:p>
    <w:p w:rsidR="00F4654E" w:rsidRDefault="00F4654E">
      <w:pPr>
        <w:pStyle w:val="a6"/>
      </w:pPr>
      <w:r>
        <w:t xml:space="preserve">Изучение острой токсичности на беспородных белых мышах обоего пола массой 16-20 г выявило незначительную токсичность, и максимально переносимая доза (МПД) этого вещества соответствовала 1650 мг/кг. </w:t>
      </w:r>
    </w:p>
    <w:p w:rsidR="00F4654E" w:rsidRDefault="00F4654E">
      <w:pPr>
        <w:pStyle w:val="a6"/>
      </w:pPr>
      <w:r>
        <w:t>Также было также установлено, что оридин гидрохлорид обладал  in vitro значительной антигиалуронидазной активностью, как в больших, так и в минимальных концентрациях.</w:t>
      </w:r>
    </w:p>
    <w:p w:rsidR="00F4654E" w:rsidRDefault="00F4654E">
      <w:pPr>
        <w:pStyle w:val="a6"/>
      </w:pPr>
      <w:r>
        <w:t>Таким образом, оридин гидрохлорид, выделенный из мака Лизы обл</w:t>
      </w:r>
      <w:r>
        <w:t>а</w:t>
      </w:r>
      <w:r>
        <w:t>дал выраженным противовоспалительным (противоотечным) действием при экспериментальном плеврите, а также антигиалуронидазной активн</w:t>
      </w:r>
      <w:r>
        <w:t>о</w:t>
      </w:r>
      <w:r>
        <w:t xml:space="preserve">стью при относительно невысокой токсичностью. </w:t>
      </w:r>
    </w:p>
    <w:p w:rsidR="00F4654E" w:rsidRDefault="00F4654E">
      <w:pPr>
        <w:pStyle w:val="a6"/>
      </w:pPr>
      <w:r>
        <w:t xml:space="preserve">Алкалоиды протопин и </w:t>
      </w:r>
      <w:r>
        <w:rPr>
          <w:i/>
        </w:rPr>
        <w:t>α</w:t>
      </w:r>
      <w:r>
        <w:t>-аллокриптопин, выделенные из мака горн</w:t>
      </w:r>
      <w:r>
        <w:t>о</w:t>
      </w:r>
      <w:r>
        <w:t>го, фармакологически были изучены ранее рядом исследователей (В. Пре-инингер и др.) в результате было установлено, что полученные основания оказывали влияние на сердечную деятельность – интенсивно расширяли коронарные сосуды. После внутреннего введения наблюдалось увеличение кровяного давления и значительная тенденция к развитию сердечной аритмии, вызываемой эпинефрином. Противоопухолевое действие алк</w:t>
      </w:r>
      <w:r>
        <w:t>а</w:t>
      </w:r>
      <w:r>
        <w:t xml:space="preserve">лоидов этой группы было изучено Б.Ю. Айренманом с сотрудниками. </w:t>
      </w:r>
    </w:p>
    <w:p w:rsidR="00F4654E" w:rsidRDefault="00F4654E">
      <w:pPr>
        <w:pStyle w:val="a6"/>
      </w:pPr>
      <w:r>
        <w:t>Таким образом, в результате проведенных нами биологических и х</w:t>
      </w:r>
      <w:r>
        <w:t>и</w:t>
      </w:r>
      <w:r>
        <w:t>мических исследований было установлено, что надземная и подземная ча</w:t>
      </w:r>
      <w:r>
        <w:t>с</w:t>
      </w:r>
      <w:r>
        <w:t xml:space="preserve">ти мака горного могут служить дополнительным сырьевым источником для получения алкалоидов протопина и </w:t>
      </w:r>
      <w:r>
        <w:rPr>
          <w:i/>
        </w:rPr>
        <w:t>α</w:t>
      </w:r>
      <w:r>
        <w:t>-аллокриптопина.</w:t>
      </w:r>
    </w:p>
    <w:p w:rsidR="00F4654E" w:rsidRDefault="00F4654E">
      <w:pPr>
        <w:pStyle w:val="a4"/>
      </w:pPr>
      <w:r>
        <w:t>УДК 615.322:582.739].015.4.07</w:t>
      </w:r>
    </w:p>
    <w:p w:rsidR="00F4654E" w:rsidRDefault="00F4654E">
      <w:pPr>
        <w:pStyle w:val="1"/>
      </w:pPr>
      <w:bookmarkStart w:id="3051" w:name="_Toc10731430"/>
      <w:bookmarkStart w:id="3052" w:name="_Toc11137865"/>
      <w:bookmarkStart w:id="3053" w:name="_Toc11138283"/>
      <w:bookmarkStart w:id="3054" w:name="_Toc11138701"/>
      <w:bookmarkStart w:id="3055" w:name="_Toc11139119"/>
      <w:bookmarkStart w:id="3056" w:name="_Toc11139537"/>
      <w:bookmarkStart w:id="3057" w:name="_Toc11139955"/>
      <w:bookmarkStart w:id="3058" w:name="_Toc11140373"/>
      <w:bookmarkStart w:id="3059" w:name="_Toc11390481"/>
      <w:bookmarkStart w:id="3060" w:name="_Toc11840168"/>
      <w:bookmarkStart w:id="3061" w:name="_Toc11937682"/>
      <w:r>
        <w:t>ЭСПАРЦЕТ ДОНСКОЙ – ИСТОЧНИК БИОЛОГИЧЕСКИ АКТИВНЫХ СОЕДИНЕНИЙ</w:t>
      </w:r>
      <w:bookmarkEnd w:id="3051"/>
      <w:bookmarkEnd w:id="3052"/>
      <w:bookmarkEnd w:id="3053"/>
      <w:bookmarkEnd w:id="3054"/>
      <w:bookmarkEnd w:id="3055"/>
      <w:bookmarkEnd w:id="3056"/>
      <w:bookmarkEnd w:id="3057"/>
      <w:bookmarkEnd w:id="3058"/>
      <w:bookmarkEnd w:id="3059"/>
      <w:bookmarkEnd w:id="3060"/>
      <w:bookmarkEnd w:id="3061"/>
    </w:p>
    <w:p w:rsidR="00F4654E" w:rsidRDefault="00F4654E">
      <w:pPr>
        <w:pStyle w:val="2"/>
      </w:pPr>
      <w:bookmarkStart w:id="3062" w:name="_Toc10731431"/>
      <w:bookmarkStart w:id="3063" w:name="_Toc11032295"/>
      <w:bookmarkStart w:id="3064" w:name="_Toc11137866"/>
      <w:bookmarkStart w:id="3065" w:name="_Toc11138284"/>
      <w:bookmarkStart w:id="3066" w:name="_Toc11138702"/>
      <w:bookmarkStart w:id="3067" w:name="_Toc11139120"/>
      <w:bookmarkStart w:id="3068" w:name="_Toc11139538"/>
      <w:bookmarkStart w:id="3069" w:name="_Toc11139956"/>
      <w:bookmarkStart w:id="3070" w:name="_Toc11140374"/>
      <w:bookmarkStart w:id="3071" w:name="_Toc11390482"/>
      <w:bookmarkStart w:id="3072" w:name="_Toc11937683"/>
      <w:r>
        <w:t>Мелик-Гусейнов В.В., Никулин А.В.*</w:t>
      </w:r>
      <w:bookmarkEnd w:id="3062"/>
      <w:bookmarkEnd w:id="3063"/>
      <w:bookmarkEnd w:id="3064"/>
      <w:bookmarkEnd w:id="3065"/>
      <w:bookmarkEnd w:id="3066"/>
      <w:bookmarkEnd w:id="3067"/>
      <w:bookmarkEnd w:id="3068"/>
      <w:bookmarkEnd w:id="3069"/>
      <w:bookmarkEnd w:id="3070"/>
      <w:bookmarkEnd w:id="3071"/>
      <w:bookmarkEnd w:id="3072"/>
    </w:p>
    <w:p w:rsidR="00F4654E" w:rsidRDefault="00F4654E">
      <w:pPr>
        <w:pStyle w:val="a5"/>
      </w:pPr>
      <w:r>
        <w:t xml:space="preserve">Пятигорская государственная фармацевтическая академия </w:t>
      </w:r>
      <w:r>
        <w:br/>
        <w:t>*Воронежский государственный аграрный университет им. К.Д. Глинки</w:t>
      </w:r>
    </w:p>
    <w:p w:rsidR="00F4654E" w:rsidRDefault="00F4654E">
      <w:pPr>
        <w:pStyle w:val="a6"/>
      </w:pPr>
      <w:r>
        <w:t>Из всех эспарцетов, произрастающих на территории страны, эспарцет донской – Onobrychis tanaitica Spreng. – имеет самый обширный ареал. З</w:t>
      </w:r>
      <w:r>
        <w:t>а</w:t>
      </w:r>
      <w:r>
        <w:t>частую э. донской является эдификатором ассоциаций, например, часто встречающийся вариант ковыльно-разнотравной ассоциации, так называ</w:t>
      </w:r>
      <w:r>
        <w:t>е</w:t>
      </w:r>
      <w:r>
        <w:lastRenderedPageBreak/>
        <w:t>мый «эспарцетовый вариант» (И.М.Культиасов, 1961). Э. донской – ксер</w:t>
      </w:r>
      <w:r>
        <w:t>о</w:t>
      </w:r>
      <w:r>
        <w:t>фитное, кормовое растение для всех видов сельскохозяйственных живо</w:t>
      </w:r>
      <w:r>
        <w:t>т</w:t>
      </w:r>
      <w:r>
        <w:t>ных, рекомендовано для скрещивания с другими видами эспарцетов, в ц</w:t>
      </w:r>
      <w:r>
        <w:t>е</w:t>
      </w:r>
      <w:r>
        <w:t>лях усиления засухоустойчивости гибридов.</w:t>
      </w:r>
    </w:p>
    <w:p w:rsidR="00F4654E" w:rsidRDefault="00F4654E">
      <w:pPr>
        <w:pStyle w:val="a6"/>
      </w:pPr>
      <w:r>
        <w:t>При обследовании флоры Северного Кавказа нами были установлены места произрастания эспарцета донского в Ставропольском крае – район  Кавказских Минеральных Вод, предгорье Джинальского хребта, верхней террасы поймы реки Подкумок, Бургустанский хребет, окрестности ст. Б</w:t>
      </w:r>
      <w:r>
        <w:t>е</w:t>
      </w:r>
      <w:r>
        <w:t>кешевской. В Кабардино-Балкарии – средние и верхние террасы пойм рек Малка и Баксан, окрестности сел Гунделен и Жанхотеко. В Северной Ос</w:t>
      </w:r>
      <w:r>
        <w:t>е</w:t>
      </w:r>
      <w:r>
        <w:t>тии – Дигорский район: окрестности г. Дигора и с. Николаевское; Ира</w:t>
      </w:r>
      <w:r>
        <w:t>ф</w:t>
      </w:r>
      <w:r>
        <w:t>ский район: окрестности с. Чикола, нижние террасы реки Урух.</w:t>
      </w:r>
    </w:p>
    <w:p w:rsidR="00F4654E" w:rsidRDefault="00F4654E">
      <w:pPr>
        <w:pStyle w:val="a6"/>
      </w:pPr>
      <w:r>
        <w:t xml:space="preserve"> Таким образом, было установлено, что э. донской имеет обширный ареал и широкую эколого-фитоценотическую амплитуду произрастания на Северном Кавказе. Для правильного сбора материала и обсуждения пол</w:t>
      </w:r>
      <w:r>
        <w:t>у</w:t>
      </w:r>
      <w:r>
        <w:t>ченных результатов по динамике накопления основных действующих в</w:t>
      </w:r>
      <w:r>
        <w:t>е</w:t>
      </w:r>
      <w:r>
        <w:t>ществ в эспарцете донском в 1996-1999 г.г. были проведены наблюдения за развитием растений в разных эколого-ценотичесих условиях в пределах ценоареала Предгорного района Ставропольского края, Кабардино-Бал-карии и Северной Осетии.</w:t>
      </w:r>
    </w:p>
    <w:p w:rsidR="00F4654E" w:rsidRDefault="00F4654E">
      <w:pPr>
        <w:pStyle w:val="a6"/>
      </w:pPr>
      <w:r>
        <w:t>Собранные в районе Джинальского хребта образцы растений исслед</w:t>
      </w:r>
      <w:r>
        <w:t>о</w:t>
      </w:r>
      <w:r>
        <w:t>вались в лаборатории с целью определения динамики накопления осно</w:t>
      </w:r>
      <w:r>
        <w:t>в</w:t>
      </w:r>
      <w:r>
        <w:t>ных биологически активных веществ (флавоноидов, тритерпеновых сап</w:t>
      </w:r>
      <w:r>
        <w:t>о</w:t>
      </w:r>
      <w:r>
        <w:t>нинов и др.) в зависимости от места обитания. Из травы растения была в</w:t>
      </w:r>
      <w:r>
        <w:t>ы</w:t>
      </w:r>
      <w:r>
        <w:t>делена сумма флавоноидов (7,3 %), дубильные вещества (1,2 %), тритерп</w:t>
      </w:r>
      <w:r>
        <w:t>е</w:t>
      </w:r>
      <w:r>
        <w:t>новые с</w:t>
      </w:r>
      <w:r>
        <w:t>о</w:t>
      </w:r>
      <w:r>
        <w:t>единения (1,9 %). По причине своей изученности флавоноидные соединения нами глубоко химически и фармакологически не исследов</w:t>
      </w:r>
      <w:r>
        <w:t>а</w:t>
      </w:r>
      <w:r>
        <w:t>лись. Тритерп</w:t>
      </w:r>
      <w:r>
        <w:t>е</w:t>
      </w:r>
      <w:r>
        <w:t>новые гликозиды были выделены этанольной экстракцией (65 % этанолом) по известной схеме выделения тритерпеновых сап</w:t>
      </w:r>
      <w:r>
        <w:t>о</w:t>
      </w:r>
      <w:r>
        <w:t>нинов.</w:t>
      </w:r>
    </w:p>
    <w:p w:rsidR="00F4654E" w:rsidRDefault="00F4654E">
      <w:pPr>
        <w:pStyle w:val="a6"/>
      </w:pPr>
      <w:r>
        <w:t xml:space="preserve"> С очищенной и высушенной суммой сапонинов, которая составила 3,8 г, были проведены исследования на животных с целью определения аналептической активности. Исследования проводились на белых крысах при внутрибрюшинном введении в дозе 100 мг/кг. Для оценки аналептич</w:t>
      </w:r>
      <w:r>
        <w:t>е</w:t>
      </w:r>
      <w:r>
        <w:t>ского действия была использована методика барбитурового сна. В качестве снотворного средства использовали  «Нембутал» в дозе 35 мг/кг животн</w:t>
      </w:r>
      <w:r>
        <w:t>о</w:t>
      </w:r>
      <w:r>
        <w:t>го. Рекомендуемый эталонный препарат «Кофеин-бензоат натрия» вводи в дозе 100 мг/кг. В результате  исследования было установлено, что выд</w:t>
      </w:r>
      <w:r>
        <w:t>е</w:t>
      </w:r>
      <w:r>
        <w:t>ленная сумма сапонинов из травы эспарцета донского оказывает выраже</w:t>
      </w:r>
      <w:r>
        <w:t>н</w:t>
      </w:r>
      <w:r>
        <w:t>ное аналептическое действие, превышающее действие эталонного преп</w:t>
      </w:r>
      <w:r>
        <w:t>а</w:t>
      </w:r>
      <w:r>
        <w:t>ратов в 1,8 раза.</w:t>
      </w:r>
    </w:p>
    <w:p w:rsidR="00F4654E" w:rsidRDefault="00F4654E">
      <w:pPr>
        <w:pStyle w:val="a6"/>
      </w:pPr>
      <w:r>
        <w:t>Гиполипидемическую активность суммы сапонинов в дозе 200 мг/кг изучали на белых крысах линии Вистар, у которых экспериментальная г</w:t>
      </w:r>
      <w:r>
        <w:t>и</w:t>
      </w:r>
      <w:r>
        <w:t>перлипидемия вызывалась внутрибрюшинным введением тринона WR-</w:t>
      </w:r>
      <w:r>
        <w:lastRenderedPageBreak/>
        <w:t xml:space="preserve">1339. Для сравнения гиполипидемического действия исследованной суммы сапонинов группе животных в тех же условиях вводился применяемый для лечения атеросклероза «Полиспонин». У всех животных исследовалась сыворотка крови на содержание триглицеридов и холестерина по методу Брегдана. </w:t>
      </w:r>
    </w:p>
    <w:p w:rsidR="00F4654E" w:rsidRDefault="00F4654E">
      <w:pPr>
        <w:pStyle w:val="a6"/>
      </w:pPr>
      <w:r>
        <w:t>Введение  животным суммы сапонинов приводило к значительному торможению развития гиперлипидемии, а именно в 2 раза по сравнению с препаратом «Полиспонином».</w:t>
      </w:r>
    </w:p>
    <w:p w:rsidR="00F4654E" w:rsidRDefault="00F4654E">
      <w:pPr>
        <w:pStyle w:val="a6"/>
      </w:pPr>
      <w:r>
        <w:t>Сравнительное изучение острой токсичности показала отсутствие токсического эффекта LD</w:t>
      </w:r>
      <w:r>
        <w:rPr>
          <w:vertAlign w:val="subscript"/>
        </w:rPr>
        <w:t>50</w:t>
      </w:r>
      <w:r>
        <w:t xml:space="preserve"> &gt; 5000.</w:t>
      </w:r>
    </w:p>
    <w:p w:rsidR="00F4654E" w:rsidRDefault="00F4654E">
      <w:pPr>
        <w:pStyle w:val="a6"/>
      </w:pPr>
      <w:r>
        <w:t>Таким образом, выделенная сумма тритерпеновых сапонинов из травы Onobrychis tanaitica Spreng.  65 %-ным раствором этанола обладала выр</w:t>
      </w:r>
      <w:r>
        <w:t>а</w:t>
      </w:r>
      <w:r>
        <w:t>женной гиполипидемической и аналептической активностью.</w:t>
      </w:r>
    </w:p>
    <w:p w:rsidR="00F4654E" w:rsidRDefault="00F4654E">
      <w:pPr>
        <w:pStyle w:val="a4"/>
      </w:pPr>
      <w:r>
        <w:t>УДК  615.322:582.739].015.4.07</w:t>
      </w:r>
    </w:p>
    <w:p w:rsidR="00F4654E" w:rsidRDefault="00F4654E">
      <w:pPr>
        <w:pStyle w:val="1"/>
      </w:pPr>
      <w:bookmarkStart w:id="3073" w:name="_Toc10731434"/>
      <w:bookmarkStart w:id="3074" w:name="_Toc11137869"/>
      <w:bookmarkStart w:id="3075" w:name="_Toc11138287"/>
      <w:bookmarkStart w:id="3076" w:name="_Toc11138705"/>
      <w:bookmarkStart w:id="3077" w:name="_Toc11139123"/>
      <w:bookmarkStart w:id="3078" w:name="_Toc11139541"/>
      <w:bookmarkStart w:id="3079" w:name="_Toc11139959"/>
      <w:bookmarkStart w:id="3080" w:name="_Toc11140377"/>
      <w:bookmarkStart w:id="3081" w:name="_Toc11390485"/>
      <w:bookmarkStart w:id="3082" w:name="_Toc11840170"/>
      <w:bookmarkStart w:id="3083" w:name="_Toc11937684"/>
      <w:r>
        <w:t>БИОЛОГИЧЕСКИ АКТИВНЫЕ СОЕДИНЕНИЯ СОФОРЫ ЯПОНСКОЙ (SOPHORA  JAPONICA L.), ИХ ИСПОЛЬЗОВАНИЕ, СТАНДАРТИЗАЦИЯ СЫРЬЯ</w:t>
      </w:r>
      <w:bookmarkEnd w:id="3073"/>
      <w:bookmarkEnd w:id="3074"/>
      <w:bookmarkEnd w:id="3075"/>
      <w:bookmarkEnd w:id="3076"/>
      <w:bookmarkEnd w:id="3077"/>
      <w:bookmarkEnd w:id="3078"/>
      <w:bookmarkEnd w:id="3079"/>
      <w:bookmarkEnd w:id="3080"/>
      <w:bookmarkEnd w:id="3081"/>
      <w:bookmarkEnd w:id="3082"/>
      <w:bookmarkEnd w:id="3083"/>
    </w:p>
    <w:p w:rsidR="00F4654E" w:rsidRDefault="00F4654E">
      <w:pPr>
        <w:pStyle w:val="2"/>
      </w:pPr>
      <w:bookmarkStart w:id="3084" w:name="_Toc10731435"/>
      <w:bookmarkStart w:id="3085" w:name="_Toc11032297"/>
      <w:bookmarkStart w:id="3086" w:name="_Toc11137870"/>
      <w:bookmarkStart w:id="3087" w:name="_Toc11138288"/>
      <w:bookmarkStart w:id="3088" w:name="_Toc11138706"/>
      <w:bookmarkStart w:id="3089" w:name="_Toc11139124"/>
      <w:bookmarkStart w:id="3090" w:name="_Toc11139542"/>
      <w:bookmarkStart w:id="3091" w:name="_Toc11139960"/>
      <w:bookmarkStart w:id="3092" w:name="_Toc11140378"/>
      <w:bookmarkStart w:id="3093" w:name="_Toc11390486"/>
      <w:bookmarkStart w:id="3094" w:name="_Toc11937685"/>
      <w:r>
        <w:t>Мелик-Гусейнов В.В.</w:t>
      </w:r>
      <w:bookmarkEnd w:id="3084"/>
      <w:bookmarkEnd w:id="3085"/>
      <w:bookmarkEnd w:id="3086"/>
      <w:bookmarkEnd w:id="3087"/>
      <w:bookmarkEnd w:id="3088"/>
      <w:bookmarkEnd w:id="3089"/>
      <w:bookmarkEnd w:id="3090"/>
      <w:bookmarkEnd w:id="3091"/>
      <w:bookmarkEnd w:id="3092"/>
      <w:bookmarkEnd w:id="3093"/>
      <w:bookmarkEnd w:id="3094"/>
    </w:p>
    <w:p w:rsidR="00F4654E" w:rsidRDefault="00F4654E">
      <w:pPr>
        <w:pStyle w:val="a5"/>
      </w:pPr>
      <w:r>
        <w:t>Пятигорская государственная фармацевтическая академия</w:t>
      </w:r>
    </w:p>
    <w:p w:rsidR="00F4654E" w:rsidRDefault="00F4654E">
      <w:pPr>
        <w:pStyle w:val="a6"/>
      </w:pPr>
      <w:r>
        <w:t>Род Sophora L. (сем. Бобовые – Fabaceae) насчитывает свыше 30 видов растений, распространенных по всему земному шару, многие из которых используются для получения различных фармацевтических и ветерина</w:t>
      </w:r>
      <w:r>
        <w:t>р</w:t>
      </w:r>
      <w:r>
        <w:t>ных препаратов (рутин, пахикарпин и др.). Софора японская – Sophora japonica L. отнесена к секции 1. Styphnolobium (Schott.) Yakovl. comb. nova., и представляет собой дерево до 15 м высотой. Родина растения – Япония и Китай. Разводится софора японская в странах Западной Европы, культивируется в России в южной ее части (Краснодарский, Ставропол</w:t>
      </w:r>
      <w:r>
        <w:t>ь</w:t>
      </w:r>
      <w:r>
        <w:t>ский края), а так же в Крыму, Молдавии, Закавказье и Средней Азии. Ра</w:t>
      </w:r>
      <w:r>
        <w:t>с</w:t>
      </w:r>
      <w:r>
        <w:t>тение выгодно отличается от других рутиносодержащих объектов своим высоким содержанием флавоноида как в цветках (бутонах)  (17 – 20 %), так и в плодах (до 10 %) и может служить дополнительным источником для получения субстанции рутина. Рутин является наиболее ценным сре</w:t>
      </w:r>
      <w:r>
        <w:t>д</w:t>
      </w:r>
      <w:r>
        <w:t>ством из группы веществ, известных под названием  витамина Р, наше</w:t>
      </w:r>
      <w:r>
        <w:t>д</w:t>
      </w:r>
      <w:r>
        <w:t>ших широкое применение в медицине и ветеринарии  при лечении ряда з</w:t>
      </w:r>
      <w:r>
        <w:t>а</w:t>
      </w:r>
      <w:r>
        <w:t>болеваний, сопровождающихся нарушением проницаемости сосудов, п</w:t>
      </w:r>
      <w:r>
        <w:t>о</w:t>
      </w:r>
      <w:r>
        <w:t>ражений капилляров, вызванных применением антикоагулянтов и салиц</w:t>
      </w:r>
      <w:r>
        <w:t>и</w:t>
      </w:r>
      <w:r>
        <w:t>латов, а также при гипертонической болезни, септическом эндокардите, лучевой болезни, плеврите, ревматизме, при геморрагическом диатезе.</w:t>
      </w:r>
    </w:p>
    <w:p w:rsidR="00F4654E" w:rsidRDefault="00F4654E">
      <w:pPr>
        <w:pStyle w:val="a6"/>
      </w:pPr>
      <w:r>
        <w:t>Согласно литературным данным эфирное и спиртовое извлечения с</w:t>
      </w:r>
      <w:r>
        <w:t>о</w:t>
      </w:r>
      <w:r>
        <w:t>форы японской обладают антимикробной  активностью в отношении зол</w:t>
      </w:r>
      <w:r>
        <w:t>о</w:t>
      </w:r>
      <w:r>
        <w:t xml:space="preserve">тистого стафилококка, кишечной и сенной палочек; сок из плодов обладает </w:t>
      </w:r>
      <w:r>
        <w:lastRenderedPageBreak/>
        <w:t>протистоцидной активностью в отношении глауком (почти мгновенно пр</w:t>
      </w:r>
      <w:r>
        <w:t>е</w:t>
      </w:r>
      <w:r>
        <w:t>кращает движения глауком).</w:t>
      </w:r>
    </w:p>
    <w:p w:rsidR="00F4654E" w:rsidRDefault="00F4654E">
      <w:pPr>
        <w:pStyle w:val="a6"/>
      </w:pPr>
      <w:r>
        <w:t>Раннее было установлено, что все выделенные классы природных с</w:t>
      </w:r>
      <w:r>
        <w:t>о</w:t>
      </w:r>
      <w:r>
        <w:t>единений из плодов софоры японской обуславливают биологическую а</w:t>
      </w:r>
      <w:r>
        <w:t>к</w:t>
      </w:r>
      <w:r>
        <w:t>тивность плодов, так, например, рутин, стимулирует гуморальный имму</w:t>
      </w:r>
      <w:r>
        <w:t>н</w:t>
      </w:r>
      <w:r>
        <w:t>ный ответ (ГИО) у животных; полисахаридный комплекс при внутрижел</w:t>
      </w:r>
      <w:r>
        <w:t>у</w:t>
      </w:r>
      <w:r>
        <w:t>дочном введении  также стимулирует ГИО, причем активность возрастает с увеличением кратности приема. При исследовании биологической акти</w:t>
      </w:r>
      <w:r>
        <w:t>в</w:t>
      </w:r>
      <w:r>
        <w:t>ности тритерпеновых сапонинов была установлена иммуностимулиру</w:t>
      </w:r>
      <w:r>
        <w:t>ю</w:t>
      </w:r>
      <w:r>
        <w:t xml:space="preserve">щая активность последних. </w:t>
      </w:r>
    </w:p>
    <w:p w:rsidR="00F4654E" w:rsidRDefault="00F4654E">
      <w:pPr>
        <w:pStyle w:val="a6"/>
      </w:pPr>
      <w:r>
        <w:t>Образцы плодов растения, собранные  в различные фазы вегетации в Ставропольском (в городах Пятигорск и Кисловодск),  Краснодарском краях (Ейский район) и в Крыму (в городах Керчь и Симферополь),  были исследованы нами на предмет содержания основных биологически акти</w:t>
      </w:r>
      <w:r>
        <w:t>в</w:t>
      </w:r>
      <w:r>
        <w:t>ных веществ. В плодах софоры японской обнаружены флавоноиды, пол</w:t>
      </w:r>
      <w:r>
        <w:t>и</w:t>
      </w:r>
      <w:r>
        <w:t>сахариды, тритерпеновые сапонины, дубильные вещества и незначител</w:t>
      </w:r>
      <w:r>
        <w:t>ь</w:t>
      </w:r>
      <w:r>
        <w:t>ные количества алкалоидов (следы). При изучении динамики накопления флавоноидов в зависимости от фазы вегетации и мест произрастания было установлено, что наибольшее количество их накапливалось в плодах  в ф</w:t>
      </w:r>
      <w:r>
        <w:t>а</w:t>
      </w:r>
      <w:r>
        <w:t>зу неполной зрелости от 5,3 до 5,7 % - для плодов, собранных в Ейске и Крыму, и 4,7 - 4,9 %  -  для Пятигорска и Кисловодска. Ввиду того, что в плодах софоры японской определенной фармакологической активностью обладает каждая из выделенных биологически активных групп, мы пре</w:t>
      </w:r>
      <w:r>
        <w:t>д</w:t>
      </w:r>
      <w:r>
        <w:t>ложили использовать в качестве лечебного сырья непосредственно нати</w:t>
      </w:r>
      <w:r>
        <w:t>в</w:t>
      </w:r>
      <w:r>
        <w:t>ные плоды с целью достижения максимального физиологического возде</w:t>
      </w:r>
      <w:r>
        <w:t>й</w:t>
      </w:r>
      <w:r>
        <w:t>ствия последних на организм животного и человека.</w:t>
      </w:r>
    </w:p>
    <w:p w:rsidR="00F4654E" w:rsidRDefault="00F4654E">
      <w:pPr>
        <w:pStyle w:val="a6"/>
      </w:pPr>
      <w:r>
        <w:t>При стандартизации лекарственного сырья были определены числ</w:t>
      </w:r>
      <w:r>
        <w:t>о</w:t>
      </w:r>
      <w:r>
        <w:t>вые показатели: фазу зрелости фиксировали визуально, сопоставляя окр</w:t>
      </w:r>
      <w:r>
        <w:t>а</w:t>
      </w:r>
      <w:r>
        <w:t>ску плодов и степень потемнения семян с фармакопейными; влажность плодов 11 % – (по ТУ не более 14,0 %); содержание общей золы 2,3 % – (по ТУ не более 3,0 %); содержание золы, не растворимой в 10 %-ном ра</w:t>
      </w:r>
      <w:r>
        <w:t>с</w:t>
      </w:r>
      <w:r>
        <w:t>творе HCl – 0,6 % - (по ТУ не более 1,0 %);  содержание органических примесей 0,3 % – (по ТУ не более 0,5 %); содержание минеральной прим</w:t>
      </w:r>
      <w:r>
        <w:t>е</w:t>
      </w:r>
      <w:r>
        <w:t>си 0,6 % – (по ТУ не более 1,0 %); массовая доля экстрактивных веществ 12,5 % – (по ТУ не менее 10 %.</w:t>
      </w:r>
    </w:p>
    <w:p w:rsidR="00F4654E" w:rsidRDefault="00F4654E">
      <w:pPr>
        <w:pStyle w:val="a6"/>
      </w:pPr>
      <w:r>
        <w:t xml:space="preserve"> Содержание токсичных элементов: свинца  0,8 мг/кг – (по ТУ не б</w:t>
      </w:r>
      <w:r>
        <w:t>о</w:t>
      </w:r>
      <w:r>
        <w:t>лее 6,0 мг/кг); мышьяка 0,1 мг/кг – (по ТУ не более 0,5 мг/кг); кадмия 0,2 мг/кг – (по ТУ не более 1,0 мг/кг); ртути 0,02 мг/кг).</w:t>
      </w:r>
    </w:p>
    <w:p w:rsidR="00F4654E" w:rsidRDefault="00F4654E">
      <w:pPr>
        <w:pStyle w:val="a6"/>
      </w:pPr>
      <w:r>
        <w:t>Содержание пестицидов: ГХЦГ (сумма изомеров) 0,02 мг/кг – (по ТУ не более 0,1 мг/кг); ДДТ (и его метаболиты) 0,02 мг/кг – (по ТУ не более 0,1 мг/кг); отсутствовали гептахлор и алдрин.</w:t>
      </w:r>
    </w:p>
    <w:p w:rsidR="00F4654E" w:rsidRDefault="00F4654E">
      <w:pPr>
        <w:pStyle w:val="a6"/>
      </w:pPr>
      <w:r>
        <w:lastRenderedPageBreak/>
        <w:t>Радиологические показатели плодов софоры, отвечали требованиям нормативного документа: цезия-137 – не более 200 Бк/кг; стронция-90 – не более100 Бк/кг.</w:t>
      </w:r>
    </w:p>
    <w:p w:rsidR="00F4654E" w:rsidRDefault="00F4654E">
      <w:pPr>
        <w:pStyle w:val="a6"/>
      </w:pPr>
      <w:r>
        <w:t>Санитарно-микробиологические показатели соответствовали  треб</w:t>
      </w:r>
      <w:r>
        <w:t>о</w:t>
      </w:r>
      <w:r>
        <w:t>ваниям нормативного документа: КМАФАнМ, КОЕ/г – не  более 5</w:t>
      </w:r>
      <w:r>
        <w:rPr>
          <w:sz w:val="16"/>
        </w:rPr>
        <w:t>х</w:t>
      </w:r>
      <w:r>
        <w:t>10</w:t>
      </w:r>
      <w:r>
        <w:rPr>
          <w:vertAlign w:val="superscript"/>
        </w:rPr>
        <w:t>5</w:t>
      </w:r>
      <w:r>
        <w:t xml:space="preserve">; в пробах полностью отсутствовали БГКП (коли-формы) в 0,01 г,  Е.coli в 0,1 г,  патогенные микроорганизмы, в т.ч. сальмонеллы в 10 г;  дрожжей, КОЕ/г – не более 200; плесени, КОЕ/г – не более 200. </w:t>
      </w:r>
    </w:p>
    <w:p w:rsidR="00F4654E" w:rsidRDefault="00F4654E">
      <w:pPr>
        <w:pStyle w:val="a6"/>
      </w:pPr>
      <w:r>
        <w:t>Полученные результаты позволяют рассчитывать на использование плодов софоры, как рутиносодержащего сырья, в животноводстве, и леч</w:t>
      </w:r>
      <w:r>
        <w:t>е</w:t>
      </w:r>
      <w:r>
        <w:t>ния молодняка.</w:t>
      </w:r>
    </w:p>
    <w:p w:rsidR="00F4654E" w:rsidRDefault="00F4654E">
      <w:pPr>
        <w:pStyle w:val="a4"/>
      </w:pPr>
      <w:r>
        <w:t>УДК 615.233:547.943.07].015.4</w:t>
      </w:r>
    </w:p>
    <w:p w:rsidR="00F4654E" w:rsidRDefault="00F4654E">
      <w:pPr>
        <w:pStyle w:val="1"/>
      </w:pPr>
      <w:bookmarkStart w:id="3095" w:name="_Toc10731436"/>
      <w:bookmarkStart w:id="3096" w:name="_Toc11137871"/>
      <w:bookmarkStart w:id="3097" w:name="_Toc11138289"/>
      <w:bookmarkStart w:id="3098" w:name="_Toc11138707"/>
      <w:bookmarkStart w:id="3099" w:name="_Toc11139125"/>
      <w:bookmarkStart w:id="3100" w:name="_Toc11139543"/>
      <w:bookmarkStart w:id="3101" w:name="_Toc11139961"/>
      <w:bookmarkStart w:id="3102" w:name="_Toc11140379"/>
      <w:bookmarkStart w:id="3103" w:name="_Toc11390487"/>
      <w:bookmarkStart w:id="3104" w:name="_Toc11840172"/>
      <w:bookmarkStart w:id="3105" w:name="_Toc11937686"/>
      <w:r>
        <w:t>ИССЛЕДОВАНИЕ ПРОИЗВОДНЫХ АЛКАЛОИДА ГЛАУЦИНА</w:t>
      </w:r>
      <w:bookmarkEnd w:id="3095"/>
      <w:bookmarkEnd w:id="3096"/>
      <w:bookmarkEnd w:id="3097"/>
      <w:bookmarkEnd w:id="3098"/>
      <w:bookmarkEnd w:id="3099"/>
      <w:bookmarkEnd w:id="3100"/>
      <w:bookmarkEnd w:id="3101"/>
      <w:bookmarkEnd w:id="3102"/>
      <w:bookmarkEnd w:id="3103"/>
      <w:bookmarkEnd w:id="3104"/>
      <w:bookmarkEnd w:id="3105"/>
    </w:p>
    <w:p w:rsidR="00F4654E" w:rsidRDefault="00F4654E">
      <w:pPr>
        <w:pStyle w:val="2"/>
      </w:pPr>
      <w:bookmarkStart w:id="3106" w:name="_Toc10731437"/>
      <w:bookmarkStart w:id="3107" w:name="_Toc11032298"/>
      <w:bookmarkStart w:id="3108" w:name="_Toc11137872"/>
      <w:bookmarkStart w:id="3109" w:name="_Toc11138290"/>
      <w:bookmarkStart w:id="3110" w:name="_Toc11138708"/>
      <w:bookmarkStart w:id="3111" w:name="_Toc11139126"/>
      <w:bookmarkStart w:id="3112" w:name="_Toc11139544"/>
      <w:bookmarkStart w:id="3113" w:name="_Toc11139962"/>
      <w:bookmarkStart w:id="3114" w:name="_Toc11140380"/>
      <w:bookmarkStart w:id="3115" w:name="_Toc11390488"/>
      <w:bookmarkStart w:id="3116" w:name="_Toc11937687"/>
      <w:r>
        <w:t>Мелик-Гусейнов В.В.</w:t>
      </w:r>
      <w:bookmarkEnd w:id="3106"/>
      <w:bookmarkEnd w:id="3107"/>
      <w:bookmarkEnd w:id="3108"/>
      <w:bookmarkEnd w:id="3109"/>
      <w:bookmarkEnd w:id="3110"/>
      <w:bookmarkEnd w:id="3111"/>
      <w:bookmarkEnd w:id="3112"/>
      <w:bookmarkEnd w:id="3113"/>
      <w:bookmarkEnd w:id="3114"/>
      <w:bookmarkEnd w:id="3115"/>
      <w:bookmarkEnd w:id="3116"/>
    </w:p>
    <w:p w:rsidR="00F4654E" w:rsidRDefault="00F4654E">
      <w:pPr>
        <w:pStyle w:val="a5"/>
      </w:pPr>
      <w:r>
        <w:t>Пятигорская государственная фармацевтическая академия</w:t>
      </w:r>
    </w:p>
    <w:p w:rsidR="00F4654E" w:rsidRDefault="00F4654E">
      <w:pPr>
        <w:pStyle w:val="a6"/>
      </w:pPr>
      <w:r>
        <w:t>На территории России мачок желтый – Glaucium flavum Crantz. сем. маковых – Papaveraceae  дико встречается на Черноморском побережье Кавказа (окрестности Геленджика, Новороссийска, Кабардинки,  Лесели</w:t>
      </w:r>
      <w:r>
        <w:t>д</w:t>
      </w:r>
      <w:r>
        <w:t>зе, Адлера). Из травы растения выделен алкалоид глауцин, хлористовод</w:t>
      </w:r>
      <w:r>
        <w:t>о</w:t>
      </w:r>
      <w:r>
        <w:t xml:space="preserve">родная соль которого используется в медицинской практике в качестве противокашлевого средства. </w:t>
      </w:r>
    </w:p>
    <w:p w:rsidR="00F4654E" w:rsidRDefault="00F4654E">
      <w:pPr>
        <w:pStyle w:val="a6"/>
        <w:rPr>
          <w:i/>
        </w:rPr>
      </w:pPr>
      <w:r>
        <w:t>Глауцин гидрохлорид, помимо основного противокашлевого дейс</w:t>
      </w:r>
      <w:r>
        <w:t>т</w:t>
      </w:r>
      <w:r>
        <w:t>вия, оказывает и ряд побочных: снижает кровяное давление, вызывает г</w:t>
      </w:r>
      <w:r>
        <w:t>о</w:t>
      </w:r>
      <w:r>
        <w:t>ловокружение и пр. В этой связи нами предпринята попытка получения новых биологически активных веществ из субстанции глауцина гидрохл</w:t>
      </w:r>
      <w:r>
        <w:t>о</w:t>
      </w:r>
      <w:r>
        <w:t>рида и отходов его производства.</w:t>
      </w:r>
    </w:p>
    <w:p w:rsidR="00F4654E" w:rsidRDefault="00F4654E">
      <w:pPr>
        <w:pStyle w:val="a6"/>
      </w:pPr>
      <w:r>
        <w:t xml:space="preserve">В результате проведенных исследований из отходов производства глауцина гидрохлорида выделен ряд изохинолиновых алкалоидов, изучены и определены их основные физико-химические параметры. </w:t>
      </w:r>
    </w:p>
    <w:p w:rsidR="00F4654E" w:rsidRDefault="00F4654E">
      <w:pPr>
        <w:pStyle w:val="a6"/>
      </w:pPr>
      <w:r>
        <w:t>В ходе исследований отработана методика извлечения сумм фенол</w:t>
      </w:r>
      <w:r>
        <w:t>ь</w:t>
      </w:r>
      <w:r>
        <w:t>ных и нефенольных изохинолиновых оснований, их разделение на индив</w:t>
      </w:r>
      <w:r>
        <w:t>и</w:t>
      </w:r>
      <w:r>
        <w:t>дуальные.  В шроте мачка желтого после бензиновой экстракции идент</w:t>
      </w:r>
      <w:r>
        <w:t>и</w:t>
      </w:r>
      <w:r>
        <w:t>фицированы алкалоиды: протопин, α-аллокриптопин, изокоридин, кор</w:t>
      </w:r>
      <w:r>
        <w:t>и</w:t>
      </w:r>
      <w:r>
        <w:t>дин, глауцин; доказано присутствие четвертичных оснований, таких как хеледонин, смесь сангвинарина и хелеритрина. В бензиновом отходе пр</w:t>
      </w:r>
      <w:r>
        <w:t>о</w:t>
      </w:r>
      <w:r>
        <w:t>изводства глауцина гидрохлорида определены такие алкалоиды как гла</w:t>
      </w:r>
      <w:r>
        <w:t>у</w:t>
      </w:r>
      <w:r>
        <w:t>цин, протопин и α-аллокриптопин.</w:t>
      </w:r>
    </w:p>
    <w:p w:rsidR="00F4654E" w:rsidRDefault="00F4654E">
      <w:pPr>
        <w:pStyle w:val="a6"/>
      </w:pPr>
      <w:r>
        <w:t>Выделенный из отходов производства и очищенный хроматографич</w:t>
      </w:r>
      <w:r>
        <w:t>е</w:t>
      </w:r>
      <w:r>
        <w:t xml:space="preserve">ски глауцин, был использован для получения новых полусинтетических веществ. </w:t>
      </w:r>
    </w:p>
    <w:p w:rsidR="00F4654E" w:rsidRDefault="00F4654E">
      <w:pPr>
        <w:pStyle w:val="a6"/>
      </w:pPr>
      <w:r>
        <w:lastRenderedPageBreak/>
        <w:t>В результате проведенного полусинтеза было получено 5 соединений (солей) производных глауцина, три из которых проявили выраженную биологическую активность (вещества 2, 4 и 5):</w:t>
      </w:r>
      <w:r>
        <w:rPr>
          <w:b/>
        </w:rPr>
        <w:t xml:space="preserve"> </w:t>
      </w:r>
      <w:r>
        <w:t>вещество</w:t>
      </w:r>
      <w:r>
        <w:rPr>
          <w:b/>
        </w:rPr>
        <w:t xml:space="preserve"> </w:t>
      </w:r>
      <w:r>
        <w:t>2 – хлорид N-(2-гидроксиэтил) глауцина,</w:t>
      </w:r>
      <w:r>
        <w:rPr>
          <w:b/>
        </w:rPr>
        <w:t xml:space="preserve"> </w:t>
      </w:r>
      <w:r>
        <w:t>вещество 4 – дигидрофосфат N-(4-нитофенацил) глауцина,</w:t>
      </w:r>
      <w:r>
        <w:rPr>
          <w:b/>
        </w:rPr>
        <w:t xml:space="preserve"> </w:t>
      </w:r>
      <w:r>
        <w:t>вещество 5 – гидросульфат N-ацетилглауцина.</w:t>
      </w:r>
    </w:p>
    <w:p w:rsidR="00F4654E" w:rsidRDefault="00F4654E">
      <w:pPr>
        <w:pStyle w:val="a6"/>
      </w:pPr>
      <w:r>
        <w:t>С полученными соединениями проводились исследования эффекта влияния их на уровень артериального давления, время свертывания крови, продолжительности нембуталового сна.</w:t>
      </w:r>
    </w:p>
    <w:p w:rsidR="00F4654E" w:rsidRDefault="00F4654E">
      <w:pPr>
        <w:pStyle w:val="a6"/>
      </w:pPr>
      <w:r>
        <w:t>Опыты проводились на белых крысах массой 200-240 г. Системное артериальное давление регистрировали в течение  одного часа в левой сонной артерии у наркотизированных крыс с помощью датчиков артер</w:t>
      </w:r>
      <w:r>
        <w:t>и</w:t>
      </w:r>
      <w:r>
        <w:t>ального давления. Время свертывания крови изучали с помощью коагул</w:t>
      </w:r>
      <w:r>
        <w:t>о</w:t>
      </w:r>
      <w:r>
        <w:t xml:space="preserve">графа Н-331, кровь для этой процедуры брали из подъязычной вены у бодрствующих крыс-самцов. </w:t>
      </w:r>
    </w:p>
    <w:p w:rsidR="00F4654E" w:rsidRDefault="00F4654E">
      <w:pPr>
        <w:pStyle w:val="a6"/>
      </w:pPr>
      <w:r>
        <w:t>Нембуталовый сон вызывали с помощью внутрибрюшинного введ</w:t>
      </w:r>
      <w:r>
        <w:t>е</w:t>
      </w:r>
      <w:r>
        <w:t>ния этаминала натрия в дозе 25 мг/кг. В качестве эталонных препаратов исследовали папаверина гидрохлорид (10 мг/кг), апрессин (1 мг/кг), геп</w:t>
      </w:r>
      <w:r>
        <w:t>а</w:t>
      </w:r>
      <w:r>
        <w:t>рин (100 ед/кг), викасол (10 мг/кг), аминазин  (5 мг/кг), кофеин бензоат н</w:t>
      </w:r>
      <w:r>
        <w:t>а</w:t>
      </w:r>
      <w:r>
        <w:t xml:space="preserve">трия (10 мг/кг). Все вновь полученные соединения в дозе 10 мг/кг, а также препараты сравнения вводили внутрибрюшинно в подогретом виде. </w:t>
      </w:r>
    </w:p>
    <w:p w:rsidR="00F4654E" w:rsidRDefault="00F4654E">
      <w:pPr>
        <w:pStyle w:val="a6"/>
      </w:pPr>
      <w:r>
        <w:t>Результаты проведенных экспериментов показали, что полусинтет</w:t>
      </w:r>
      <w:r>
        <w:t>и</w:t>
      </w:r>
      <w:r>
        <w:t>ческие продукты глауцина оказывают влияние на уровень системного а</w:t>
      </w:r>
      <w:r>
        <w:t>р</w:t>
      </w:r>
      <w:r>
        <w:t>териального давления и нембуталовый сон. Вещества 2 и 5  достоверно снижали артериальное давление у крыс и были активнее препаратов сра</w:t>
      </w:r>
      <w:r>
        <w:t>в</w:t>
      </w:r>
      <w:r>
        <w:t>нения апрессина и папаверина. Вещества 4 и 5 значительно укорачивали нембуталовый сон (оказывали аналептический эффект); это действие и</w:t>
      </w:r>
      <w:r>
        <w:t>с</w:t>
      </w:r>
      <w:r>
        <w:t>следуемых соединений также достоверно отличалось от эталона – кофеин бензоата натрия.</w:t>
      </w:r>
    </w:p>
    <w:p w:rsidR="00F4654E" w:rsidRDefault="00F4654E">
      <w:pPr>
        <w:pStyle w:val="a6"/>
      </w:pPr>
      <w:r>
        <w:t>В дальнейшем было исследовано влияние вновь полученных полуси</w:t>
      </w:r>
      <w:r>
        <w:t>н</w:t>
      </w:r>
      <w:r>
        <w:t>тетических производных глауцина на устойчивость белых мышей к гипо</w:t>
      </w:r>
      <w:r>
        <w:t>к</w:t>
      </w:r>
      <w:r>
        <w:t>сической гипоксии.</w:t>
      </w:r>
    </w:p>
    <w:p w:rsidR="00F4654E" w:rsidRDefault="00F4654E">
      <w:pPr>
        <w:pStyle w:val="a6"/>
      </w:pPr>
      <w:r>
        <w:t>Опыты были проведены на 48 белых мышах-самцах весом 24-25 г. Всего проведено восемь серий опытов, из них  шесть опытных, одна ко</w:t>
      </w:r>
      <w:r>
        <w:t>н</w:t>
      </w:r>
      <w:r>
        <w:t>трольная и одна стандартная. Гипоксическую гипоксию воспроизводили следующим образом: белую мышь помещали в герметически закрытое пространство и регистрировали продолжительность пребывания в нем до агонального дыхания. В качестве стандартного препарата использовали официнальный препарат пирацетам в дозе 100 мг/кг массы тела, в ко</w:t>
      </w:r>
      <w:r>
        <w:t>н</w:t>
      </w:r>
      <w:r>
        <w:t>трольной серии опытов вводили 1 мг физиологического раствора. Шесть новых веществ в дозе 100 мг/кг, пирацетам и физиологический раствор вводили внутрибрюшинно в течение трех дней один раз в день. Экспер</w:t>
      </w:r>
      <w:r>
        <w:t>и</w:t>
      </w:r>
      <w:r>
        <w:t>мент начинали через 90 минут после последней инъекции.</w:t>
      </w:r>
    </w:p>
    <w:p w:rsidR="00F4654E" w:rsidRDefault="00F4654E">
      <w:pPr>
        <w:pStyle w:val="a6"/>
      </w:pPr>
      <w:r>
        <w:lastRenderedPageBreak/>
        <w:t>Результаты проведенных экспериментов показали, что стандартный препарат – пирацетам увеличивает продолжительность жизни животных на 28% в среднем, по сравнению с контролем. Полученные полусинтетич</w:t>
      </w:r>
      <w:r>
        <w:t>е</w:t>
      </w:r>
      <w:r>
        <w:t>ские производные глауцина также оказывают антигипоксический эффект при данном виде экспериментальной модели, однако их влияние достове</w:t>
      </w:r>
      <w:r>
        <w:t>р</w:t>
      </w:r>
      <w:r>
        <w:t>но не отличается от результата, полученного в стандартной серии опытов. Наиболее активным соединением оказалось вещество 5.</w:t>
      </w:r>
    </w:p>
    <w:p w:rsidR="00F4654E" w:rsidRDefault="00F4654E">
      <w:pPr>
        <w:pStyle w:val="a6"/>
      </w:pPr>
      <w:r>
        <w:t>Таким образов, полученные три полусинтетических продукта мачка желтого представляет интерес для дальнейшего фармакологического и</w:t>
      </w:r>
      <w:r>
        <w:t>с</w:t>
      </w:r>
      <w:r>
        <w:t>следования.</w:t>
      </w:r>
    </w:p>
    <w:p w:rsidR="00F4654E" w:rsidRDefault="00F4654E">
      <w:pPr>
        <w:pStyle w:val="a4"/>
      </w:pPr>
      <w:r>
        <w:t>УДК 619:615.37:636.5</w:t>
      </w:r>
    </w:p>
    <w:p w:rsidR="00F4654E" w:rsidRDefault="00F4654E">
      <w:pPr>
        <w:pStyle w:val="1"/>
        <w:ind w:right="-41"/>
      </w:pPr>
      <w:bookmarkStart w:id="3117" w:name="_Toc10731400"/>
      <w:bookmarkStart w:id="3118" w:name="_Toc11137833"/>
      <w:bookmarkStart w:id="3119" w:name="_Toc11138251"/>
      <w:bookmarkStart w:id="3120" w:name="_Toc11138669"/>
      <w:bookmarkStart w:id="3121" w:name="_Toc11139087"/>
      <w:bookmarkStart w:id="3122" w:name="_Toc11139505"/>
      <w:bookmarkStart w:id="3123" w:name="_Toc11139923"/>
      <w:bookmarkStart w:id="3124" w:name="_Toc11140341"/>
      <w:bookmarkStart w:id="3125" w:name="_Toc11390451"/>
      <w:bookmarkStart w:id="3126" w:name="_Toc11840138"/>
      <w:bookmarkStart w:id="3127" w:name="_Toc11937688"/>
      <w:r>
        <w:t>ИММУНОБИОЛОГИЧЕСКИЙ СТАТУС ЦЫПЛЯТ В НОРМЕ И ПРИ ИСПОЛЬЗОВАНИИ ПОЛИРИБОНАТА И ФОСПРЕНИЛА</w:t>
      </w:r>
      <w:bookmarkEnd w:id="3117"/>
      <w:bookmarkEnd w:id="3118"/>
      <w:bookmarkEnd w:id="3119"/>
      <w:bookmarkEnd w:id="3120"/>
      <w:bookmarkEnd w:id="3121"/>
      <w:bookmarkEnd w:id="3122"/>
      <w:bookmarkEnd w:id="3123"/>
      <w:bookmarkEnd w:id="3124"/>
      <w:bookmarkEnd w:id="3125"/>
      <w:bookmarkEnd w:id="3126"/>
      <w:bookmarkEnd w:id="3127"/>
    </w:p>
    <w:p w:rsidR="00F4654E" w:rsidRDefault="00F4654E">
      <w:pPr>
        <w:pStyle w:val="2"/>
        <w:ind w:right="-41"/>
      </w:pPr>
      <w:bookmarkStart w:id="3128" w:name="_Toc10731401"/>
      <w:bookmarkStart w:id="3129" w:name="_Toc11032279"/>
      <w:bookmarkStart w:id="3130" w:name="_Toc11137834"/>
      <w:bookmarkStart w:id="3131" w:name="_Toc11138252"/>
      <w:bookmarkStart w:id="3132" w:name="_Toc11138670"/>
      <w:bookmarkStart w:id="3133" w:name="_Toc11139088"/>
      <w:bookmarkStart w:id="3134" w:name="_Toc11139506"/>
      <w:bookmarkStart w:id="3135" w:name="_Toc11139924"/>
      <w:bookmarkStart w:id="3136" w:name="_Toc11140342"/>
      <w:bookmarkStart w:id="3137" w:name="_Toc11390452"/>
      <w:bookmarkStart w:id="3138" w:name="_Toc11937689"/>
      <w:r>
        <w:t>Мельникова Н.В.</w:t>
      </w:r>
      <w:bookmarkEnd w:id="3128"/>
      <w:bookmarkEnd w:id="3129"/>
      <w:bookmarkEnd w:id="3130"/>
      <w:bookmarkEnd w:id="3131"/>
      <w:bookmarkEnd w:id="3132"/>
      <w:bookmarkEnd w:id="3133"/>
      <w:bookmarkEnd w:id="3134"/>
      <w:bookmarkEnd w:id="3135"/>
      <w:bookmarkEnd w:id="3136"/>
      <w:bookmarkEnd w:id="3137"/>
      <w:bookmarkEnd w:id="3138"/>
    </w:p>
    <w:p w:rsidR="00F4654E" w:rsidRDefault="00F4654E">
      <w:pPr>
        <w:pStyle w:val="a5"/>
      </w:pPr>
      <w:r>
        <w:t>Воронежский государственный аграрный университет им. К.Д. Глинки</w:t>
      </w:r>
    </w:p>
    <w:p w:rsidR="00F4654E" w:rsidRDefault="00F4654E">
      <w:pPr>
        <w:pStyle w:val="a6"/>
      </w:pPr>
      <w:r>
        <w:t>В современном животноводстве как нашей страны, так и за рубежом ветеринарные специалисты проводят комплекс мероприятий, направле</w:t>
      </w:r>
      <w:r>
        <w:t>н</w:t>
      </w:r>
      <w:r>
        <w:t>ных на сохранение здоровья животных и повышение их продуктивности. Поэтому встает задача изыскания и применения препаратов иммуностим</w:t>
      </w:r>
      <w:r>
        <w:t>у</w:t>
      </w:r>
      <w:r>
        <w:t>лирующего действия, которые бы активизировали неспецифическую рез</w:t>
      </w:r>
      <w:r>
        <w:t>и</w:t>
      </w:r>
      <w:r>
        <w:t>стентность и разные компоненты иммунного ответа, что дало бы возмо</w:t>
      </w:r>
      <w:r>
        <w:t>ж</w:t>
      </w:r>
      <w:r>
        <w:t>ность организму активно противостоять любым агентам, несущим призн</w:t>
      </w:r>
      <w:r>
        <w:t>а</w:t>
      </w:r>
      <w:r>
        <w:t>ки генетически чужеродной информации.</w:t>
      </w:r>
    </w:p>
    <w:p w:rsidR="00F4654E" w:rsidRDefault="00F4654E">
      <w:pPr>
        <w:pStyle w:val="a6"/>
      </w:pPr>
      <w:r>
        <w:t>Нами в эксперименте испытывались новые препараты - полирибонат и фоспренил на уровень биохимических показателей в сыворотке крови ц</w:t>
      </w:r>
      <w:r>
        <w:t>ы</w:t>
      </w:r>
      <w:r>
        <w:t xml:space="preserve">плят месячного возраста. Полирибонат является натриевой солью высоко-полимерной рибонуклеиновой кислотой. Фоспренил является продуктом фосфорилирования полипренолов, выделенных из экологически чистой хвои сосны. </w:t>
      </w:r>
    </w:p>
    <w:p w:rsidR="00F4654E" w:rsidRDefault="00F4654E">
      <w:pPr>
        <w:pStyle w:val="a6"/>
      </w:pPr>
      <w:r>
        <w:t>При проведении экспериментов формировались три группы цыплят месячного возраста. Цыплята всех групп были вакцинированы против б</w:t>
      </w:r>
      <w:r>
        <w:t>о</w:t>
      </w:r>
      <w:r>
        <w:t>лезни Нъюкасла. За трое суток до вакцинации цыплятам – 1-ой опытной группы введен препарат фоспренил per os в дозе 0,2 мл/гол. Цыплятам 2-ой опытной группы вводили полирибонат из расчета 1 мг/кг массы. В ко</w:t>
      </w:r>
      <w:r>
        <w:t>н</w:t>
      </w:r>
      <w:r>
        <w:t>трольной группе цыплята препараты не получали, была проведена только вакцинация.</w:t>
      </w:r>
    </w:p>
    <w:p w:rsidR="00F4654E" w:rsidRDefault="00F4654E">
      <w:pPr>
        <w:pStyle w:val="a6"/>
      </w:pPr>
      <w:r>
        <w:t>Мочевина является основным конечным продуктом азотистого обм</w:t>
      </w:r>
      <w:r>
        <w:t>е</w:t>
      </w:r>
      <w:r>
        <w:t>на. Она синтезируется в печени. Непосредственный предшественник моч</w:t>
      </w:r>
      <w:r>
        <w:t>е</w:t>
      </w:r>
      <w:r>
        <w:t>вины в печени – гуанидиновая группировка аминокислоты аргинина. В контрольной группе этот показатель составил 3,33</w:t>
      </w:r>
      <w:r>
        <w:sym w:font="Symbol" w:char="F0B1"/>
      </w:r>
      <w:r>
        <w:t>0,05 мМоль/л. Для ц</w:t>
      </w:r>
      <w:r>
        <w:t>ы</w:t>
      </w:r>
      <w:r>
        <w:t xml:space="preserve">плят, получавших фоспренил, характерно низкое значе-ние показателя, а </w:t>
      </w:r>
      <w:r>
        <w:lastRenderedPageBreak/>
        <w:t>именно – 3,2</w:t>
      </w:r>
      <w:r>
        <w:sym w:font="Symbol" w:char="F0B1"/>
      </w:r>
      <w:r>
        <w:t>0,1 мМоль/л. В группе цыплят, получавших полирибонат, содержание мочевины несколько выше (3,13</w:t>
      </w:r>
      <w:r>
        <w:sym w:font="Symbol" w:char="F0B1"/>
      </w:r>
      <w:r>
        <w:t>0,08), но значительно ниже контроля, что характеризует белковосинтезирующую функцию печени.</w:t>
      </w:r>
    </w:p>
    <w:p w:rsidR="00F4654E" w:rsidRDefault="00F4654E">
      <w:pPr>
        <w:pStyle w:val="a6"/>
      </w:pPr>
      <w:r>
        <w:t>Тимоловая проба с помощью которой устанавливают изменения в с</w:t>
      </w:r>
      <w:r>
        <w:t>о</w:t>
      </w:r>
      <w:r>
        <w:t>ставе белков сыворотки крови (диспротеинемию). Позволяет устанавл</w:t>
      </w:r>
      <w:r>
        <w:t>и</w:t>
      </w:r>
      <w:r>
        <w:t>вать степень нарушения соотношений между альбуминами и глобулинами сыворотки. Нами обнаружено в контроле 0,97</w:t>
      </w:r>
      <w:r>
        <w:sym w:font="Symbol" w:char="F0B1"/>
      </w:r>
      <w:r>
        <w:t>0,02 ед., под влиянием п</w:t>
      </w:r>
      <w:r>
        <w:t>о</w:t>
      </w:r>
      <w:r>
        <w:t>лирибоната - 1,06</w:t>
      </w:r>
      <w:r>
        <w:sym w:font="Symbol" w:char="F0B1"/>
      </w:r>
      <w:r>
        <w:t>0,01 ед., а цыплята, получавшие фоспренил уровень т</w:t>
      </w:r>
      <w:r>
        <w:t>и</w:t>
      </w:r>
      <w:r>
        <w:t>моловой пробы значительно ниже – 0,8</w:t>
      </w:r>
      <w:r>
        <w:sym w:font="Symbol" w:char="F0B1"/>
      </w:r>
      <w:r>
        <w:t>0,01 ед.</w:t>
      </w:r>
    </w:p>
    <w:p w:rsidR="00F4654E" w:rsidRDefault="00F4654E">
      <w:pPr>
        <w:pStyle w:val="a6"/>
      </w:pPr>
      <w:r>
        <w:t>Билирубин свободный – желчный пигмент, образуется в клетках рет</w:t>
      </w:r>
      <w:r>
        <w:t>и</w:t>
      </w:r>
      <w:r>
        <w:t>кулоэндотелиальной системе из гемоглобина разрушенных эритроцитов. В плазме крови он образует непрочный комплекс с альбумином, благодаря чему токсичность его снижается. У контрольных цыплят показатель равен 13,4</w:t>
      </w:r>
      <w:r>
        <w:sym w:font="Symbol" w:char="F0B1"/>
      </w:r>
      <w:r>
        <w:t>0,1 мкМоль/л, в 1-ой опытной группе (фоспренил) – 12,53</w:t>
      </w:r>
      <w:r>
        <w:sym w:font="Symbol" w:char="F0B1"/>
      </w:r>
      <w:r>
        <w:t>0,2, а во 2-ой опытной группе (полирибонат) равен – 14,5</w:t>
      </w:r>
      <w:r>
        <w:sym w:font="Symbol" w:char="F0B1"/>
      </w:r>
      <w:r>
        <w:t>0,2 мкМоль/л, что знач</w:t>
      </w:r>
      <w:r>
        <w:t>и</w:t>
      </w:r>
      <w:r>
        <w:t>тельно выходит за рамки физиологических параметров.</w:t>
      </w:r>
    </w:p>
    <w:p w:rsidR="00F4654E" w:rsidRDefault="00F4654E">
      <w:pPr>
        <w:pStyle w:val="a6"/>
      </w:pPr>
      <w:r>
        <w:t>Исследованию также подвергалась печень на содержание витаминов. Витамин А принимает участие в важнейших химических процессах обмена веществ, протекающих в клетках и тканях, также повышает уровень ант</w:t>
      </w:r>
      <w:r>
        <w:t>и</w:t>
      </w:r>
      <w:r>
        <w:t>тел в сыворотке крови, стимулирует активность клеток-киллеров и влияет на пролиферацию клеток-хелперов. Нами обнаружено в контроле 86,69</w:t>
      </w:r>
      <w:r>
        <w:sym w:font="Symbol" w:char="F0B1"/>
      </w:r>
      <w:r>
        <w:t>1,0 мкг/г, в 1-ой опытной группе (фоспренил) – равен 95,5</w:t>
      </w:r>
      <w:r>
        <w:sym w:font="Symbol" w:char="F0B1"/>
      </w:r>
      <w:r>
        <w:t>2,0, и во 2-ой гру</w:t>
      </w:r>
      <w:r>
        <w:t>п</w:t>
      </w:r>
      <w:r>
        <w:t>пе – значительно выше – 141,33</w:t>
      </w:r>
      <w:r>
        <w:sym w:font="Symbol" w:char="F0B1"/>
      </w:r>
      <w:r>
        <w:t>1,5 мкг/г, о чем свидетельствует усиление ант</w:t>
      </w:r>
      <w:r>
        <w:t>и</w:t>
      </w:r>
      <w:r>
        <w:t xml:space="preserve">телообразование и стимулирует клеточные реакции. </w:t>
      </w:r>
    </w:p>
    <w:p w:rsidR="00F4654E" w:rsidRDefault="00F4654E">
      <w:pPr>
        <w:pStyle w:val="a6"/>
      </w:pPr>
      <w:r>
        <w:t>При недостаточности у цыплят витамина В</w:t>
      </w:r>
      <w:r>
        <w:rPr>
          <w:vertAlign w:val="subscript"/>
        </w:rPr>
        <w:sym w:font="Symbol" w:char="F032"/>
      </w:r>
      <w:r>
        <w:t xml:space="preserve"> наблюдается угнетение как клеточного, так и гуморального иммунитета. В нашем случаи, этот п</w:t>
      </w:r>
      <w:r>
        <w:t>о</w:t>
      </w:r>
      <w:r>
        <w:t>казатель равен 13,15</w:t>
      </w:r>
      <w:r>
        <w:sym w:font="Symbol" w:char="F0B1"/>
      </w:r>
      <w:r>
        <w:t>0,01, а у опытных групп несколько выше от 13,58</w:t>
      </w:r>
      <w:r>
        <w:sym w:font="Symbol" w:char="F0B1"/>
      </w:r>
      <w:r>
        <w:t>0,01 (фоспренил) до 13,92</w:t>
      </w:r>
      <w:r>
        <w:sym w:font="Symbol" w:char="F0B1"/>
      </w:r>
      <w:r>
        <w:t xml:space="preserve">0,02 мкг/г (полирибонат). </w:t>
      </w:r>
    </w:p>
    <w:p w:rsidR="00F4654E" w:rsidRDefault="00F4654E">
      <w:pPr>
        <w:pStyle w:val="a6"/>
      </w:pPr>
      <w:r>
        <w:t>Витамин Е повышает устойчивость организма к инфекционным б</w:t>
      </w:r>
      <w:r>
        <w:t>о</w:t>
      </w:r>
      <w:r>
        <w:t>лезням, при этом активируется клеточный и гуморальный иммунитет. Особенно активно на введение в рацион витамина Е реагирует птица. К</w:t>
      </w:r>
      <w:r>
        <w:t>о</w:t>
      </w:r>
      <w:r>
        <w:t>личество антител возрастает прямо пропорционально дозе витамина, ос</w:t>
      </w:r>
      <w:r>
        <w:t>о</w:t>
      </w:r>
      <w:r>
        <w:t>бенно в первые три недели жизни цыплят. У нас обнаружено в контроле этот показатель 0,55</w:t>
      </w:r>
      <w:r>
        <w:sym w:font="Symbol" w:char="F0B1"/>
      </w:r>
      <w:r>
        <w:t>0,02 мг%, что значительно ниже, чем в опытных группах 0,65</w:t>
      </w:r>
      <w:r>
        <w:sym w:font="Symbol" w:char="F0B1"/>
      </w:r>
      <w:r>
        <w:t>0,01 (фоспренил) – 0,75</w:t>
      </w:r>
      <w:r>
        <w:sym w:font="Symbol" w:char="F0B1"/>
      </w:r>
      <w:r>
        <w:t>0,02 мг% (полирибонат).</w:t>
      </w:r>
    </w:p>
    <w:p w:rsidR="00F4654E" w:rsidRDefault="00F4654E">
      <w:pPr>
        <w:pStyle w:val="a6"/>
      </w:pPr>
      <w:r>
        <w:t>На основании полученных данных можно считать, что испытанные нами препараты, различного химического строения (фоспренил и полир</w:t>
      </w:r>
      <w:r>
        <w:t>и</w:t>
      </w:r>
      <w:r>
        <w:t>бонат) обладают выраженными иммуностимулирующими и гепатопроте</w:t>
      </w:r>
      <w:r>
        <w:t>к</w:t>
      </w:r>
      <w:r>
        <w:t>торными свойствами. Они способны активизировать системы естественной резистентности, индуцировать специфический иммунитет и повышать сп</w:t>
      </w:r>
      <w:r>
        <w:t>о</w:t>
      </w:r>
      <w:r>
        <w:t xml:space="preserve">собность птицы противостоять воздействию патогенной и условно-патогенной микрофлоры.  </w:t>
      </w:r>
    </w:p>
    <w:p w:rsidR="00F4654E" w:rsidRDefault="00F4654E">
      <w:pPr>
        <w:pStyle w:val="a4"/>
      </w:pPr>
      <w:r>
        <w:lastRenderedPageBreak/>
        <w:t>УДК 619:618.56:636.4</w:t>
      </w:r>
    </w:p>
    <w:p w:rsidR="00F4654E" w:rsidRDefault="00F4654E">
      <w:pPr>
        <w:pStyle w:val="1"/>
      </w:pPr>
      <w:bookmarkStart w:id="3139" w:name="_Toc10731402"/>
      <w:bookmarkStart w:id="3140" w:name="_Toc11137835"/>
      <w:bookmarkStart w:id="3141" w:name="_Toc11138253"/>
      <w:bookmarkStart w:id="3142" w:name="_Toc11138671"/>
      <w:bookmarkStart w:id="3143" w:name="_Toc11139089"/>
      <w:bookmarkStart w:id="3144" w:name="_Toc11139507"/>
      <w:bookmarkStart w:id="3145" w:name="_Toc11139925"/>
      <w:bookmarkStart w:id="3146" w:name="_Toc11140343"/>
      <w:bookmarkStart w:id="3147" w:name="_Toc11390453"/>
      <w:bookmarkStart w:id="3148" w:name="_Toc11840136"/>
      <w:bookmarkStart w:id="3149" w:name="_Toc11937690"/>
      <w:r>
        <w:t>Изучение ДИнамики интенсивности процессов ПОЛ и состояния системы АОЗ организма свиноматок в зависимости от сроков супоросности с целью возможности прогнозирования развития послеродовой патологии</w:t>
      </w:r>
      <w:bookmarkEnd w:id="3139"/>
      <w:bookmarkEnd w:id="3140"/>
      <w:bookmarkEnd w:id="3141"/>
      <w:bookmarkEnd w:id="3142"/>
      <w:bookmarkEnd w:id="3143"/>
      <w:bookmarkEnd w:id="3144"/>
      <w:bookmarkEnd w:id="3145"/>
      <w:bookmarkEnd w:id="3146"/>
      <w:bookmarkEnd w:id="3147"/>
      <w:bookmarkEnd w:id="3148"/>
      <w:bookmarkEnd w:id="3149"/>
    </w:p>
    <w:p w:rsidR="00F4654E" w:rsidRDefault="00F4654E">
      <w:pPr>
        <w:pStyle w:val="2"/>
      </w:pPr>
      <w:bookmarkStart w:id="3150" w:name="_Toc10731403"/>
      <w:bookmarkStart w:id="3151" w:name="_Toc11032280"/>
      <w:bookmarkStart w:id="3152" w:name="_Toc11137836"/>
      <w:bookmarkStart w:id="3153" w:name="_Toc11138254"/>
      <w:bookmarkStart w:id="3154" w:name="_Toc11138672"/>
      <w:bookmarkStart w:id="3155" w:name="_Toc11139090"/>
      <w:bookmarkStart w:id="3156" w:name="_Toc11139508"/>
      <w:bookmarkStart w:id="3157" w:name="_Toc11139926"/>
      <w:bookmarkStart w:id="3158" w:name="_Toc11140344"/>
      <w:bookmarkStart w:id="3159" w:name="_Toc11390454"/>
      <w:bookmarkStart w:id="3160" w:name="_Toc11937691"/>
      <w:r>
        <w:t>Мешков А.В.</w:t>
      </w:r>
      <w:bookmarkEnd w:id="3150"/>
      <w:bookmarkEnd w:id="3151"/>
      <w:bookmarkEnd w:id="3152"/>
      <w:bookmarkEnd w:id="3153"/>
      <w:bookmarkEnd w:id="3154"/>
      <w:bookmarkEnd w:id="3155"/>
      <w:bookmarkEnd w:id="3156"/>
      <w:bookmarkEnd w:id="3157"/>
      <w:bookmarkEnd w:id="3158"/>
      <w:bookmarkEnd w:id="3159"/>
      <w:bookmarkEnd w:id="3160"/>
    </w:p>
    <w:p w:rsidR="00F4654E" w:rsidRDefault="00F4654E">
      <w:pPr>
        <w:pStyle w:val="a5"/>
      </w:pPr>
      <w:r>
        <w:t>Всероссийский  НИВИ патологии фармакологии и терапии</w:t>
      </w:r>
    </w:p>
    <w:p w:rsidR="00F4654E" w:rsidRDefault="00F4654E">
      <w:pPr>
        <w:pStyle w:val="a6"/>
      </w:pPr>
      <w:r>
        <w:t>Работа проведена в  условиях ЗАО Краснодонское Волгоградской о</w:t>
      </w:r>
      <w:r>
        <w:t>б</w:t>
      </w:r>
      <w:r>
        <w:t>ласти. О состоянии системы ПОЛ-АОЗ судили на основании исследований крови свиней на 30 и 107-110 день супоросности. После опороса по р</w:t>
      </w:r>
      <w:r>
        <w:t>е</w:t>
      </w:r>
      <w:r>
        <w:t>зультатам клинических исследований все свиноматки были разделены на две группы: 1 -«условно здоровые», 2 - «заболевшие» (послеродовой энд</w:t>
      </w:r>
      <w:r>
        <w:t>о</w:t>
      </w:r>
      <w:r>
        <w:t>метрит, ММА). В соответствии с этим анализировали показатели системы ПОЛ-АОЗ свиноматок в период супоросности.</w:t>
      </w:r>
    </w:p>
    <w:p w:rsidR="00F4654E" w:rsidRDefault="00F4654E">
      <w:pPr>
        <w:pStyle w:val="a6"/>
      </w:pPr>
      <w:r>
        <w:t>При этом установлено, что уже на 30-й день супоросности интенси</w:t>
      </w:r>
      <w:r>
        <w:t>в</w:t>
      </w:r>
      <w:r>
        <w:t>ность процессов липопероксидации в организме свиноматок по группам существенно отличалась. Так, концентрация первичных продуктов ПОЛ в крови животных, у которых в последствии диагностировали послеродовой эндометрит и синдром ММА, была значительно выше, чем у здоровых, с</w:t>
      </w:r>
      <w:r>
        <w:t>о</w:t>
      </w:r>
      <w:r>
        <w:t>ответственно: диеновых конъюгатов на 9,1%, кетодиенов – на 35,4%. С</w:t>
      </w:r>
      <w:r>
        <w:t>о</w:t>
      </w:r>
      <w:r>
        <w:t>держание в крови флюоресцирующих оснований Шиффа также превышало показатели здоровых животных на 17,1%. Существенных изменений ко</w:t>
      </w:r>
      <w:r>
        <w:t>н</w:t>
      </w:r>
      <w:r>
        <w:t>центрации малонового диальдегида и активности антиоксидантных фе</w:t>
      </w:r>
      <w:r>
        <w:t>р</w:t>
      </w:r>
      <w:r>
        <w:t xml:space="preserve">ментов не выявлено. </w:t>
      </w:r>
    </w:p>
    <w:p w:rsidR="00F4654E" w:rsidRDefault="00F4654E">
      <w:pPr>
        <w:pStyle w:val="a6"/>
      </w:pPr>
      <w:r>
        <w:t>Полученные результаты указывают на повышение интенсивности р</w:t>
      </w:r>
      <w:r>
        <w:t>е</w:t>
      </w:r>
      <w:r>
        <w:t>акций липопероксидации в организме свиней второй группы, однако чре</w:t>
      </w:r>
      <w:r>
        <w:t>з</w:t>
      </w:r>
      <w:r>
        <w:t>мерное образование наиболее токсичных продуктов (в т.ч. МДА), в данных условиях, сдерживается напряженным функционированием антиокисл</w:t>
      </w:r>
      <w:r>
        <w:t>и</w:t>
      </w:r>
      <w:r>
        <w:t>тельной системы и соответствующим уровнем жирорастворимых антио</w:t>
      </w:r>
      <w:r>
        <w:t>к</w:t>
      </w:r>
      <w:r>
        <w:t xml:space="preserve">сидантов (витамины А, Е). </w:t>
      </w:r>
    </w:p>
    <w:p w:rsidR="00F4654E" w:rsidRDefault="00F4654E">
      <w:pPr>
        <w:pStyle w:val="a6"/>
      </w:pPr>
      <w:r>
        <w:t>Такой баланс реакций ПОЛ и системы АОЗ при дополнительных н</w:t>
      </w:r>
      <w:r>
        <w:t>е</w:t>
      </w:r>
      <w:r>
        <w:t>благоприятных воздействиях является неблагоприятным прогностическим признаком, повышающим вероятность изменений в сторону повышения интенсивности процессов ПОЛ и депрессии антиоксидантной системы в условиях как физиологической нагрузки (роды, начало лактации и т.п.), так и при возникновении каких-либо дополнительных воздействий на ж</w:t>
      </w:r>
      <w:r>
        <w:t>и</w:t>
      </w:r>
      <w:r>
        <w:t xml:space="preserve">вотных, связанных с нарушением условий содержания, кормления и т.д. </w:t>
      </w:r>
    </w:p>
    <w:p w:rsidR="00F4654E" w:rsidRDefault="00F4654E">
      <w:pPr>
        <w:pStyle w:val="a6"/>
      </w:pPr>
      <w:r>
        <w:t>Такое состояние организма животных следует характеризовать как «состояние перехода из нормы (предпатологии) в патологию. Данное у</w:t>
      </w:r>
      <w:r>
        <w:t>т</w:t>
      </w:r>
      <w:r>
        <w:t>верждение подтверждается результатами исследований крови свиноматок в более поздние сроки супоросности (107-110 дней).</w:t>
      </w:r>
    </w:p>
    <w:p w:rsidR="00F4654E" w:rsidRDefault="00F4654E">
      <w:pPr>
        <w:pStyle w:val="a6"/>
      </w:pPr>
      <w:r>
        <w:lastRenderedPageBreak/>
        <w:t xml:space="preserve"> Установлено, что к моменту опороса в крови здоровых животных п</w:t>
      </w:r>
      <w:r>
        <w:t>о</w:t>
      </w:r>
      <w:r>
        <w:t>вышается концентрация как первичных продуктов, так и МДА, в среднем на 17,6-18,2%, что связано с соответствующей перестройкой метаболизма и физиологическим напряжением механизмов компенсации. При этом, н</w:t>
      </w:r>
      <w:r>
        <w:t>е</w:t>
      </w:r>
      <w:r>
        <w:t>смотря на значительное повышение концентрации в крови кетодиенов (до 97,9%), их дальнейший метаболизм до МДА и конечных продуктов (на</w:t>
      </w:r>
      <w:r>
        <w:t>и</w:t>
      </w:r>
      <w:r>
        <w:t>более токсичных) достаточно эффективно сдерживается системой АОЗ (ГПО, токоферол).</w:t>
      </w:r>
    </w:p>
    <w:p w:rsidR="00F4654E" w:rsidRDefault="00F4654E">
      <w:pPr>
        <w:pStyle w:val="a6"/>
      </w:pPr>
      <w:r>
        <w:t>Результаты повторных исследований крови свиноматок, у которых клинически выявлены послеродовые заболевания, также указывают на в</w:t>
      </w:r>
      <w:r>
        <w:t>ы</w:t>
      </w:r>
      <w:r>
        <w:t>раженную интенсификацию реакций ПОЛ. При этом, снижение конце</w:t>
      </w:r>
      <w:r>
        <w:t>н</w:t>
      </w:r>
      <w:r>
        <w:t>трации в крови диеновых конъюгатов относительно исходного уровня на фоне повышения содержания кетодиенов и малонового диальдегида, соо</w:t>
      </w:r>
      <w:r>
        <w:t>т</w:t>
      </w:r>
      <w:r>
        <w:t>ветственно на 30,8% и 32,4%, вероятно, обусловлено повышенным расх</w:t>
      </w:r>
      <w:r>
        <w:t>о</w:t>
      </w:r>
      <w:r>
        <w:t>дованием первичных субстратов (полиненасыщенные жирные кислоты) и интенсивным переходом их в последующие продукты (МДА). Так, конце</w:t>
      </w:r>
      <w:r>
        <w:t>н</w:t>
      </w:r>
      <w:r>
        <w:t>трация МДА в крови заболевших животных к моменту опороса достоверно превышала показатели здоровых свиней на 12,6%. При этом повышение интенсивности первичных реакций пероксидации жирных кислот у бол</w:t>
      </w:r>
      <w:r>
        <w:t>ь</w:t>
      </w:r>
      <w:r>
        <w:t>ных свиней связано со значительным накоплением кислородных радикалов и перекисей в условиях депрессии антиокислительных компонентов. Этим же обусловлено повышение активности каталазы, каталитическая функция которой непосредственно потенцируется перекисями превышающих ко</w:t>
      </w:r>
      <w:r>
        <w:t>н</w:t>
      </w:r>
      <w:r>
        <w:t xml:space="preserve">центраций. </w:t>
      </w:r>
    </w:p>
    <w:p w:rsidR="00F4654E" w:rsidRDefault="00F4654E">
      <w:pPr>
        <w:pStyle w:val="a6"/>
      </w:pPr>
      <w:r>
        <w:t>Таким образом, установленные повышение интенсивности реакций пероксидации липидов, накопление токсических продуктов и депрессия компонентов системы АОЗ соответствуют клиническому состоянию ж</w:t>
      </w:r>
      <w:r>
        <w:t>и</w:t>
      </w:r>
      <w:r>
        <w:t>вотных, определяемому как дифференцируемая патология (эндометрит, ММА). При этом, результаты проведенных исследований показывают, что прогнозирование развития патологии (в данном случае связанной с во</w:t>
      </w:r>
      <w:r>
        <w:t>с</w:t>
      </w:r>
      <w:r>
        <w:t>производительной функцией) свиней на основании анализа состояния си</w:t>
      </w:r>
      <w:r>
        <w:t>с</w:t>
      </w:r>
      <w:r>
        <w:t xml:space="preserve">темы ПОЛ-АОЗ вероятно возможно уже с 30 дня супоросности. </w:t>
      </w:r>
    </w:p>
    <w:p w:rsidR="00F4654E" w:rsidRDefault="00F4654E">
      <w:pPr>
        <w:pStyle w:val="a4"/>
      </w:pPr>
      <w:r>
        <w:t>УДК 619:616-002.8:636.22/28.053.2</w:t>
      </w:r>
    </w:p>
    <w:p w:rsidR="00F4654E" w:rsidRDefault="00F4654E">
      <w:pPr>
        <w:pStyle w:val="1"/>
      </w:pPr>
      <w:bookmarkStart w:id="3161" w:name="_Toc10731414"/>
      <w:bookmarkStart w:id="3162" w:name="_Toc11137847"/>
      <w:bookmarkStart w:id="3163" w:name="_Toc11138265"/>
      <w:bookmarkStart w:id="3164" w:name="_Toc11138683"/>
      <w:bookmarkStart w:id="3165" w:name="_Toc11139101"/>
      <w:bookmarkStart w:id="3166" w:name="_Toc11139519"/>
      <w:bookmarkStart w:id="3167" w:name="_Toc11139937"/>
      <w:bookmarkStart w:id="3168" w:name="_Toc11140355"/>
      <w:bookmarkStart w:id="3169" w:name="_Toc11390465"/>
      <w:bookmarkStart w:id="3170" w:name="_Toc11840150"/>
      <w:bookmarkStart w:id="3171" w:name="_Toc11937692"/>
      <w:r>
        <w:t>Энтеросорбентная терапия микотоксикозов телят</w:t>
      </w:r>
      <w:bookmarkEnd w:id="3161"/>
      <w:bookmarkEnd w:id="3162"/>
      <w:bookmarkEnd w:id="3163"/>
      <w:bookmarkEnd w:id="3164"/>
      <w:bookmarkEnd w:id="3165"/>
      <w:bookmarkEnd w:id="3166"/>
      <w:bookmarkEnd w:id="3167"/>
      <w:bookmarkEnd w:id="3168"/>
      <w:bookmarkEnd w:id="3169"/>
      <w:bookmarkEnd w:id="3170"/>
      <w:bookmarkEnd w:id="3171"/>
    </w:p>
    <w:p w:rsidR="00F4654E" w:rsidRDefault="00F4654E">
      <w:pPr>
        <w:pStyle w:val="2"/>
      </w:pPr>
      <w:bookmarkStart w:id="3172" w:name="_Toc10731415"/>
      <w:bookmarkStart w:id="3173" w:name="_Toc11032286"/>
      <w:bookmarkStart w:id="3174" w:name="_Toc11137848"/>
      <w:bookmarkStart w:id="3175" w:name="_Toc11138266"/>
      <w:bookmarkStart w:id="3176" w:name="_Toc11138684"/>
      <w:bookmarkStart w:id="3177" w:name="_Toc11139102"/>
      <w:bookmarkStart w:id="3178" w:name="_Toc11139520"/>
      <w:bookmarkStart w:id="3179" w:name="_Toc11139938"/>
      <w:bookmarkStart w:id="3180" w:name="_Toc11140356"/>
      <w:bookmarkStart w:id="3181" w:name="_Toc11390466"/>
      <w:bookmarkStart w:id="3182" w:name="_Toc11937693"/>
      <w:r>
        <w:t>Мищенко В.А., Павлов Д.К, Гетманский О.И., Лисицын В.В.</w:t>
      </w:r>
      <w:bookmarkEnd w:id="3172"/>
      <w:bookmarkEnd w:id="3173"/>
      <w:bookmarkEnd w:id="3174"/>
      <w:bookmarkEnd w:id="3175"/>
      <w:bookmarkEnd w:id="3176"/>
      <w:bookmarkEnd w:id="3177"/>
      <w:bookmarkEnd w:id="3178"/>
      <w:bookmarkEnd w:id="3179"/>
      <w:bookmarkEnd w:id="3180"/>
      <w:bookmarkEnd w:id="3181"/>
      <w:bookmarkEnd w:id="3182"/>
    </w:p>
    <w:p w:rsidR="00F4654E" w:rsidRDefault="00F4654E">
      <w:pPr>
        <w:pStyle w:val="a5"/>
      </w:pPr>
      <w:r>
        <w:t>Всероссийский научно-исследовательский институт защиты животных</w:t>
      </w:r>
    </w:p>
    <w:p w:rsidR="00F4654E" w:rsidRDefault="00F4654E">
      <w:pPr>
        <w:pStyle w:val="a6"/>
      </w:pPr>
      <w:r>
        <w:t>Ухудшающая экологическая обстановка приводит к нарушению би</w:t>
      </w:r>
      <w:r>
        <w:t>о</w:t>
      </w:r>
      <w:r>
        <w:t>логического равновесия, повышению роли условно-патогенных грибов в патологии животных.</w:t>
      </w:r>
    </w:p>
    <w:p w:rsidR="00F4654E" w:rsidRDefault="00F4654E">
      <w:pPr>
        <w:pStyle w:val="a6"/>
      </w:pPr>
      <w:r>
        <w:t>Нарушения технологии заготовки и хранения кормов часто приводит к существенному снижению их качества. По оценкам специалистов еж</w:t>
      </w:r>
      <w:r>
        <w:t>е</w:t>
      </w:r>
      <w:r>
        <w:lastRenderedPageBreak/>
        <w:t>годно около 40% сельскохозяйственных культур поражается токсическими грибами (Рабинович М.И., Даминов Р.Р., 2001). Достаточно высокое с</w:t>
      </w:r>
      <w:r>
        <w:t>о</w:t>
      </w:r>
      <w:r>
        <w:t>держание влаги в кормах (12% и более), диапазон температур (10-42</w:t>
      </w:r>
      <w:r>
        <w:rPr>
          <w:vertAlign w:val="superscript"/>
        </w:rPr>
        <w:t>0</w:t>
      </w:r>
      <w:r>
        <w:t>С) и относительная влажность воздуха (80-90%) благоприятствует их обильн</w:t>
      </w:r>
      <w:r>
        <w:t>о</w:t>
      </w:r>
      <w:r>
        <w:t>му росту. Более 300 видов грибов, развивающихся на вегетирующих ра</w:t>
      </w:r>
      <w:r>
        <w:t>с</w:t>
      </w:r>
      <w:r>
        <w:t>тениях и кормах в процессе хранения, известны как продуценты токсич</w:t>
      </w:r>
      <w:r>
        <w:t>е</w:t>
      </w:r>
      <w:r>
        <w:t>ских веществ и выделено до 200 микотоксинов, различных по токсическим свойствам и химическому строению, вызывающих заболевание и отравл</w:t>
      </w:r>
      <w:r>
        <w:t>е</w:t>
      </w:r>
      <w:r>
        <w:t>ние животных – микотоксикозы. Однако, наибольшую опасность для сре</w:t>
      </w:r>
      <w:r>
        <w:t>д</w:t>
      </w:r>
      <w:r>
        <w:t>ней полосы России представляют токсические метаболиты грибов рода ф</w:t>
      </w:r>
      <w:r>
        <w:t>у</w:t>
      </w:r>
      <w:r>
        <w:t>зариум и аспергиллюс – фузариотоксины и амфлатоксины, соответственно. Грибы этих родов являются постоянными компонентами воздуха, воды, почвы и большого количества продуктов питания и кормов. Попадая в о</w:t>
      </w:r>
      <w:r>
        <w:t>р</w:t>
      </w:r>
      <w:r>
        <w:t>ганизм, они угнетают течение отдельных звеньев обмена веществ и торм</w:t>
      </w:r>
      <w:r>
        <w:t>о</w:t>
      </w:r>
      <w:r>
        <w:t>зят рост молодняка, снижают продуктивность взрослых животных (Миш</w:t>
      </w:r>
      <w:r>
        <w:t>у</w:t>
      </w:r>
      <w:r>
        <w:t>ков О.Б., 1998). Известно, что безопасных уровней микотоксинов нет, они накапливаются в организме и оказывают сильное токсическое действие на органы репродуктивной, кроветворной, иммунной систем и внутренней секреции.</w:t>
      </w:r>
    </w:p>
    <w:p w:rsidR="00F4654E" w:rsidRDefault="00F4654E">
      <w:pPr>
        <w:pStyle w:val="a6"/>
      </w:pPr>
      <w:r>
        <w:t>Снижение содержания белка в рационе сопровождается резким оки</w:t>
      </w:r>
      <w:r>
        <w:t>с</w:t>
      </w:r>
      <w:r>
        <w:t>лением отравляющего действия микотоксинов и других вредных веществ корма. При белковой недостаточности происходит подавление уровня а</w:t>
      </w:r>
      <w:r>
        <w:t>к</w:t>
      </w:r>
      <w:r>
        <w:t>тивности детоксицирующих ферментов организма (глутамина и глутами</w:t>
      </w:r>
      <w:r>
        <w:t>н</w:t>
      </w:r>
      <w:r>
        <w:t>трансферазы).</w:t>
      </w:r>
    </w:p>
    <w:p w:rsidR="00F4654E" w:rsidRDefault="00F4654E">
      <w:pPr>
        <w:pStyle w:val="a6"/>
      </w:pPr>
      <w:r>
        <w:t>Интерес к сорбционным методам лечения при острых диарейных з</w:t>
      </w:r>
      <w:r>
        <w:t>а</w:t>
      </w:r>
      <w:r>
        <w:t>болеваниях вновь появился, когда антибиотики не оправдали надежд в св</w:t>
      </w:r>
      <w:r>
        <w:t>я</w:t>
      </w:r>
      <w:r>
        <w:t>зи с нарастанием резистентности возбудителей и нередко развивающимся дисбактериозом. При профилактике микотоксикозов важное место отв</w:t>
      </w:r>
      <w:r>
        <w:t>о</w:t>
      </w:r>
      <w:r>
        <w:t>дится методу эфферентной терапии, основанному на связывании и вывед</w:t>
      </w:r>
      <w:r>
        <w:t>е</w:t>
      </w:r>
      <w:r>
        <w:t>нии из организма через желудочно-кишечный тракт эндогенных и экзоге</w:t>
      </w:r>
      <w:r>
        <w:t>н</w:t>
      </w:r>
      <w:r>
        <w:t>ных веществ, надмолекулярных структур и клеток (Рабинович М.И., Д</w:t>
      </w:r>
      <w:r>
        <w:t>а</w:t>
      </w:r>
      <w:r>
        <w:t>минов Р.Р., 2001). Микроскопические грибы, вызывающие микотоксикозы, абсорбируются на коллоидах кремния. Последние образуют с болезн</w:t>
      </w:r>
      <w:r>
        <w:t>е</w:t>
      </w:r>
      <w:r>
        <w:t>творными микроорганизмами и их ядами комплексные соединения и в</w:t>
      </w:r>
      <w:r>
        <w:t>ы</w:t>
      </w:r>
      <w:r>
        <w:t>водятся из организма.</w:t>
      </w:r>
    </w:p>
    <w:p w:rsidR="00F4654E" w:rsidRDefault="00F4654E">
      <w:pPr>
        <w:pStyle w:val="a6"/>
      </w:pPr>
      <w:r>
        <w:t>Энтеросорбция как метод является наиболее физиологичным, не тр</w:t>
      </w:r>
      <w:r>
        <w:t>е</w:t>
      </w:r>
      <w:r>
        <w:t>бующим значительных материальных затрат, не вызывающим осложн</w:t>
      </w:r>
      <w:r>
        <w:t>е</w:t>
      </w:r>
      <w:r>
        <w:t>ний, удобным в применении. Суть энтеросорбции заключается в перорал</w:t>
      </w:r>
      <w:r>
        <w:t>ь</w:t>
      </w:r>
      <w:r>
        <w:t>ном введении веществ сорбентов, свойства которых направлены на уде</w:t>
      </w:r>
      <w:r>
        <w:t>р</w:t>
      </w:r>
      <w:r>
        <w:t>жание на своей поверхности токсигенных компонентов химуса. Ее можно рассматривать как патогенетически обусловленную терапию, направле</w:t>
      </w:r>
      <w:r>
        <w:t>н</w:t>
      </w:r>
      <w:r>
        <w:t xml:space="preserve">ную на стабилизацию мембран. В основе гастроинтерстициальной сорбции (энтеросорбция) лежит возможность извлечения токсичных и балластных </w:t>
      </w:r>
      <w:r>
        <w:lastRenderedPageBreak/>
        <w:t>веществ из крови в кишечник с дальнейшим их связыванием на сорбентах и выведением естественным путем. энтеросорбция обладает выраженным детоксикационным эффектом.</w:t>
      </w:r>
    </w:p>
    <w:p w:rsidR="00F4654E" w:rsidRDefault="00F4654E">
      <w:pPr>
        <w:pStyle w:val="a6"/>
      </w:pPr>
      <w:r>
        <w:t>Сорбенты, используемые для энтеросорбции, должны обладать выс</w:t>
      </w:r>
      <w:r>
        <w:t>о</w:t>
      </w:r>
      <w:r>
        <w:t>кой емкостью в отношении различных токсических веществ, бактериал</w:t>
      </w:r>
      <w:r>
        <w:t>ь</w:t>
      </w:r>
      <w:r>
        <w:t xml:space="preserve">ных токсинов и микробных клеток сохраняющийся при разных значениях рН, не вызывать раздражения слизистой оболочки желудка и кишечника, не содержать токсичных примесей. </w:t>
      </w:r>
    </w:p>
    <w:p w:rsidR="00F4654E" w:rsidRDefault="00F4654E">
      <w:pPr>
        <w:pStyle w:val="a6"/>
      </w:pPr>
      <w:r>
        <w:t>Энтеросорбенты практически не изменяют состав нормальной кише</w:t>
      </w:r>
      <w:r>
        <w:t>ч</w:t>
      </w:r>
      <w:r>
        <w:t>ной аутофлоры, но адсорбируют токсические продукты, образующиеся в норме в кишечнике (фенолы, ароматические аминокислоты и др.) Они сп</w:t>
      </w:r>
      <w:r>
        <w:t>о</w:t>
      </w:r>
      <w:r>
        <w:t>собны поглощать из многокомпонентных растворов эндо- и экзотоксины, а вещества с макро- и мезоспорами, кроме того, могут фиксировать на своей поверхности возбудителей бактериальной и вирусной природы, выключая их таким образом из патологического процесса. Могут оказывать опоср</w:t>
      </w:r>
      <w:r>
        <w:t>е</w:t>
      </w:r>
      <w:r>
        <w:t>дованное иммунокорригирующее действие за счет детоксикации и пред</w:t>
      </w:r>
      <w:r>
        <w:t>у</w:t>
      </w:r>
      <w:r>
        <w:t>преждения антигенной перегрузки иммунной системы, что, в свою оч</w:t>
      </w:r>
      <w:r>
        <w:t>е</w:t>
      </w:r>
      <w:r>
        <w:t>редь, создает условия для купирования инфекционного процесса (Фролов А.Ф. и др., 1986). Под влиянием энтеросорбентов наблюдается нормализ</w:t>
      </w:r>
      <w:r>
        <w:t>а</w:t>
      </w:r>
      <w:r>
        <w:t>ция факторов гуморального иммунитета, играющих важную патогенетич</w:t>
      </w:r>
      <w:r>
        <w:t>е</w:t>
      </w:r>
      <w:r>
        <w:t>скую роль в развитии хронических заболеваний печени. Энтеросорбенты чаще всего используются при острой дизентерии, сальмонеллезах, в пат</w:t>
      </w:r>
      <w:r>
        <w:t>о</w:t>
      </w:r>
      <w:r>
        <w:t>генезе которых особенно большое значение придается адгезии и цитото</w:t>
      </w:r>
      <w:r>
        <w:t>к</w:t>
      </w:r>
      <w:r>
        <w:t>сическому действию возбудителей, а также непосредственному влиянию эндотоксинов на морфофункциональное состояние органов (Покро</w:t>
      </w:r>
      <w:r>
        <w:t>в</w:t>
      </w:r>
      <w:r>
        <w:t>скийВ.И., Ющук Н.Д., 1986).</w:t>
      </w:r>
    </w:p>
    <w:p w:rsidR="00F4654E" w:rsidRDefault="00F4654E">
      <w:pPr>
        <w:pStyle w:val="a6"/>
      </w:pPr>
      <w:r>
        <w:t>Энтеросорбция как метод дезоксикации применяется при вирусных гепатитах, сальмонеллезах, лептоспирозе, геморрагических лихорадках, орнитозе, сепсисе, холере, ротавирусных гастроэнтеритах, отравлениях стафилококковым энтеротоксином. А также оказывала положительное влияние на состояние клеточного и гуморального иммунных ответов.</w:t>
      </w:r>
    </w:p>
    <w:p w:rsidR="00F4654E" w:rsidRDefault="00F4654E">
      <w:pPr>
        <w:pStyle w:val="a6"/>
      </w:pPr>
      <w:r>
        <w:t>Особый интерес представляет применение энтеросорбции при острых кишечных инфекциях с диарейным синдромом. Энтеросорбция оказывает положительное влияние на регуляцию процессов свободнорадикального перикисного окисления липидов и антиоксидантную защиту организма при диарейных заболеваниях. Профилактическая эффективность энтер</w:t>
      </w:r>
      <w:r>
        <w:t>о</w:t>
      </w:r>
      <w:r>
        <w:t>сорбентов объясняется уменьшением гистосовместимости патогенных возбудителей и колонизирующей способности условно-патогенных микр</w:t>
      </w:r>
      <w:r>
        <w:t>о</w:t>
      </w:r>
      <w:r>
        <w:t>бов в просвете кишечника у больных, а также положительным влиянием на состояние местного и общего иммунологического гомеостаза.</w:t>
      </w:r>
    </w:p>
    <w:p w:rsidR="0001153D" w:rsidRDefault="00F4654E">
      <w:pPr>
        <w:pStyle w:val="a6"/>
      </w:pPr>
      <w:r>
        <w:t>Практически всеми вышеперечисленными свойствами обладает пр</w:t>
      </w:r>
      <w:r>
        <w:t>е</w:t>
      </w:r>
      <w:r>
        <w:t>парат «Синкогель», изготовленный во ВНИИЗЖ. В данном сообщении приведены результаты испытания энтеросорбентного препарата «Синк</w:t>
      </w:r>
      <w:r>
        <w:t>о</w:t>
      </w:r>
      <w:r>
        <w:lastRenderedPageBreak/>
        <w:t>гель» на новорожденных телятах при микотоксикозах. В ряде хозяйств р</w:t>
      </w:r>
      <w:r>
        <w:t>е</w:t>
      </w:r>
      <w:r>
        <w:t>гистрировался повышенный отход новорожденных телят (55-93%). В р</w:t>
      </w:r>
      <w:r>
        <w:t>е</w:t>
      </w:r>
      <w:r>
        <w:t>зультате комплексных диагностических исследований установлено, что основными причинами гибели животных были фузариотоксикозы, ротав</w:t>
      </w:r>
      <w:r>
        <w:t>и</w:t>
      </w:r>
      <w:r>
        <w:t xml:space="preserve">русная, коронавирусная и эшерихиозная инфекции. </w:t>
      </w:r>
    </w:p>
    <w:p w:rsidR="00F4654E" w:rsidRDefault="00F4654E">
      <w:pPr>
        <w:pStyle w:val="a6"/>
      </w:pPr>
      <w:r>
        <w:t>Применение антибиотиков, нитрофуранов, сульфаниламидных преп</w:t>
      </w:r>
      <w:r>
        <w:t>а</w:t>
      </w:r>
      <w:r>
        <w:t>ратов не позволило ликв</w:t>
      </w:r>
      <w:r>
        <w:t>и</w:t>
      </w:r>
      <w:r>
        <w:t>дировать заболевание. Неэффективной оказалась и вакцинация глубокостельных коров против ротавирусной и коронав</w:t>
      </w:r>
      <w:r>
        <w:t>и</w:t>
      </w:r>
      <w:r>
        <w:t>русной инфекций. Поэт</w:t>
      </w:r>
      <w:r>
        <w:t>о</w:t>
      </w:r>
      <w:r>
        <w:t>му было решено испытать препарат «Синкогель». Задавали орально, в дозе 3 см</w:t>
      </w:r>
      <w:r>
        <w:rPr>
          <w:vertAlign w:val="superscript"/>
        </w:rPr>
        <w:t>3</w:t>
      </w:r>
      <w:r>
        <w:t>/кг живой массы за 30 минут до выпойки молозива в течение 2-5 дней до полного выздоровления. Эффективность данного препарата составила 92-97%.</w:t>
      </w:r>
    </w:p>
    <w:p w:rsidR="00F4654E" w:rsidRDefault="00F4654E">
      <w:pPr>
        <w:pStyle w:val="a4"/>
      </w:pPr>
      <w:r>
        <w:t>УДК 619:578.823.9:57.082.26</w:t>
      </w:r>
    </w:p>
    <w:p w:rsidR="00F4654E" w:rsidRDefault="00F4654E">
      <w:pPr>
        <w:pStyle w:val="1"/>
      </w:pPr>
      <w:bookmarkStart w:id="3183" w:name="_Toc10731412"/>
      <w:bookmarkStart w:id="3184" w:name="_Toc11137845"/>
      <w:bookmarkStart w:id="3185" w:name="_Toc11138263"/>
      <w:bookmarkStart w:id="3186" w:name="_Toc11138681"/>
      <w:bookmarkStart w:id="3187" w:name="_Toc11139099"/>
      <w:bookmarkStart w:id="3188" w:name="_Toc11139517"/>
      <w:bookmarkStart w:id="3189" w:name="_Toc11139935"/>
      <w:bookmarkStart w:id="3190" w:name="_Toc11140353"/>
      <w:bookmarkStart w:id="3191" w:name="_Toc11390463"/>
      <w:bookmarkStart w:id="3192" w:name="_Toc11840148"/>
      <w:bookmarkStart w:id="3193" w:name="_Toc11937694"/>
      <w:r>
        <w:t>Антигенная активность вакцины против ротавирусной инфекции КРС</w:t>
      </w:r>
      <w:bookmarkEnd w:id="3183"/>
      <w:bookmarkEnd w:id="3184"/>
      <w:bookmarkEnd w:id="3185"/>
      <w:bookmarkEnd w:id="3186"/>
      <w:bookmarkEnd w:id="3187"/>
      <w:bookmarkEnd w:id="3188"/>
      <w:bookmarkEnd w:id="3189"/>
      <w:bookmarkEnd w:id="3190"/>
      <w:bookmarkEnd w:id="3191"/>
      <w:bookmarkEnd w:id="3192"/>
      <w:bookmarkEnd w:id="3193"/>
    </w:p>
    <w:p w:rsidR="00F4654E" w:rsidRDefault="00F4654E">
      <w:pPr>
        <w:pStyle w:val="2"/>
      </w:pPr>
      <w:bookmarkStart w:id="3194" w:name="_Toc10731413"/>
      <w:bookmarkStart w:id="3195" w:name="_Toc11032285"/>
      <w:bookmarkStart w:id="3196" w:name="_Toc11137846"/>
      <w:bookmarkStart w:id="3197" w:name="_Toc11138264"/>
      <w:bookmarkStart w:id="3198" w:name="_Toc11138682"/>
      <w:bookmarkStart w:id="3199" w:name="_Toc11139100"/>
      <w:bookmarkStart w:id="3200" w:name="_Toc11139518"/>
      <w:bookmarkStart w:id="3201" w:name="_Toc11139936"/>
      <w:bookmarkStart w:id="3202" w:name="_Toc11140354"/>
      <w:bookmarkStart w:id="3203" w:name="_Toc11390464"/>
      <w:bookmarkStart w:id="3204" w:name="_Toc11937695"/>
      <w:r>
        <w:t>Мищенко В.А., Жбанова Т.В., Никешина Т.Б.</w:t>
      </w:r>
      <w:bookmarkEnd w:id="3194"/>
      <w:bookmarkEnd w:id="3195"/>
      <w:bookmarkEnd w:id="3196"/>
      <w:bookmarkEnd w:id="3197"/>
      <w:bookmarkEnd w:id="3198"/>
      <w:bookmarkEnd w:id="3199"/>
      <w:bookmarkEnd w:id="3200"/>
      <w:bookmarkEnd w:id="3201"/>
      <w:bookmarkEnd w:id="3202"/>
      <w:bookmarkEnd w:id="3203"/>
      <w:bookmarkEnd w:id="3204"/>
    </w:p>
    <w:p w:rsidR="00F4654E" w:rsidRDefault="00F4654E">
      <w:pPr>
        <w:pStyle w:val="a5"/>
      </w:pPr>
      <w:r>
        <w:t>Всероссийский научно-исследовательский институт защиты животных</w:t>
      </w:r>
    </w:p>
    <w:p w:rsidR="00F4654E" w:rsidRDefault="00F4654E">
      <w:pPr>
        <w:pStyle w:val="a6"/>
      </w:pPr>
      <w:r>
        <w:t>Массовые диареи новорожденных телят представляют группу забол</w:t>
      </w:r>
      <w:r>
        <w:t>е</w:t>
      </w:r>
      <w:r>
        <w:t>ваний этиологично связанных с вирусами, микробами, простейшими и грибами, вирулентность которых повышается на фоне различных неблаг</w:t>
      </w:r>
      <w:r>
        <w:t>о</w:t>
      </w:r>
      <w:r>
        <w:t>приятных условий содержания и кормления особенно сухостойных коров.</w:t>
      </w:r>
    </w:p>
    <w:p w:rsidR="00F4654E" w:rsidRDefault="00F4654E">
      <w:pPr>
        <w:pStyle w:val="a6"/>
      </w:pPr>
      <w:r>
        <w:t>Длительная персистенция ротавирусов, высокая концентрация чувс</w:t>
      </w:r>
      <w:r>
        <w:t>т</w:t>
      </w:r>
      <w:r>
        <w:t>вительных животных, возможность перекрестного заражения в ассоциации с другими факторами, которые снижают резистентность организма, об</w:t>
      </w:r>
      <w:r>
        <w:t>у</w:t>
      </w:r>
      <w:r>
        <w:t>славливают постоянную потенциальную угрозу возникновения вспышек заболевания. Возбудители инфекционных болезней попадают в желудочно – кишечный тракт, как правило, в первые минуты постнатальной жизни новорожденных телят. Теленок рождается слабо защищенным и, попадая в новую среду, насыщенную различными возбудителями болезней, легко инфицируется. В патологии пищеварительной системы телят ведущую роль играют вирусы (рота-, корона-, парво-, калици- и др.), которые при репликации вызывают серьезную деструкцию энтероцитов. Диареи у телят чаще всего появляются к концу первого дня их жизни. Меры, основанные на применении способов симптоматической, патогенетической и антиба</w:t>
      </w:r>
      <w:r>
        <w:t>к</w:t>
      </w:r>
      <w:r>
        <w:t>териальной терапии, хотя и заметно, но не стабильно улучшают ситуацию по вирусным диареям новорожденных телят.</w:t>
      </w:r>
    </w:p>
    <w:p w:rsidR="00F4654E" w:rsidRDefault="00F4654E">
      <w:pPr>
        <w:pStyle w:val="a6"/>
      </w:pPr>
      <w:r>
        <w:t>В защите новорожденных телят от возбудителей кишечных болезней основную роль играют колостральные антитела, постоянно присутству</w:t>
      </w:r>
      <w:r>
        <w:t>ю</w:t>
      </w:r>
      <w:r>
        <w:t>щие в просвете кишечника, и элементы клеточного иммунитета слизистой оболочки кишечника, активированные через молозиво элементами имм</w:t>
      </w:r>
      <w:r>
        <w:t>у</w:t>
      </w:r>
      <w:r>
        <w:t xml:space="preserve">нокомпетентной системы матери. Практическое значение при вирусных </w:t>
      </w:r>
      <w:r>
        <w:lastRenderedPageBreak/>
        <w:t>инфекциях новорожденных телят имеет колостральный иммунитет, об</w:t>
      </w:r>
      <w:r>
        <w:t>у</w:t>
      </w:r>
      <w:r>
        <w:t>словленный поступлением с молозивом в организм телят первых дней жизни специфических антител, а также иммунокомпетентных клеток и других протективных факторов.</w:t>
      </w:r>
    </w:p>
    <w:p w:rsidR="00F4654E" w:rsidRDefault="00F4654E">
      <w:pPr>
        <w:pStyle w:val="a6"/>
      </w:pPr>
      <w:r>
        <w:t>С целью профилактики диареи, вызванной вирусами, стельных коров вакцинируют в конце сухостойного периода, что обеспечивает высокую концентрацию антител в организме новорожденных телят. Кормление т</w:t>
      </w:r>
      <w:r>
        <w:t>е</w:t>
      </w:r>
      <w:r>
        <w:t>лят молозивом от матерей, ранее иммунизированных инактивированной вакциной, может предотвращать появление диареи у телят.</w:t>
      </w:r>
    </w:p>
    <w:p w:rsidR="00F4654E" w:rsidRDefault="00F4654E">
      <w:pPr>
        <w:pStyle w:val="a6"/>
      </w:pPr>
      <w:r>
        <w:t>Ротавирусы занимают ведущую роль среди возбудителей диарей н</w:t>
      </w:r>
      <w:r>
        <w:t>о</w:t>
      </w:r>
      <w:r>
        <w:t>ворожденных телят. Многочисленные исследования ученых разных стран, наблюдения практиков свидетельствуют о целесообразности создания в</w:t>
      </w:r>
      <w:r>
        <w:t>ы</w:t>
      </w:r>
      <w:r>
        <w:t>сокоэффективных специфических препаратов для профилактики ротав</w:t>
      </w:r>
      <w:r>
        <w:t>и</w:t>
      </w:r>
      <w:r>
        <w:t>русной диареи новорожденных телят.</w:t>
      </w:r>
    </w:p>
    <w:p w:rsidR="00F4654E" w:rsidRDefault="00F4654E">
      <w:pPr>
        <w:pStyle w:val="a6"/>
      </w:pPr>
      <w:r>
        <w:t>Во Всероссийском научно-исследовательском институте защиты ж</w:t>
      </w:r>
      <w:r>
        <w:t>и</w:t>
      </w:r>
      <w:r>
        <w:t>вотных разработана вакцина против ротавирусной инфекции КРС сорб</w:t>
      </w:r>
      <w:r>
        <w:t>и</w:t>
      </w:r>
      <w:r>
        <w:t>рованная инактивированная. В данном сообщении приведены результаты изучения свойств этого препарата. В опытах использовали 15 серий вакц</w:t>
      </w:r>
      <w:r>
        <w:t>и</w:t>
      </w:r>
      <w:r>
        <w:t>ны против ротавирусной инфекции крупного рогатого скота сорбирова</w:t>
      </w:r>
      <w:r>
        <w:t>н</w:t>
      </w:r>
      <w:r>
        <w:t>ной инактивированной.</w:t>
      </w:r>
    </w:p>
    <w:p w:rsidR="00F4654E" w:rsidRDefault="00F4654E">
      <w:pPr>
        <w:pStyle w:val="a6"/>
      </w:pPr>
      <w:r>
        <w:t>При качественном контроле антигенной активности использовали 10 морских свинок с живой массой 0.4-0.5 кг и 3 кролика с живой массой 2.0-3.0 кг, которым вводили вакцину в дозе 0.5 см</w:t>
      </w:r>
      <w:r>
        <w:rPr>
          <w:vertAlign w:val="superscript"/>
        </w:rPr>
        <w:t>3</w:t>
      </w:r>
      <w:r>
        <w:t xml:space="preserve"> и 2.0 см</w:t>
      </w:r>
      <w:r>
        <w:rPr>
          <w:vertAlign w:val="superscript"/>
        </w:rPr>
        <w:t>3</w:t>
      </w:r>
      <w:r>
        <w:t xml:space="preserve"> соответственно. Через 14 суток после двукратного введения вакцины с интервалом 20-25 суток животных обескровливали. Полученные сыворотки исследовали в реакции диффузионной преципитации и иммуноферментном анализе.</w:t>
      </w:r>
    </w:p>
    <w:p w:rsidR="00F4654E" w:rsidRDefault="00F4654E">
      <w:pPr>
        <w:pStyle w:val="a6"/>
      </w:pPr>
      <w:r>
        <w:t>Титры антител в сыворотках крови морских свинок и кроликов в р</w:t>
      </w:r>
      <w:r>
        <w:t>е</w:t>
      </w:r>
      <w:r>
        <w:t>акции диффузионной преципитации были 5.1 - 6.5 лог</w:t>
      </w:r>
      <w:r>
        <w:rPr>
          <w:vertAlign w:val="subscript"/>
        </w:rPr>
        <w:t>2</w:t>
      </w:r>
      <w:r>
        <w:t xml:space="preserve"> (среднее 5.62 </w:t>
      </w:r>
      <w:r>
        <w:rPr>
          <w:u w:val="single"/>
        </w:rPr>
        <w:t>±</w:t>
      </w:r>
      <w:r>
        <w:t xml:space="preserve"> 0.8 лог</w:t>
      </w:r>
      <w:r>
        <w:rPr>
          <w:vertAlign w:val="subscript"/>
        </w:rPr>
        <w:t>2</w:t>
      </w:r>
      <w:r>
        <w:t>) и 4.8 - 8.2 лог</w:t>
      </w:r>
      <w:r>
        <w:rPr>
          <w:vertAlign w:val="subscript"/>
        </w:rPr>
        <w:t xml:space="preserve">2 </w:t>
      </w:r>
      <w:r>
        <w:t xml:space="preserve">(среднее 6.06 </w:t>
      </w:r>
      <w:r>
        <w:rPr>
          <w:u w:val="single"/>
        </w:rPr>
        <w:t xml:space="preserve">± </w:t>
      </w:r>
      <w:r>
        <w:t>0.74) соответственно. Результаты этих исследований свидетельствуют о том, что испытуемый препарат обладает выраженной антигенной активностью.</w:t>
      </w:r>
    </w:p>
    <w:p w:rsidR="00F4654E" w:rsidRDefault="00F4654E">
      <w:pPr>
        <w:pStyle w:val="a6"/>
      </w:pPr>
      <w:r>
        <w:t>Однако эти результаты не позволяют полностью объективно оценить качество вакцины, т.к. по данным А.И. Дудникова (1991) для обеспечения гарантированной защиты у 80-90% животных вакцина в испытуемой дозе должна индуцировать указанный уровень антител у 16 вакцинированных животных. Наиболее объективная оценка антигенной активности вакцины получается при количественном методе контроля на лабораторных живо</w:t>
      </w:r>
      <w:r>
        <w:t>т</w:t>
      </w:r>
      <w:r>
        <w:t>ных. При количественном контроле с целью установления 50%-ой имм</w:t>
      </w:r>
      <w:r>
        <w:t>у</w:t>
      </w:r>
      <w:r>
        <w:t>низирующей дозы, морских свинок прививали препаратом в дозах 0.1; 0.2; 0.4 и 0.8 см</w:t>
      </w:r>
      <w:r>
        <w:rPr>
          <w:vertAlign w:val="superscript"/>
        </w:rPr>
        <w:t>3</w:t>
      </w:r>
      <w:r>
        <w:t xml:space="preserve"> по 4-6 голов на каждую дозу.</w:t>
      </w:r>
    </w:p>
    <w:p w:rsidR="00F4654E" w:rsidRDefault="00F4654E">
      <w:pPr>
        <w:pStyle w:val="a6"/>
      </w:pPr>
      <w:r>
        <w:t>ИмД</w:t>
      </w:r>
      <w:r>
        <w:rPr>
          <w:vertAlign w:val="subscript"/>
        </w:rPr>
        <w:t>50</w:t>
      </w:r>
      <w:r>
        <w:t xml:space="preserve"> высчитывали по формуле: </w:t>
      </w:r>
      <w:r>
        <w:rPr>
          <w:i/>
        </w:rPr>
        <w:t>ИмД</w:t>
      </w:r>
      <w:r>
        <w:rPr>
          <w:i/>
          <w:vertAlign w:val="subscript"/>
        </w:rPr>
        <w:t xml:space="preserve">50 </w:t>
      </w:r>
      <w:r>
        <w:rPr>
          <w:i/>
        </w:rPr>
        <w:t>= лог Дn – σ (∑Li - 0.5</w:t>
      </w:r>
      <w:r>
        <w:t xml:space="preserve">), где </w:t>
      </w:r>
      <w:r>
        <w:rPr>
          <w:i/>
        </w:rPr>
        <w:t>ИмД</w:t>
      </w:r>
      <w:r>
        <w:rPr>
          <w:i/>
          <w:vertAlign w:val="subscript"/>
        </w:rPr>
        <w:t>50</w:t>
      </w:r>
      <w:r>
        <w:rPr>
          <w:vertAlign w:val="subscript"/>
        </w:rPr>
        <w:t xml:space="preserve"> </w:t>
      </w:r>
      <w:r>
        <w:t>- минимальная иммунизирующая доза вакцины, которая индуцир</w:t>
      </w:r>
      <w:r>
        <w:t>о</w:t>
      </w:r>
      <w:r>
        <w:t xml:space="preserve">вала у 50% привитых морских свинок преципитирующие антитела в титре </w:t>
      </w:r>
      <w:r>
        <w:lastRenderedPageBreak/>
        <w:t>4.0 лог</w:t>
      </w:r>
      <w:r>
        <w:rPr>
          <w:vertAlign w:val="subscript"/>
        </w:rPr>
        <w:t>2</w:t>
      </w:r>
      <w:r>
        <w:t xml:space="preserve">; </w:t>
      </w:r>
      <w:r>
        <w:rPr>
          <w:i/>
        </w:rPr>
        <w:t xml:space="preserve">Дn </w:t>
      </w:r>
      <w:r>
        <w:t xml:space="preserve">- максимальная из испытуемых доз; </w:t>
      </w:r>
      <w:r>
        <w:rPr>
          <w:i/>
        </w:rPr>
        <w:t>σ</w:t>
      </w:r>
      <w:r>
        <w:t xml:space="preserve"> - логарифм кратности дозы вакцины, который в данном случае равен 2; </w:t>
      </w:r>
      <w:r>
        <w:rPr>
          <w:i/>
        </w:rPr>
        <w:t>∑Li</w:t>
      </w:r>
      <w:r>
        <w:t xml:space="preserve"> -  сумма значений; </w:t>
      </w:r>
      <w:r>
        <w:rPr>
          <w:i/>
        </w:rPr>
        <w:t>Li</w:t>
      </w:r>
      <w:r>
        <w:t xml:space="preserve"> - отношение числа положительных результатов проверки сыворотки ва</w:t>
      </w:r>
      <w:r>
        <w:t>к</w:t>
      </w:r>
      <w:r>
        <w:t>цинированных морских свинок к общему количеству испытанных по ка</w:t>
      </w:r>
      <w:r>
        <w:t>ж</w:t>
      </w:r>
      <w:r>
        <w:t xml:space="preserve">дой дозе. Показатели </w:t>
      </w:r>
      <w:r>
        <w:rPr>
          <w:i/>
        </w:rPr>
        <w:t>ИмД</w:t>
      </w:r>
      <w:r>
        <w:rPr>
          <w:i/>
          <w:vertAlign w:val="subscript"/>
        </w:rPr>
        <w:t>50</w:t>
      </w:r>
      <w:r>
        <w:rPr>
          <w:i/>
        </w:rPr>
        <w:t xml:space="preserve">, </w:t>
      </w:r>
      <w:r>
        <w:t>колеблющиеся от 0.018 до 0.080 (среднее 0.055), свидетельствуют о том, что в прививной дозе вакцины (2 см</w:t>
      </w:r>
      <w:r>
        <w:rPr>
          <w:vertAlign w:val="superscript"/>
        </w:rPr>
        <w:t>3</w:t>
      </w:r>
      <w:r>
        <w:t>) с</w:t>
      </w:r>
      <w:r>
        <w:t>о</w:t>
      </w:r>
      <w:r>
        <w:t>держится более 20 иммунизирующих доз. Антигенную активность исп</w:t>
      </w:r>
      <w:r>
        <w:t>ы</w:t>
      </w:r>
      <w:r>
        <w:t>туемой вакцины определяли и на глубокостельных коровах, которых и</w:t>
      </w:r>
      <w:r>
        <w:t>м</w:t>
      </w:r>
      <w:r>
        <w:t>мунизировали двукратно: за 1.5 месяца до отела и через 20-25 дней после первой вакцинации. Результаты исследования в ИФА сывороток от этих животных показали, что за 7 дней до отела, антитела к ротавирусу выявл</w:t>
      </w:r>
      <w:r>
        <w:t>я</w:t>
      </w:r>
      <w:r>
        <w:t>лись в титрах выше 10.0 лог</w:t>
      </w:r>
      <w:r>
        <w:rPr>
          <w:vertAlign w:val="subscript"/>
        </w:rPr>
        <w:t>2</w:t>
      </w:r>
      <w:r>
        <w:t xml:space="preserve"> (10.3 – 11.8 лог</w:t>
      </w:r>
      <w:r>
        <w:rPr>
          <w:vertAlign w:val="subscript"/>
        </w:rPr>
        <w:t>2</w:t>
      </w:r>
      <w:r>
        <w:t>).</w:t>
      </w:r>
    </w:p>
    <w:p w:rsidR="0001153D" w:rsidRDefault="00F4654E">
      <w:pPr>
        <w:pStyle w:val="a6"/>
      </w:pPr>
      <w:r>
        <w:t>В молозиве от вакцинированных коров, в первые дни после отела, а</w:t>
      </w:r>
      <w:r>
        <w:t>н</w:t>
      </w:r>
      <w:r>
        <w:t>титела к ротавирусу обнаруживались в титрах 12.4 – 14.7 лог</w:t>
      </w:r>
      <w:r>
        <w:rPr>
          <w:vertAlign w:val="subscript"/>
        </w:rPr>
        <w:t>2</w:t>
      </w:r>
      <w:r>
        <w:t>. Своевр</w:t>
      </w:r>
      <w:r>
        <w:t>е</w:t>
      </w:r>
      <w:r>
        <w:t>менное выпаивание новорожденным телятам такого молозива вызывает у них выработку однородного пассивного иммунитета с уровнем колос</w:t>
      </w:r>
      <w:r>
        <w:t>т</w:t>
      </w:r>
      <w:r>
        <w:t>ральных антител (7.0 – 8.5 лог</w:t>
      </w:r>
      <w:r>
        <w:rPr>
          <w:vertAlign w:val="subscript"/>
        </w:rPr>
        <w:t>2</w:t>
      </w:r>
      <w:r>
        <w:t>). К концу недели отмечалось резкое сниж</w:t>
      </w:r>
      <w:r>
        <w:t>е</w:t>
      </w:r>
      <w:r>
        <w:t>ние уровня антител в молозиве до 6.4 лог</w:t>
      </w:r>
      <w:r>
        <w:rPr>
          <w:vertAlign w:val="subscript"/>
        </w:rPr>
        <w:t>2</w:t>
      </w:r>
      <w:r>
        <w:t xml:space="preserve"> (ИФА). </w:t>
      </w:r>
    </w:p>
    <w:p w:rsidR="00F4654E" w:rsidRDefault="00F4654E">
      <w:pPr>
        <w:pStyle w:val="a6"/>
      </w:pPr>
      <w:r>
        <w:t>Наряду с этим отмечалась гетерогенность уровн</w:t>
      </w:r>
      <w:r w:rsidR="0001153D">
        <w:t>ей антител в сыворо</w:t>
      </w:r>
      <w:r w:rsidR="0001153D">
        <w:t>т</w:t>
      </w:r>
      <w:r w:rsidR="0001153D">
        <w:t xml:space="preserve">ках крови 2 – </w:t>
      </w:r>
      <w:r>
        <w:t>3</w:t>
      </w:r>
      <w:r w:rsidR="0001153D">
        <w:t>-</w:t>
      </w:r>
      <w:r>
        <w:t>дневных телят получавших молозиво от вакцинированных коров. У новорожденных телят, родившихся днем, уровень антител к рот</w:t>
      </w:r>
      <w:r>
        <w:t>а</w:t>
      </w:r>
      <w:r>
        <w:t>вирусу в сыворотки крови был достоверно выше, чем у телят родившихся ночью. Вероятно это связано с несвоевременной выпойкой молозива тел</w:t>
      </w:r>
      <w:r>
        <w:t>я</w:t>
      </w:r>
      <w:r>
        <w:t>там родившимся ночью.</w:t>
      </w:r>
    </w:p>
    <w:p w:rsidR="00F4654E" w:rsidRDefault="00F4654E">
      <w:pPr>
        <w:pStyle w:val="a6"/>
      </w:pPr>
      <w:r>
        <w:t>В хозяйствах, где циркулирует ротавирус, но не проводится вакцин</w:t>
      </w:r>
      <w:r>
        <w:t>а</w:t>
      </w:r>
      <w:r>
        <w:t>ция глубокостельных коров, вирусспецифические антитела обнаруживаю</w:t>
      </w:r>
      <w:r>
        <w:t>т</w:t>
      </w:r>
      <w:r>
        <w:t>ся в ИФА у 20% новорожденных телят в титрах 7.2-8.5 лог</w:t>
      </w:r>
      <w:r>
        <w:rPr>
          <w:vertAlign w:val="subscript"/>
        </w:rPr>
        <w:t>2</w:t>
      </w:r>
      <w:r>
        <w:t>. Применение разработанной вакцины против ротавирусной инфекции КРС сорбирова</w:t>
      </w:r>
      <w:r>
        <w:t>н</w:t>
      </w:r>
      <w:r>
        <w:t>ной инактивированной на 2292 глубокостельных коровах в 19 хозяйствах, позволило снизить заболевание телят в 3.8 раза и повысить сохранность телят в 7.3 раза, что показывает ее высокую противоэпизоотическую э</w:t>
      </w:r>
      <w:r>
        <w:t>ф</w:t>
      </w:r>
      <w:r>
        <w:t>фективность (95.5%).</w:t>
      </w:r>
    </w:p>
    <w:p w:rsidR="00F4654E" w:rsidRDefault="00F4654E">
      <w:pPr>
        <w:pStyle w:val="a4"/>
      </w:pPr>
      <w:r>
        <w:t>УДК 619:618:639.1</w:t>
      </w:r>
    </w:p>
    <w:p w:rsidR="00F4654E" w:rsidRDefault="00F4654E">
      <w:pPr>
        <w:pStyle w:val="1"/>
      </w:pPr>
      <w:bookmarkStart w:id="3205" w:name="_Toc10731406"/>
      <w:bookmarkStart w:id="3206" w:name="_Toc11137837"/>
      <w:bookmarkStart w:id="3207" w:name="_Toc11138255"/>
      <w:bookmarkStart w:id="3208" w:name="_Toc11138673"/>
      <w:bookmarkStart w:id="3209" w:name="_Toc11139091"/>
      <w:bookmarkStart w:id="3210" w:name="_Toc11139509"/>
      <w:bookmarkStart w:id="3211" w:name="_Toc11139927"/>
      <w:bookmarkStart w:id="3212" w:name="_Toc11140345"/>
      <w:bookmarkStart w:id="3213" w:name="_Toc11390455"/>
      <w:bookmarkStart w:id="3214" w:name="_Toc11840142"/>
      <w:bookmarkStart w:id="3215" w:name="_Toc11937696"/>
      <w:r>
        <w:t>АНОПРЕПУЦИОПЛАСТИКА – СПОСОБ ПОДГОТОВКИ САМЦОВ ПРОБНИКОВ В НУТРИЕВОДСТВЕ</w:t>
      </w:r>
      <w:bookmarkEnd w:id="3205"/>
      <w:bookmarkEnd w:id="3206"/>
      <w:bookmarkEnd w:id="3207"/>
      <w:bookmarkEnd w:id="3208"/>
      <w:bookmarkEnd w:id="3209"/>
      <w:bookmarkEnd w:id="3210"/>
      <w:bookmarkEnd w:id="3211"/>
      <w:bookmarkEnd w:id="3212"/>
      <w:bookmarkEnd w:id="3213"/>
      <w:bookmarkEnd w:id="3214"/>
      <w:bookmarkEnd w:id="3215"/>
    </w:p>
    <w:p w:rsidR="00F4654E" w:rsidRDefault="00F4654E">
      <w:pPr>
        <w:pStyle w:val="2"/>
      </w:pPr>
      <w:bookmarkStart w:id="3216" w:name="_Toc10731407"/>
      <w:bookmarkStart w:id="3217" w:name="_Toc11032282"/>
      <w:bookmarkStart w:id="3218" w:name="_Toc11137838"/>
      <w:bookmarkStart w:id="3219" w:name="_Toc11138256"/>
      <w:bookmarkStart w:id="3220" w:name="_Toc11138674"/>
      <w:bookmarkStart w:id="3221" w:name="_Toc11139092"/>
      <w:bookmarkStart w:id="3222" w:name="_Toc11139510"/>
      <w:bookmarkStart w:id="3223" w:name="_Toc11139928"/>
      <w:bookmarkStart w:id="3224" w:name="_Toc11140346"/>
      <w:bookmarkStart w:id="3225" w:name="_Toc11390456"/>
      <w:bookmarkStart w:id="3226" w:name="_Toc11937697"/>
      <w:r>
        <w:t>Миронова Л.П., Войтенко Л.Г.</w:t>
      </w:r>
      <w:bookmarkEnd w:id="3216"/>
      <w:bookmarkEnd w:id="3217"/>
      <w:bookmarkEnd w:id="3218"/>
      <w:bookmarkEnd w:id="3219"/>
      <w:bookmarkEnd w:id="3220"/>
      <w:bookmarkEnd w:id="3221"/>
      <w:bookmarkEnd w:id="3222"/>
      <w:bookmarkEnd w:id="3223"/>
      <w:bookmarkEnd w:id="3224"/>
      <w:bookmarkEnd w:id="3225"/>
      <w:bookmarkEnd w:id="3226"/>
    </w:p>
    <w:p w:rsidR="00F4654E" w:rsidRDefault="00F4654E">
      <w:pPr>
        <w:pStyle w:val="a5"/>
      </w:pPr>
      <w:r>
        <w:t>Донской государственный аграрный университет</w:t>
      </w:r>
    </w:p>
    <w:p w:rsidR="00F4654E" w:rsidRDefault="00F4654E">
      <w:pPr>
        <w:pStyle w:val="a6"/>
      </w:pPr>
      <w:r>
        <w:t>Нутрии отличаются ранним половым созреванием. При хороших у</w:t>
      </w:r>
      <w:r>
        <w:t>с</w:t>
      </w:r>
      <w:r>
        <w:t>ловиях содержания и кормления самки достигают половой зрелости уже в 4-5 месяцев. Однако рост и развитие их в этом возрасте ещё продолжаю</w:t>
      </w:r>
      <w:r>
        <w:t>т</w:t>
      </w:r>
      <w:r>
        <w:t>ся, и пускают их в случку при наступлении физиологической зрелости в 7-</w:t>
      </w:r>
      <w:r>
        <w:lastRenderedPageBreak/>
        <w:t>8 месяцев, с массой тела 3,5-4,5 кг. Половые циклы варьируют у самок нутрии от 25 до 30 суток.</w:t>
      </w:r>
    </w:p>
    <w:p w:rsidR="00F4654E" w:rsidRDefault="00F4654E">
      <w:pPr>
        <w:pStyle w:val="a6"/>
      </w:pPr>
      <w:r>
        <w:t>Мощным физиологическим стимулятором развития репродуктивной системы самок и фактором, ускоряющим наступление физиологической зрелости, является самец. Но совместное содержание молодых особей м</w:t>
      </w:r>
      <w:r>
        <w:t>о</w:t>
      </w:r>
      <w:r>
        <w:t>жет привести к ранней нежелательной беременности.</w:t>
      </w:r>
    </w:p>
    <w:p w:rsidR="00F4654E" w:rsidRDefault="00F4654E">
      <w:pPr>
        <w:pStyle w:val="a6"/>
      </w:pPr>
      <w:r>
        <w:t>Целью нашей работы была подготовка самцов-пробников, не спосо</w:t>
      </w:r>
      <w:r>
        <w:t>б</w:t>
      </w:r>
      <w:r>
        <w:t>ных к оплодотворению, путём фиксации свободной части препуция ка</w:t>
      </w:r>
      <w:r>
        <w:t>у</w:t>
      </w:r>
      <w:r>
        <w:t>дально, по направлению к анальному отверстию (анопрепуциопластика) и изучение возможности их для использования стимуляции развития репр</w:t>
      </w:r>
      <w:r>
        <w:t>о</w:t>
      </w:r>
      <w:r>
        <w:t>дуктивных органов самок.</w:t>
      </w:r>
    </w:p>
    <w:p w:rsidR="00F4654E" w:rsidRDefault="00F4654E">
      <w:pPr>
        <w:pStyle w:val="a6"/>
      </w:pPr>
      <w:r>
        <w:t>В основе способа подготовки лежит ярко выраженная особенность в строении и топографии препуция и полового члена самцов нутрий. Преп</w:t>
      </w:r>
      <w:r>
        <w:t>у</w:t>
      </w:r>
      <w:r>
        <w:t>ций имеет довольно большую свободную часть (не связанную с брюшной стенкой). Половой член имеет V-образный изгиб и при мочеиспускании направлен каудально, в сторону анального отверстия (хвоста). При эре</w:t>
      </w:r>
      <w:r>
        <w:t>к</w:t>
      </w:r>
      <w:r>
        <w:t>ции половой член вместе со свободной частью препуция поворачивается в сторону головы животного.</w:t>
      </w:r>
    </w:p>
    <w:p w:rsidR="00F4654E" w:rsidRDefault="00F4654E">
      <w:pPr>
        <w:pStyle w:val="a6"/>
      </w:pPr>
      <w:r>
        <w:t>Для эксперимента подобрали 6 самцов нутрий в шестимесячном во</w:t>
      </w:r>
      <w:r>
        <w:t>з</w:t>
      </w:r>
      <w:r>
        <w:t>расте, хорошо развитых, активных в половом отношении. Операцию по фиксации свободной части препуция осуществляли следующим образом: самцу вводили для обездвиживания 0,2%-ный раствор рометара в дозе 0,15 мл на 1 кг живой массы. Фиксировали в спинном положении в станке для мелких животных. В препуциальный мешок вводили трубку, диаметром 0,5 см. По линии разреза инфильтрировали 0,5%-ный раствор новокаина. Первый разрез делали отступив от препуциального отверстия 1,5-2 мм, не доходя до анального отверстия 5-8 мм, направляя его несколько влево от белой линии живота (10°), а второй разрез на 10° вправо от белой линии живота. Соединяли продольные разрезы третьим поперечным, отпрепар</w:t>
      </w:r>
      <w:r>
        <w:t>о</w:t>
      </w:r>
      <w:r>
        <w:t>вывали кожный лоскут в форме треугольника. Соединяли кожу препуция и брюшной стенки прерывистым узловатым швом (5-7 стежков). Обрабат</w:t>
      </w:r>
      <w:r>
        <w:t>ы</w:t>
      </w:r>
      <w:r>
        <w:t>вали Чеми-спреем края раны.</w:t>
      </w:r>
    </w:p>
    <w:p w:rsidR="00F4654E" w:rsidRDefault="00F4654E">
      <w:pPr>
        <w:pStyle w:val="a6"/>
      </w:pPr>
      <w:r>
        <w:t>Послеоперационный период протекал гладко, заживление ран прои</w:t>
      </w:r>
      <w:r>
        <w:t>с</w:t>
      </w:r>
      <w:r>
        <w:t>ходило по первичному натяжению. Швы снимали на 8-9 сутки после оп</w:t>
      </w:r>
      <w:r>
        <w:t>е</w:t>
      </w:r>
      <w:r>
        <w:t>рации. За оперированными самцами вели ежедневные наблюдения. Через месяц после операции к каждому из них подсадили по 5-6 самок в 3-4 м</w:t>
      </w:r>
      <w:r>
        <w:t>е</w:t>
      </w:r>
      <w:r>
        <w:t>сячном возрасте сроком на 2-3 месяца. У оперированных самцов ярко пр</w:t>
      </w:r>
      <w:r>
        <w:t>о</w:t>
      </w:r>
      <w:r>
        <w:t>являлись половые рефлексы: обнимательный, эрекции и эякуляции. Ре</w:t>
      </w:r>
      <w:r>
        <w:t>ф</w:t>
      </w:r>
      <w:r>
        <w:t xml:space="preserve">лекс совокупления отсутствовал. </w:t>
      </w:r>
    </w:p>
    <w:p w:rsidR="0001153D" w:rsidRDefault="0001153D">
      <w:pPr>
        <w:pStyle w:val="a4"/>
      </w:pPr>
    </w:p>
    <w:p w:rsidR="0001153D" w:rsidRDefault="0001153D">
      <w:pPr>
        <w:pStyle w:val="a4"/>
      </w:pPr>
    </w:p>
    <w:p w:rsidR="00F4654E" w:rsidRDefault="00F4654E">
      <w:pPr>
        <w:pStyle w:val="a4"/>
      </w:pPr>
      <w:r>
        <w:lastRenderedPageBreak/>
        <w:t>УДК 619:618:639.1</w:t>
      </w:r>
    </w:p>
    <w:p w:rsidR="00F4654E" w:rsidRDefault="00F4654E">
      <w:pPr>
        <w:pStyle w:val="1"/>
      </w:pPr>
      <w:bookmarkStart w:id="3227" w:name="_Toc10731404"/>
      <w:bookmarkStart w:id="3228" w:name="_Toc11137839"/>
      <w:bookmarkStart w:id="3229" w:name="_Toc11138257"/>
      <w:bookmarkStart w:id="3230" w:name="_Toc11138675"/>
      <w:bookmarkStart w:id="3231" w:name="_Toc11139093"/>
      <w:bookmarkStart w:id="3232" w:name="_Toc11139511"/>
      <w:bookmarkStart w:id="3233" w:name="_Toc11139929"/>
      <w:bookmarkStart w:id="3234" w:name="_Toc11140347"/>
      <w:bookmarkStart w:id="3235" w:name="_Toc11390457"/>
      <w:bookmarkStart w:id="3236" w:name="_Toc11840140"/>
      <w:bookmarkStart w:id="3237" w:name="_Toc11937698"/>
      <w:r>
        <w:t>ВЛИЯНИЕ САМЦОВ НА РАЗВИТИЕ РЕПРОДУКТИВНОЙ СИСТЕМЫ САМОК НУТРИЙ</w:t>
      </w:r>
      <w:bookmarkEnd w:id="3227"/>
      <w:bookmarkEnd w:id="3228"/>
      <w:bookmarkEnd w:id="3229"/>
      <w:bookmarkEnd w:id="3230"/>
      <w:bookmarkEnd w:id="3231"/>
      <w:bookmarkEnd w:id="3232"/>
      <w:bookmarkEnd w:id="3233"/>
      <w:bookmarkEnd w:id="3234"/>
      <w:bookmarkEnd w:id="3235"/>
      <w:bookmarkEnd w:id="3236"/>
      <w:bookmarkEnd w:id="3237"/>
    </w:p>
    <w:p w:rsidR="00F4654E" w:rsidRDefault="00F4654E">
      <w:pPr>
        <w:pStyle w:val="2"/>
      </w:pPr>
      <w:bookmarkStart w:id="3238" w:name="_Toc10731405"/>
      <w:bookmarkStart w:id="3239" w:name="_Toc11032281"/>
      <w:bookmarkStart w:id="3240" w:name="_Toc11137840"/>
      <w:bookmarkStart w:id="3241" w:name="_Toc11138258"/>
      <w:bookmarkStart w:id="3242" w:name="_Toc11138676"/>
      <w:bookmarkStart w:id="3243" w:name="_Toc11139094"/>
      <w:bookmarkStart w:id="3244" w:name="_Toc11139512"/>
      <w:bookmarkStart w:id="3245" w:name="_Toc11139930"/>
      <w:bookmarkStart w:id="3246" w:name="_Toc11140348"/>
      <w:bookmarkStart w:id="3247" w:name="_Toc11390458"/>
      <w:bookmarkStart w:id="3248" w:name="_Toc11937699"/>
      <w:r>
        <w:t>Миронова Л.П., Войтенко Л.Г., Ретинский Д.А.</w:t>
      </w:r>
      <w:bookmarkEnd w:id="3238"/>
      <w:bookmarkEnd w:id="3239"/>
      <w:bookmarkEnd w:id="3240"/>
      <w:bookmarkEnd w:id="3241"/>
      <w:bookmarkEnd w:id="3242"/>
      <w:bookmarkEnd w:id="3243"/>
      <w:bookmarkEnd w:id="3244"/>
      <w:bookmarkEnd w:id="3245"/>
      <w:bookmarkEnd w:id="3246"/>
      <w:bookmarkEnd w:id="3247"/>
      <w:bookmarkEnd w:id="3248"/>
    </w:p>
    <w:p w:rsidR="00F4654E" w:rsidRDefault="00F4654E">
      <w:pPr>
        <w:pStyle w:val="a5"/>
      </w:pPr>
      <w:r>
        <w:t>Донской государственный аграрный университет</w:t>
      </w:r>
    </w:p>
    <w:p w:rsidR="00F4654E" w:rsidRDefault="00F4654E">
      <w:pPr>
        <w:pStyle w:val="a6"/>
      </w:pPr>
      <w:r>
        <w:t>Регулируемое воспроизводство стада нутрий – важный резерв пов</w:t>
      </w:r>
      <w:r>
        <w:t>ы</w:t>
      </w:r>
      <w:r>
        <w:t>шения плодовитости животных. В природе нутрии живут вольно больш</w:t>
      </w:r>
      <w:r>
        <w:t>и</w:t>
      </w:r>
      <w:r>
        <w:t>ми разнополыми группами (семьями, гаремами). При технологическом разделении самок и самцов задерживаются физиологические процессы в их организме.</w:t>
      </w:r>
    </w:p>
    <w:p w:rsidR="00F4654E" w:rsidRDefault="00F4654E">
      <w:pPr>
        <w:pStyle w:val="a6"/>
      </w:pPr>
      <w:r>
        <w:t>Целью настоящих исследований было изучение влияние оперирова</w:t>
      </w:r>
      <w:r>
        <w:t>н</w:t>
      </w:r>
      <w:r>
        <w:t>ного самца на интенсивность развития репродуктивных органов самок нутрий. Для проведения эксперимента подобрали 12 самок нутрий в во</w:t>
      </w:r>
      <w:r>
        <w:t>з</w:t>
      </w:r>
      <w:r>
        <w:t xml:space="preserve">расте 5 месяцев. Из них сформировали по принципу пар-аналогов две группы (опытную и контрольную) по шесть голов в каждой. </w:t>
      </w:r>
    </w:p>
    <w:p w:rsidR="00F4654E" w:rsidRPr="0001153D" w:rsidRDefault="00F4654E">
      <w:pPr>
        <w:pStyle w:val="a6"/>
        <w:rPr>
          <w:spacing w:val="-4"/>
        </w:rPr>
      </w:pPr>
      <w:r w:rsidRPr="0001153D">
        <w:rPr>
          <w:spacing w:val="-4"/>
        </w:rPr>
        <w:t>Самок опытной группы содержали совместно с одним оперированным самцом (неспособным к совокуплению), подготовленным путём анопреп</w:t>
      </w:r>
      <w:r w:rsidRPr="0001153D">
        <w:rPr>
          <w:spacing w:val="-4"/>
        </w:rPr>
        <w:t>у</w:t>
      </w:r>
      <w:r w:rsidRPr="0001153D">
        <w:rPr>
          <w:spacing w:val="-4"/>
        </w:rPr>
        <w:t>циопластики. Самок контрольной группы содержали отдельно от самцов. Условия содержания и энергетический уровень кормления животных в опы</w:t>
      </w:r>
      <w:r w:rsidRPr="0001153D">
        <w:rPr>
          <w:spacing w:val="-4"/>
        </w:rPr>
        <w:t>т</w:t>
      </w:r>
      <w:r w:rsidRPr="0001153D">
        <w:rPr>
          <w:spacing w:val="-4"/>
        </w:rPr>
        <w:t>ной и контрольной группах были одинаковыми. За животными обеих групп вели ежедневные наблюдения в течение двух месяцев. Самки опытной гру</w:t>
      </w:r>
      <w:r w:rsidRPr="0001153D">
        <w:rPr>
          <w:spacing w:val="-4"/>
        </w:rPr>
        <w:t>п</w:t>
      </w:r>
      <w:r w:rsidRPr="0001153D">
        <w:rPr>
          <w:spacing w:val="-4"/>
        </w:rPr>
        <w:t>пы активно общались с оперированным самцом. В этой группе у самцов и самок ярко проявлялись безусловные половые рефлексы – обн</w:t>
      </w:r>
      <w:r w:rsidRPr="0001153D">
        <w:rPr>
          <w:spacing w:val="-4"/>
        </w:rPr>
        <w:t>и</w:t>
      </w:r>
      <w:r w:rsidRPr="0001153D">
        <w:rPr>
          <w:spacing w:val="-4"/>
        </w:rPr>
        <w:t>мательный, эрекции, эякуляции. Рефлекс совокупления отсутствовал. У самок контрол</w:t>
      </w:r>
      <w:r w:rsidRPr="0001153D">
        <w:rPr>
          <w:spacing w:val="-4"/>
        </w:rPr>
        <w:t>ь</w:t>
      </w:r>
      <w:r w:rsidRPr="0001153D">
        <w:rPr>
          <w:spacing w:val="-4"/>
        </w:rPr>
        <w:t>ной группы половые рефлексы в течение периода наблюдений не проявл</w:t>
      </w:r>
      <w:r w:rsidRPr="0001153D">
        <w:rPr>
          <w:spacing w:val="-4"/>
        </w:rPr>
        <w:t>я</w:t>
      </w:r>
      <w:r w:rsidRPr="0001153D">
        <w:rPr>
          <w:spacing w:val="-4"/>
        </w:rPr>
        <w:t>лись. Через два месяца при достижении самками возраста семи месяцев, пр</w:t>
      </w:r>
      <w:r w:rsidRPr="0001153D">
        <w:rPr>
          <w:spacing w:val="-4"/>
        </w:rPr>
        <w:t>о</w:t>
      </w:r>
      <w:r w:rsidRPr="0001153D">
        <w:rPr>
          <w:spacing w:val="-4"/>
        </w:rPr>
        <w:t>вели убой самок обеих групп для макрометрического исследования. Учит</w:t>
      </w:r>
      <w:r w:rsidRPr="0001153D">
        <w:rPr>
          <w:spacing w:val="-4"/>
        </w:rPr>
        <w:t>ы</w:t>
      </w:r>
      <w:r w:rsidRPr="0001153D">
        <w:rPr>
          <w:spacing w:val="-4"/>
        </w:rPr>
        <w:t>вали основные промеры и массу органов половой системы самок нутрий опытной и контрольной групп в сравнительном аспе</w:t>
      </w:r>
      <w:r w:rsidRPr="0001153D">
        <w:rPr>
          <w:spacing w:val="-4"/>
        </w:rPr>
        <w:t>к</w:t>
      </w:r>
      <w:r w:rsidRPr="0001153D">
        <w:rPr>
          <w:spacing w:val="-4"/>
        </w:rPr>
        <w:t>те. Было установлено, что у опытных самок все отделы воспроизводител</w:t>
      </w:r>
      <w:r w:rsidRPr="0001153D">
        <w:rPr>
          <w:spacing w:val="-4"/>
        </w:rPr>
        <w:t>ь</w:t>
      </w:r>
      <w:r w:rsidRPr="0001153D">
        <w:rPr>
          <w:spacing w:val="-4"/>
        </w:rPr>
        <w:t>ной системы по массе и размерам достоверно превышали таковые у ко</w:t>
      </w:r>
      <w:r w:rsidRPr="0001153D">
        <w:rPr>
          <w:spacing w:val="-4"/>
        </w:rPr>
        <w:t>н</w:t>
      </w:r>
      <w:r w:rsidRPr="0001153D">
        <w:rPr>
          <w:spacing w:val="-4"/>
        </w:rPr>
        <w:t>трольных.</w:t>
      </w:r>
    </w:p>
    <w:p w:rsidR="00F4654E" w:rsidRPr="0001153D" w:rsidRDefault="00F4654E">
      <w:pPr>
        <w:pStyle w:val="a6"/>
        <w:rPr>
          <w:spacing w:val="-4"/>
        </w:rPr>
      </w:pPr>
      <w:r w:rsidRPr="0001153D">
        <w:rPr>
          <w:spacing w:val="-4"/>
        </w:rPr>
        <w:t>Таким образом, содержание молодых самок с оперированным самцом стимулирует рост и развитие у них наружных и внутренних половых орг</w:t>
      </w:r>
      <w:r w:rsidRPr="0001153D">
        <w:rPr>
          <w:spacing w:val="-4"/>
        </w:rPr>
        <w:t>а</w:t>
      </w:r>
      <w:r w:rsidRPr="0001153D">
        <w:rPr>
          <w:spacing w:val="-4"/>
        </w:rPr>
        <w:t>нов.</w:t>
      </w:r>
    </w:p>
    <w:p w:rsidR="00F4654E" w:rsidRDefault="00F4654E">
      <w:pPr>
        <w:pStyle w:val="a4"/>
      </w:pPr>
      <w:r>
        <w:t>УДК 619:618:639.1</w:t>
      </w:r>
    </w:p>
    <w:p w:rsidR="00F4654E" w:rsidRDefault="00F4654E">
      <w:pPr>
        <w:pStyle w:val="1"/>
      </w:pPr>
      <w:bookmarkStart w:id="3249" w:name="_Toc10731408"/>
      <w:bookmarkStart w:id="3250" w:name="_Toc11137841"/>
      <w:bookmarkStart w:id="3251" w:name="_Toc11138259"/>
      <w:bookmarkStart w:id="3252" w:name="_Toc11138677"/>
      <w:bookmarkStart w:id="3253" w:name="_Toc11139095"/>
      <w:bookmarkStart w:id="3254" w:name="_Toc11139513"/>
      <w:bookmarkStart w:id="3255" w:name="_Toc11139931"/>
      <w:bookmarkStart w:id="3256" w:name="_Toc11140349"/>
      <w:bookmarkStart w:id="3257" w:name="_Toc11390459"/>
      <w:bookmarkStart w:id="3258" w:name="_Toc11840144"/>
      <w:bookmarkStart w:id="3259" w:name="_Toc11937700"/>
      <w:r>
        <w:t xml:space="preserve">МАКРОСКОПИЧЕСКИЕ ПОКАЗАТЕЛИ РЕПРОДУКТИВНОЙ </w:t>
      </w:r>
      <w:r>
        <w:br/>
        <w:t>СИСТЕМЫ ОПЕРИРОВАННЫХ САМЦОВ НУТРИЙ</w:t>
      </w:r>
      <w:bookmarkEnd w:id="3249"/>
      <w:bookmarkEnd w:id="3250"/>
      <w:bookmarkEnd w:id="3251"/>
      <w:bookmarkEnd w:id="3252"/>
      <w:bookmarkEnd w:id="3253"/>
      <w:bookmarkEnd w:id="3254"/>
      <w:bookmarkEnd w:id="3255"/>
      <w:bookmarkEnd w:id="3256"/>
      <w:bookmarkEnd w:id="3257"/>
      <w:bookmarkEnd w:id="3258"/>
      <w:bookmarkEnd w:id="3259"/>
    </w:p>
    <w:p w:rsidR="00F4654E" w:rsidRDefault="00F4654E">
      <w:pPr>
        <w:pStyle w:val="2"/>
      </w:pPr>
      <w:bookmarkStart w:id="3260" w:name="_Toc10731409"/>
      <w:bookmarkStart w:id="3261" w:name="_Toc11032283"/>
      <w:bookmarkStart w:id="3262" w:name="_Toc11137842"/>
      <w:bookmarkStart w:id="3263" w:name="_Toc11138260"/>
      <w:bookmarkStart w:id="3264" w:name="_Toc11138678"/>
      <w:bookmarkStart w:id="3265" w:name="_Toc11139096"/>
      <w:bookmarkStart w:id="3266" w:name="_Toc11139514"/>
      <w:bookmarkStart w:id="3267" w:name="_Toc11139932"/>
      <w:bookmarkStart w:id="3268" w:name="_Toc11140350"/>
      <w:bookmarkStart w:id="3269" w:name="_Toc11390460"/>
      <w:bookmarkStart w:id="3270" w:name="_Toc11937701"/>
      <w:r>
        <w:t>Миронова Л.П., Хижнякова Н.Л.</w:t>
      </w:r>
      <w:bookmarkEnd w:id="3260"/>
      <w:bookmarkEnd w:id="3261"/>
      <w:bookmarkEnd w:id="3262"/>
      <w:bookmarkEnd w:id="3263"/>
      <w:bookmarkEnd w:id="3264"/>
      <w:bookmarkEnd w:id="3265"/>
      <w:bookmarkEnd w:id="3266"/>
      <w:bookmarkEnd w:id="3267"/>
      <w:bookmarkEnd w:id="3268"/>
      <w:bookmarkEnd w:id="3269"/>
      <w:bookmarkEnd w:id="3270"/>
    </w:p>
    <w:p w:rsidR="00F4654E" w:rsidRDefault="00F4654E">
      <w:pPr>
        <w:pStyle w:val="a5"/>
      </w:pPr>
      <w:r>
        <w:t>Донской государственный аграрный университет</w:t>
      </w:r>
    </w:p>
    <w:p w:rsidR="00F4654E" w:rsidRDefault="00F4654E">
      <w:pPr>
        <w:pStyle w:val="a6"/>
      </w:pPr>
      <w:r>
        <w:t>При переходе к рыночным отношениям в Российской Федерации сл</w:t>
      </w:r>
      <w:r>
        <w:t>о</w:t>
      </w:r>
      <w:r>
        <w:t>жилась благоприятная обстановка для развития мелких крестьянско-</w:t>
      </w:r>
      <w:r>
        <w:lastRenderedPageBreak/>
        <w:t>фермерских хозяйств. Нутриеводство – отрасль, не требующая больших начальных капиталовложений, являющаяся привлекательной как для н</w:t>
      </w:r>
      <w:r>
        <w:t>а</w:t>
      </w:r>
      <w:r>
        <w:t>чинающих фермеров, так и для состоявшихся хозяйств. Интерес этот пон</w:t>
      </w:r>
      <w:r>
        <w:t>я</w:t>
      </w:r>
      <w:r>
        <w:t>тен, так как нутрия в короткие сроки даёт ценную шкурку и вкусное ди</w:t>
      </w:r>
      <w:r>
        <w:t>е</w:t>
      </w:r>
      <w:r>
        <w:t xml:space="preserve">тическое мясо при высокой окупаемости корма. </w:t>
      </w:r>
    </w:p>
    <w:p w:rsidR="00F4654E" w:rsidRDefault="00F4654E">
      <w:pPr>
        <w:pStyle w:val="a6"/>
      </w:pPr>
      <w:r>
        <w:t>Важным резервом  высокой воспроизводительной способности нутрий является максимальное использование потенциальных биологических во</w:t>
      </w:r>
      <w:r>
        <w:t>з</w:t>
      </w:r>
      <w:r>
        <w:t>можностей маточного поголовья для развития яйцеклеток, зигот, эмбри</w:t>
      </w:r>
      <w:r>
        <w:t>о</w:t>
      </w:r>
      <w:r>
        <w:t xml:space="preserve">нов и плодов. Известно, что самец является мощным физиологическим стимулятором развития репродуктивной системы самок (В.С. Шипилов, 1974; Е.В. Воронянская, 1988; J. Cronin, 1983). </w:t>
      </w:r>
    </w:p>
    <w:p w:rsidR="00F4654E" w:rsidRDefault="00F4654E">
      <w:pPr>
        <w:pStyle w:val="a6"/>
      </w:pPr>
      <w:r>
        <w:t xml:space="preserve"> На разных видах животных испытан физиологический метод стим</w:t>
      </w:r>
      <w:r>
        <w:t>у</w:t>
      </w:r>
      <w:r>
        <w:t>ляции воспроизводительной функции самок с применением самцов-пробников. Сведения об использовании самцов-пробников в нутриеводс</w:t>
      </w:r>
      <w:r>
        <w:t>т</w:t>
      </w:r>
      <w:r>
        <w:t>ве отсутствуют. Мы поставили задачу разработать доступный, легко в</w:t>
      </w:r>
      <w:r>
        <w:t>ы</w:t>
      </w:r>
      <w:r>
        <w:t>полнимый способ подготовки самца-пробника нутрий. Подготовку самца-пробника осуществляли способом резекции хвоста придатка семенника. Спустя два месяца после операции, провели убой животных. Отобрали и тщательно изучили путём осмотра, измерения, взвешивания органы репр</w:t>
      </w:r>
      <w:r>
        <w:t>о</w:t>
      </w:r>
      <w:r>
        <w:t>дуктивной системы.</w:t>
      </w:r>
    </w:p>
    <w:p w:rsidR="00F4654E" w:rsidRDefault="00F4654E">
      <w:pPr>
        <w:pStyle w:val="a6"/>
      </w:pPr>
      <w:r>
        <w:t>Установили, что у оперированных самцов по сравнению с контрол</w:t>
      </w:r>
      <w:r>
        <w:t>ь</w:t>
      </w:r>
      <w:r>
        <w:t>ными были достоверно выше масса придатка левого и правого семенников (P&lt;0,01), длина полового члена (P&lt;0,01), масса луковичных желез (P&lt;0,01). Придаток семенника был значительно увеличен в объеме вследствие пер</w:t>
      </w:r>
      <w:r>
        <w:t>е</w:t>
      </w:r>
      <w:r>
        <w:t>полнения его спермиями. Масса семенника была достоверно ниже ко</w:t>
      </w:r>
      <w:r>
        <w:t>н</w:t>
      </w:r>
      <w:r>
        <w:t xml:space="preserve">трольной (P&lt;0,001), при этом семенник имел дряблую консистенцию.   </w:t>
      </w:r>
    </w:p>
    <w:p w:rsidR="00F4654E" w:rsidRDefault="00F4654E">
      <w:pPr>
        <w:pStyle w:val="a6"/>
      </w:pPr>
      <w:r>
        <w:t xml:space="preserve">Помещённые через два месяца после операции к самкам самцы-пробники отличались высокой половой активностью с проявлением всех половых рефлексов при отсутствии оплодотворяющей способности. </w:t>
      </w:r>
    </w:p>
    <w:p w:rsidR="00F4654E" w:rsidRDefault="00F4654E">
      <w:pPr>
        <w:pStyle w:val="a6"/>
      </w:pPr>
      <w:r>
        <w:t>Таким образом, резекция хвоста придатка семенника не оказывает о</w:t>
      </w:r>
      <w:r>
        <w:t>т</w:t>
      </w:r>
      <w:r>
        <w:t>рицательного влияния на организм животного.  Утрачивая оплодотворя</w:t>
      </w:r>
      <w:r>
        <w:t>ю</w:t>
      </w:r>
      <w:r>
        <w:t xml:space="preserve">щую способность, самцы сохраняют высокую половую активность. </w:t>
      </w:r>
    </w:p>
    <w:p w:rsidR="00F4654E" w:rsidRDefault="00F4654E">
      <w:pPr>
        <w:pStyle w:val="a4"/>
      </w:pPr>
      <w:r>
        <w:t>УДК 619:618:639.1</w:t>
      </w:r>
    </w:p>
    <w:p w:rsidR="00F4654E" w:rsidRDefault="00F4654E">
      <w:pPr>
        <w:pStyle w:val="1"/>
      </w:pPr>
      <w:bookmarkStart w:id="3271" w:name="_Toc10731410"/>
      <w:bookmarkStart w:id="3272" w:name="_Toc11137843"/>
      <w:bookmarkStart w:id="3273" w:name="_Toc11138261"/>
      <w:bookmarkStart w:id="3274" w:name="_Toc11138679"/>
      <w:bookmarkStart w:id="3275" w:name="_Toc11139097"/>
      <w:bookmarkStart w:id="3276" w:name="_Toc11139515"/>
      <w:bookmarkStart w:id="3277" w:name="_Toc11139933"/>
      <w:bookmarkStart w:id="3278" w:name="_Toc11140351"/>
      <w:bookmarkStart w:id="3279" w:name="_Toc11390461"/>
      <w:bookmarkStart w:id="3280" w:name="_Toc11840146"/>
      <w:bookmarkStart w:id="3281" w:name="_Toc11937702"/>
      <w:r>
        <w:t>ВЛИЯНИЕ ОПЕРИРОВАННОГО САМЦА НУТРИИ НА МАССУ ТЕЛА РЕМОНТНЫХ САМОК И МАКРОСКОПИЧЕСКИЕ ПОКАЗАТЕЛИ ОРГАНОВ РЕПРОДУКТИВНОЙ СИСТЕМЫ</w:t>
      </w:r>
      <w:bookmarkEnd w:id="3271"/>
      <w:bookmarkEnd w:id="3272"/>
      <w:bookmarkEnd w:id="3273"/>
      <w:bookmarkEnd w:id="3274"/>
      <w:bookmarkEnd w:id="3275"/>
      <w:bookmarkEnd w:id="3276"/>
      <w:bookmarkEnd w:id="3277"/>
      <w:bookmarkEnd w:id="3278"/>
      <w:bookmarkEnd w:id="3279"/>
      <w:bookmarkEnd w:id="3280"/>
      <w:bookmarkEnd w:id="3281"/>
    </w:p>
    <w:p w:rsidR="00F4654E" w:rsidRDefault="00F4654E">
      <w:pPr>
        <w:pStyle w:val="2"/>
      </w:pPr>
      <w:bookmarkStart w:id="3282" w:name="_Toc10731411"/>
      <w:bookmarkStart w:id="3283" w:name="_Toc11032284"/>
      <w:bookmarkStart w:id="3284" w:name="_Toc11137844"/>
      <w:bookmarkStart w:id="3285" w:name="_Toc11138262"/>
      <w:bookmarkStart w:id="3286" w:name="_Toc11138680"/>
      <w:bookmarkStart w:id="3287" w:name="_Toc11139098"/>
      <w:bookmarkStart w:id="3288" w:name="_Toc11139516"/>
      <w:bookmarkStart w:id="3289" w:name="_Toc11139934"/>
      <w:bookmarkStart w:id="3290" w:name="_Toc11140352"/>
      <w:bookmarkStart w:id="3291" w:name="_Toc11390462"/>
      <w:bookmarkStart w:id="3292" w:name="_Toc11937703"/>
      <w:r>
        <w:t>Миронова Л.П., Щебетовская Т.Н.</w:t>
      </w:r>
      <w:bookmarkEnd w:id="3282"/>
      <w:bookmarkEnd w:id="3283"/>
      <w:bookmarkEnd w:id="3284"/>
      <w:bookmarkEnd w:id="3285"/>
      <w:bookmarkEnd w:id="3286"/>
      <w:bookmarkEnd w:id="3287"/>
      <w:bookmarkEnd w:id="3288"/>
      <w:bookmarkEnd w:id="3289"/>
      <w:bookmarkEnd w:id="3290"/>
      <w:bookmarkEnd w:id="3291"/>
      <w:bookmarkEnd w:id="3292"/>
    </w:p>
    <w:p w:rsidR="00F4654E" w:rsidRDefault="00F4654E">
      <w:pPr>
        <w:pStyle w:val="a5"/>
      </w:pPr>
      <w:r>
        <w:t>Донской государственный аграрный университет</w:t>
      </w:r>
    </w:p>
    <w:p w:rsidR="00F4654E" w:rsidRDefault="00F4654E">
      <w:pPr>
        <w:pStyle w:val="a6"/>
      </w:pPr>
      <w:r>
        <w:t xml:space="preserve">В последние годы в южных регионах РФ нутриеводство получает всё более широкое распространение. Нутрия даёт не только ценную шкурку разных окрасок, но и вкусное, диетическое, относительно недорогое мясо. </w:t>
      </w:r>
      <w:r>
        <w:lastRenderedPageBreak/>
        <w:t>В естественных природных условиях теплого климата Южной Америки нутрии живут вольно, большими семьями, включающими животных ра</w:t>
      </w:r>
      <w:r>
        <w:t>з</w:t>
      </w:r>
      <w:r>
        <w:t>ного пола и возраста. Вынужденные жить в неволе однополыми и одн</w:t>
      </w:r>
      <w:r>
        <w:t>о</w:t>
      </w:r>
      <w:r>
        <w:t>возрастными группами, животные лишены взаимного стимулирующего влияния полов. Совместное же содержание разнополого молодняка нец</w:t>
      </w:r>
      <w:r>
        <w:t>е</w:t>
      </w:r>
      <w:r>
        <w:t>лесообразно, так как ведёт к нежелательно ранней беременности до дост</w:t>
      </w:r>
      <w:r>
        <w:t>и</w:t>
      </w:r>
      <w:r>
        <w:t>жения самками физиологической зрелости.</w:t>
      </w:r>
    </w:p>
    <w:p w:rsidR="00F4654E" w:rsidRDefault="00F4654E">
      <w:pPr>
        <w:pStyle w:val="a6"/>
      </w:pPr>
      <w:r>
        <w:t>Разрешение этой проблемы возможно путём совместного содержания растущих ремонтных самок и оперированных самцов, так называемых, пробников.</w:t>
      </w:r>
    </w:p>
    <w:p w:rsidR="00F4654E" w:rsidRDefault="00F4654E">
      <w:pPr>
        <w:pStyle w:val="a6"/>
      </w:pPr>
      <w:r>
        <w:t>Мы использовали самцов, оперированных по способу искусственного создания крипторхидов путём помещения семенников в брюшную полость и ушивания паховых колец. Оперированные в 4-х месячном возрасте са</w:t>
      </w:r>
      <w:r>
        <w:t>м</w:t>
      </w:r>
      <w:r>
        <w:t>цы содержались отдельно под постоянным наблюдением. В опыт, целью которого было изучение влияния оперированного самца на массу тела и органы репродуктивной системы самок, включили 12 самок 4-х месячного возраста и самца-крипторхида в возрасте 6 месяцев (через два месяца п</w:t>
      </w:r>
      <w:r>
        <w:t>о</w:t>
      </w:r>
      <w:r>
        <w:t>сле операции). Животные I группы (6 самок и оперированный самец) с</w:t>
      </w:r>
      <w:r>
        <w:t>о</w:t>
      </w:r>
      <w:r>
        <w:t>держались совместно. Остальные 6 самок (контроль) содержались без са</w:t>
      </w:r>
      <w:r>
        <w:t>м</w:t>
      </w:r>
      <w:r>
        <w:t>ца в аналогичных условиях. Спустя 3 месяца, всех опытных и контрольных самок убили, взвесили, с помощью миллиметровой бумаги измерили все отделы репродуктивной системы.</w:t>
      </w:r>
    </w:p>
    <w:p w:rsidR="00F4654E" w:rsidRDefault="00F4654E">
      <w:pPr>
        <w:pStyle w:val="a6"/>
      </w:pPr>
      <w:r>
        <w:t>Анализ полученных результатов показал, что средняя живая и убо</w:t>
      </w:r>
      <w:r>
        <w:t>й</w:t>
      </w:r>
      <w:r>
        <w:t>ная масса опытных самок была достоверно (р&lt;0,05) выше по сравнению с таковыми у контрольных. Общая масса половых органов была также до</w:t>
      </w:r>
      <w:r>
        <w:t>с</w:t>
      </w:r>
      <w:r>
        <w:t>товерно выше (р&lt;0,05). Разница в длине правой и левой маток, шеек, ра</w:t>
      </w:r>
      <w:r>
        <w:t>з</w:t>
      </w:r>
      <w:r>
        <w:t>меров левого яичника была недостоверной (р&gt;0,05). У опытных самок длина преддверия влагалища (р&lt;0,05) и ширина правого яичника (р&lt;0,01) были достоверно выше по сравнению с контрольными.</w:t>
      </w:r>
    </w:p>
    <w:p w:rsidR="00F4654E" w:rsidRDefault="00F4654E">
      <w:pPr>
        <w:pStyle w:val="a6"/>
      </w:pPr>
      <w:r>
        <w:t>Таким образом, у ремонтных самок при совместном их выращивании с самцом масса тела и общая масса половых органов были достоверно в</w:t>
      </w:r>
      <w:r>
        <w:t>ы</w:t>
      </w:r>
      <w:r>
        <w:t>ше по сравнению с таковыми у самок, содержавшихся без самца.</w:t>
      </w:r>
    </w:p>
    <w:p w:rsidR="00F4654E" w:rsidRDefault="00F4654E">
      <w:pPr>
        <w:pStyle w:val="a4"/>
      </w:pPr>
      <w:r>
        <w:t>УДК 619:618.14:636.22/.28</w:t>
      </w:r>
    </w:p>
    <w:p w:rsidR="00F4654E" w:rsidRDefault="00F4654E">
      <w:pPr>
        <w:pStyle w:val="1"/>
      </w:pPr>
      <w:bookmarkStart w:id="3293" w:name="_Toc11137873"/>
      <w:bookmarkStart w:id="3294" w:name="_Toc11138291"/>
      <w:bookmarkStart w:id="3295" w:name="_Toc11138709"/>
      <w:bookmarkStart w:id="3296" w:name="_Toc11139127"/>
      <w:bookmarkStart w:id="3297" w:name="_Toc11139545"/>
      <w:bookmarkStart w:id="3298" w:name="_Toc11139963"/>
      <w:bookmarkStart w:id="3299" w:name="_Toc11140381"/>
      <w:bookmarkStart w:id="3300" w:name="_Toc11390489"/>
      <w:bookmarkStart w:id="3301" w:name="_Toc11840174"/>
      <w:bookmarkStart w:id="3302" w:name="_Toc11937704"/>
      <w:r>
        <w:t>СУБИНВОЛЮЦИЯ МАТКИ У КОРОВ</w:t>
      </w:r>
      <w:bookmarkEnd w:id="3293"/>
      <w:bookmarkEnd w:id="3294"/>
      <w:bookmarkEnd w:id="3295"/>
      <w:bookmarkEnd w:id="3296"/>
      <w:bookmarkEnd w:id="3297"/>
      <w:bookmarkEnd w:id="3298"/>
      <w:bookmarkEnd w:id="3299"/>
      <w:bookmarkEnd w:id="3300"/>
      <w:bookmarkEnd w:id="3301"/>
      <w:bookmarkEnd w:id="3302"/>
    </w:p>
    <w:p w:rsidR="00F4654E" w:rsidRDefault="00F4654E">
      <w:pPr>
        <w:pStyle w:val="2"/>
      </w:pPr>
      <w:bookmarkStart w:id="3303" w:name="_Toc11032299"/>
      <w:bookmarkStart w:id="3304" w:name="_Toc11137874"/>
      <w:bookmarkStart w:id="3305" w:name="_Toc11138292"/>
      <w:bookmarkStart w:id="3306" w:name="_Toc11138710"/>
      <w:bookmarkStart w:id="3307" w:name="_Toc11139128"/>
      <w:bookmarkStart w:id="3308" w:name="_Toc11139546"/>
      <w:bookmarkStart w:id="3309" w:name="_Toc11139964"/>
      <w:bookmarkStart w:id="3310" w:name="_Toc11140382"/>
      <w:bookmarkStart w:id="3311" w:name="_Toc11390490"/>
      <w:bookmarkStart w:id="3312" w:name="_Toc11937705"/>
      <w:r>
        <w:t>Мисайлов В.Д., Коцарев В.Н., Михалёв В.И., Кочура М.Н.</w:t>
      </w:r>
      <w:bookmarkEnd w:id="3303"/>
      <w:bookmarkEnd w:id="3304"/>
      <w:bookmarkEnd w:id="3305"/>
      <w:bookmarkEnd w:id="3306"/>
      <w:bookmarkEnd w:id="3307"/>
      <w:bookmarkEnd w:id="3308"/>
      <w:bookmarkEnd w:id="3309"/>
      <w:bookmarkEnd w:id="3310"/>
      <w:bookmarkEnd w:id="3311"/>
      <w:r>
        <w:t>, Сергеев Ю.В.</w:t>
      </w:r>
      <w:bookmarkEnd w:id="3312"/>
    </w:p>
    <w:p w:rsidR="00F4654E" w:rsidRDefault="00F4654E">
      <w:pPr>
        <w:pStyle w:val="a5"/>
      </w:pPr>
      <w:r>
        <w:t>Всероссийский НИВИ патологии, фармакологии и терапии</w:t>
      </w:r>
    </w:p>
    <w:p w:rsidR="00F4654E" w:rsidRDefault="00F4654E">
      <w:pPr>
        <w:pStyle w:val="a6"/>
      </w:pPr>
      <w:r>
        <w:t>Субинволюция матки коров имеет широкое распространение и нан</w:t>
      </w:r>
      <w:r>
        <w:t>о</w:t>
      </w:r>
      <w:r>
        <w:t>сит молочному скотоводству большой экономический ущерб. По данным А.М. Вайнтрауба (1956), А.Г. Нежданова, В.Д. Мисайлова (1996), А.Н. Турченко (1999) и др. острая субинволюция матки регистрируется у 35-82%, а в отдельных хозяйствах – до 100%. Проведенными нами исследов</w:t>
      </w:r>
      <w:r>
        <w:t>а</w:t>
      </w:r>
      <w:r>
        <w:lastRenderedPageBreak/>
        <w:t>ниями установлено, что острая субинволюция матки выявляется у 46,3%, подострая – у 21,3% отелившихся коров и хроническая – у 56,3-81,5% к числу бесплодных животных.</w:t>
      </w:r>
    </w:p>
    <w:p w:rsidR="00F4654E" w:rsidRDefault="00F4654E">
      <w:pPr>
        <w:pStyle w:val="a6"/>
      </w:pPr>
      <w:r>
        <w:t>Особая опасность послеродовой субинволюции матки у коров закл</w:t>
      </w:r>
      <w:r>
        <w:t>ю</w:t>
      </w:r>
      <w:r>
        <w:t xml:space="preserve">чается в том, что на её основе часто развиваются воспалительные процессы в половых органах коров и функциональные расстройства яичников. При отсутствии соответствующего лечения послеродовая субинволюция матки принимает подострое, а затем и хроническое течение. </w:t>
      </w:r>
    </w:p>
    <w:p w:rsidR="00F4654E" w:rsidRDefault="00F4654E">
      <w:pPr>
        <w:pStyle w:val="a6"/>
      </w:pPr>
      <w:r>
        <w:t>Хроническая субинволюция матки, диагностируемая через 30 и более дней после отела, является одной из основных причин бесплодия коров. Она проявляется у них как многократными безрезультатными осемен</w:t>
      </w:r>
      <w:r>
        <w:t>е</w:t>
      </w:r>
      <w:r>
        <w:t>ниями, так и анафродизией.</w:t>
      </w:r>
    </w:p>
    <w:p w:rsidR="00F4654E" w:rsidRDefault="00F4654E">
      <w:pPr>
        <w:pStyle w:val="a6"/>
      </w:pPr>
      <w:r>
        <w:t>Для выяснения степени распространения хронической субинволюции матки нами проведены исследования коров в 17 хозяйствах Воронежской, Липецкой, Тульской и Волгоградской областей. Гинекологическому и</w:t>
      </w:r>
      <w:r>
        <w:t>с</w:t>
      </w:r>
      <w:r>
        <w:t>следованию подвергнута 1541 корова через 1-13 месяцев после отела. У</w:t>
      </w:r>
      <w:r>
        <w:t>с</w:t>
      </w:r>
      <w:r>
        <w:t xml:space="preserve">тановлено, что из 1541 бесплодной коровы хроническая субинволюция матки выявлена у 945 животных (61,3%), а в отдельных хозяйствах – у 74,6-84,3%. </w:t>
      </w:r>
    </w:p>
    <w:p w:rsidR="00F4654E" w:rsidRDefault="00F4654E">
      <w:pPr>
        <w:pStyle w:val="a6"/>
      </w:pPr>
      <w:r>
        <w:t>Исследованиями также установлено, что хроническая субинволюция часто сопровождается развитием функциональных нарушений яичников. Так, гипофункция яичников отмечена у 18,4-27,7% обследованных коров, персистентные жёлтые тела – у 1,9-8,1%, кисты яичников – у 2,1-3,7% ж</w:t>
      </w:r>
      <w:r>
        <w:t>и</w:t>
      </w:r>
      <w:r>
        <w:t>вотных.</w:t>
      </w:r>
    </w:p>
    <w:p w:rsidR="00F4654E" w:rsidRDefault="00F4654E">
      <w:pPr>
        <w:pStyle w:val="a6"/>
      </w:pPr>
      <w:r>
        <w:t>Исследования показали, что хроническая субинволюция матки у к</w:t>
      </w:r>
      <w:r>
        <w:t>о</w:t>
      </w:r>
      <w:r>
        <w:t>ров имеет широкое распространение на молочных фермах хозяйств Вор</w:t>
      </w:r>
      <w:r>
        <w:t>о</w:t>
      </w:r>
      <w:r>
        <w:t xml:space="preserve">нежской, Липецкой, Тульской и Волгоградской областей и является одной из основных причин их длительного бесплодия. </w:t>
      </w:r>
    </w:p>
    <w:p w:rsidR="00F4654E" w:rsidRDefault="00F4654E">
      <w:pPr>
        <w:pStyle w:val="a4"/>
      </w:pPr>
      <w:r>
        <w:t>УДК 619:618.7:612.1:636.22/.28</w:t>
      </w:r>
    </w:p>
    <w:p w:rsidR="00F4654E" w:rsidRDefault="00F4654E">
      <w:pPr>
        <w:pStyle w:val="1"/>
      </w:pPr>
      <w:bookmarkStart w:id="3313" w:name="_Toc11137875"/>
      <w:bookmarkStart w:id="3314" w:name="_Toc11138293"/>
      <w:bookmarkStart w:id="3315" w:name="_Toc11138711"/>
      <w:bookmarkStart w:id="3316" w:name="_Toc11139129"/>
      <w:bookmarkStart w:id="3317" w:name="_Toc11139547"/>
      <w:bookmarkStart w:id="3318" w:name="_Toc11139965"/>
      <w:bookmarkStart w:id="3319" w:name="_Toc11140383"/>
      <w:bookmarkStart w:id="3320" w:name="_Toc11390491"/>
      <w:bookmarkStart w:id="3321" w:name="_Toc11840176"/>
      <w:bookmarkStart w:id="3322" w:name="_Toc11937706"/>
      <w:r>
        <w:t>ПОКАЗАТЕЛИ ГЕМАТОЛОГИЧЕСКОГО И БИОХИМИЧЕСКОГО СТАТУСА СУХОСТОЙНЫХ КОРОВ И ИХ ИЗМЕНЕНИЕ ПОСЛЕ РОДОВ ПРИ РАЗЛИЧНОМ ТЕЧЕНИИ ПОСЛЕРОДОВОГО ПЕРИОДА</w:t>
      </w:r>
      <w:bookmarkEnd w:id="3313"/>
      <w:bookmarkEnd w:id="3314"/>
      <w:bookmarkEnd w:id="3315"/>
      <w:bookmarkEnd w:id="3316"/>
      <w:bookmarkEnd w:id="3317"/>
      <w:bookmarkEnd w:id="3318"/>
      <w:bookmarkEnd w:id="3319"/>
      <w:bookmarkEnd w:id="3320"/>
      <w:bookmarkEnd w:id="3321"/>
      <w:bookmarkEnd w:id="3322"/>
    </w:p>
    <w:p w:rsidR="00F4654E" w:rsidRDefault="00F4654E">
      <w:pPr>
        <w:pStyle w:val="2"/>
      </w:pPr>
      <w:bookmarkStart w:id="3323" w:name="_Toc11032300"/>
      <w:bookmarkStart w:id="3324" w:name="_Toc11137876"/>
      <w:bookmarkStart w:id="3325" w:name="_Toc11138294"/>
      <w:bookmarkStart w:id="3326" w:name="_Toc11138712"/>
      <w:bookmarkStart w:id="3327" w:name="_Toc11139130"/>
      <w:bookmarkStart w:id="3328" w:name="_Toc11139548"/>
      <w:bookmarkStart w:id="3329" w:name="_Toc11139966"/>
      <w:bookmarkStart w:id="3330" w:name="_Toc11140384"/>
      <w:bookmarkStart w:id="3331" w:name="_Toc11390492"/>
      <w:bookmarkStart w:id="3332" w:name="_Toc11937707"/>
      <w:r>
        <w:t>Михалёв В.И., Шушлебин В.И.</w:t>
      </w:r>
      <w:bookmarkEnd w:id="3323"/>
      <w:bookmarkEnd w:id="3324"/>
      <w:bookmarkEnd w:id="3325"/>
      <w:bookmarkEnd w:id="3326"/>
      <w:bookmarkEnd w:id="3327"/>
      <w:bookmarkEnd w:id="3328"/>
      <w:bookmarkEnd w:id="3329"/>
      <w:bookmarkEnd w:id="3330"/>
      <w:bookmarkEnd w:id="3331"/>
      <w:bookmarkEnd w:id="3332"/>
    </w:p>
    <w:p w:rsidR="00F4654E" w:rsidRDefault="00F4654E">
      <w:pPr>
        <w:pStyle w:val="a5"/>
      </w:pPr>
      <w:r>
        <w:t>Всероссийский НИВИ патологии, фармакологии и терапии</w:t>
      </w:r>
    </w:p>
    <w:p w:rsidR="00F4654E" w:rsidRDefault="00F4654E">
      <w:pPr>
        <w:pStyle w:val="a6"/>
      </w:pPr>
      <w:r>
        <w:t>Известно, что в возникновении послеродовых заболеваний важная роль принадлежит предрасполагающим факторам, таким как неполноце</w:t>
      </w:r>
      <w:r>
        <w:t>н</w:t>
      </w:r>
      <w:r>
        <w:t>ное кормление коров в сухостойный период, неблагоприятный микрокл</w:t>
      </w:r>
      <w:r>
        <w:t>и</w:t>
      </w:r>
      <w:r>
        <w:t xml:space="preserve">мат животноводческих помещений, отсутствие активного моциона и др. (Е.В. Ильинский, 1968; А.Г. Нежданов, 1987; Г.А. Черемисинов, 1992; А.Г. Нежданов, В.Д. Мисайлов, 1996; </w:t>
      </w:r>
      <w:r>
        <w:rPr>
          <w:lang w:val="en-US"/>
        </w:rPr>
        <w:t>A</w:t>
      </w:r>
      <w:r>
        <w:t xml:space="preserve">. </w:t>
      </w:r>
      <w:r>
        <w:rPr>
          <w:lang w:val="en-US"/>
        </w:rPr>
        <w:t>Settler</w:t>
      </w:r>
      <w:r>
        <w:t>, 1988). Характер течения посл</w:t>
      </w:r>
      <w:r>
        <w:t>е</w:t>
      </w:r>
      <w:r>
        <w:t xml:space="preserve">родового периода усугубляется тогда, когда неполноценное минеральное </w:t>
      </w:r>
      <w:r>
        <w:lastRenderedPageBreak/>
        <w:t>питание сочетается с несбалансированным рационом по общей энергии, переваримому протеину, сахару, витаминам (Б.Г. Панков и др., 1989; Т.Е. Григорьева, 1994).</w:t>
      </w:r>
    </w:p>
    <w:p w:rsidR="00F4654E" w:rsidRDefault="00F4654E">
      <w:pPr>
        <w:pStyle w:val="a6"/>
      </w:pPr>
      <w:r>
        <w:t>В своих исследованиях мы попытались проследить различия показ</w:t>
      </w:r>
      <w:r>
        <w:t>а</w:t>
      </w:r>
      <w:r>
        <w:t>телей гематологического и биохимического статуса сухостойных коров и после отёла при различном течении послеродового периода.</w:t>
      </w:r>
    </w:p>
    <w:p w:rsidR="00F4654E" w:rsidRDefault="00F4654E">
      <w:pPr>
        <w:pStyle w:val="a6"/>
      </w:pPr>
      <w:r>
        <w:t>Исследованиями установлено, что у коров за 1-1,5 мес до отёла, у к</w:t>
      </w:r>
      <w:r>
        <w:t>о</w:t>
      </w:r>
      <w:r>
        <w:t>торых течение послеродового периода осложнялось острой субинволюц</w:t>
      </w:r>
      <w:r>
        <w:t>и</w:t>
      </w:r>
      <w:r>
        <w:t>ей матки или эндометритом, содержание эритроцитов, лейкоцитов, гем</w:t>
      </w:r>
      <w:r>
        <w:t>о</w:t>
      </w:r>
      <w:r>
        <w:t>глобина, общего белка, показатель гематокрита не имеют существенных различий с аналогичными показателями крови животных, у которых п</w:t>
      </w:r>
      <w:r>
        <w:t>о</w:t>
      </w:r>
      <w:r>
        <w:t>слеродовой период протекал без изменений. В то же время в крови этих животных содержание мочевины было ниже на 24,5%, липидов – на 4,1%, кальция – на 7,5%, меди – на 20,7%, цинка – на 23,2%, марганца – на 40,8%, железа – на 12,9%, витамина А – на 3,5%. Кальциево-фосфорное отношение оказалось также на 26,5% ниже за счёт более высокой (на 17,5%) концентрации в крови неорганического фосфора. Выше была и а</w:t>
      </w:r>
      <w:r>
        <w:t>к</w:t>
      </w:r>
      <w:r>
        <w:t>тивность АлАТ и АсАТ – соответственно на 11,1 и 15,1%.</w:t>
      </w:r>
    </w:p>
    <w:p w:rsidR="00F4654E" w:rsidRDefault="00F4654E">
      <w:pPr>
        <w:pStyle w:val="a6"/>
      </w:pPr>
      <w:r>
        <w:t>У животных перед родами также установлены различия показателей гематологического и биохимического статуса коров, которые заболели п</w:t>
      </w:r>
      <w:r>
        <w:t>о</w:t>
      </w:r>
      <w:r>
        <w:t>сле отёла, по сравнению с животными, у которых послеродовой период протекал без изменений. В крови у них отмечено более низкое содержание эритроцитов на 6,0%, показатель гематокрита – на 4,9%, общего белка – на 13,6%, липидов – на 5,2%, мочевины – на 13,9%, общего кальция – на 6,9%, меди – на 43,9%, цинка – на 8,9%, марганца – на 10,2%, железа – на 9,5%. В то же время активность щелочной фосфатазы, АлАТ и АсАТ у этих животных оказалось выше соответственно на 33,8; 20,5 и 21,4%. Кальциево-фосфорное отношение у животных, не заболевших в послер</w:t>
      </w:r>
      <w:r>
        <w:t>о</w:t>
      </w:r>
      <w:r>
        <w:t>довой период, составило 1,85:1, а у заболевших после отела коров было ниже на 19,4%.</w:t>
      </w:r>
    </w:p>
    <w:p w:rsidR="00F4654E" w:rsidRDefault="00F4654E">
      <w:pPr>
        <w:pStyle w:val="a6"/>
      </w:pPr>
      <w:r>
        <w:t>Таким образом, различия показателей крови коров, заболевших после родов, в сравнении с животными, у которых послеродовой период прот</w:t>
      </w:r>
      <w:r>
        <w:t>е</w:t>
      </w:r>
      <w:r>
        <w:t>кал без осложнений, отмечались на всем протяжении сухостойного пери</w:t>
      </w:r>
      <w:r>
        <w:t>о</w:t>
      </w:r>
      <w:r>
        <w:t>да вплоть до родов.</w:t>
      </w:r>
    </w:p>
    <w:p w:rsidR="00F4654E" w:rsidRDefault="00F4654E">
      <w:pPr>
        <w:pStyle w:val="a6"/>
      </w:pPr>
      <w:r>
        <w:t xml:space="preserve">В первые две недели послеродового периода острая субинволюция матки установлена у 59,4% животных, острый послеродовой гнойно-катаральный эндометрит – у 12,5%, а у 28,1% коров послеродовой период протекал без осложнений. </w:t>
      </w:r>
    </w:p>
    <w:p w:rsidR="00F4654E" w:rsidRDefault="00F4654E">
      <w:pPr>
        <w:pStyle w:val="a6"/>
      </w:pPr>
      <w:r>
        <w:t>После отела в крови коров, у которых развилась острая субинволюция матки или эндометрит, в сравнении с животными с нормальным течением послеродового периода, ниже содержание гемоглобина на 7,4%, показ</w:t>
      </w:r>
      <w:r>
        <w:t>а</w:t>
      </w:r>
      <w:r>
        <w:t>тель гематокрита – на 4,9%, белка – на 5,3%, мочевины – на 21,3%, лип</w:t>
      </w:r>
      <w:r>
        <w:t>и</w:t>
      </w:r>
      <w:r>
        <w:t xml:space="preserve">дов – на 27,9%, кальция – на 6,7%, меди – на 20,6%, цинка – на 11,4%, в то </w:t>
      </w:r>
      <w:r>
        <w:lastRenderedPageBreak/>
        <w:t>же время оказалась выше активность щелочной фосфатазы – на 38,6%, АлАТ– на 25,6% и АсАТ – на 16,4%.</w:t>
      </w:r>
    </w:p>
    <w:p w:rsidR="00F4654E" w:rsidRDefault="00F4654E">
      <w:pPr>
        <w:pStyle w:val="a6"/>
      </w:pPr>
      <w:r>
        <w:t>Результаты проведенных исследований свидетельствуют о том, что выявленные отклонения показателей крови сухостойных коров, заболе</w:t>
      </w:r>
      <w:r>
        <w:t>в</w:t>
      </w:r>
      <w:r>
        <w:t>ших в послеродовой период, послужили факторами, предрасполагающими к заболеванию этих животных после родов. Кроме того, заболевание коров острой субинволюцией матки и послеродовым эндометритом также сопр</w:t>
      </w:r>
      <w:r>
        <w:t>о</w:t>
      </w:r>
      <w:r>
        <w:t xml:space="preserve">вождалось изменением морфологических и биохимических показателей крови, свидетельствующее о том, что развитие патологических процессов в органах воспроизводства затрагивает весь организм животного. </w:t>
      </w:r>
    </w:p>
    <w:p w:rsidR="00F4654E" w:rsidRDefault="00F4654E">
      <w:pPr>
        <w:pStyle w:val="a4"/>
      </w:pPr>
      <w:r>
        <w:t>УДК 619.616.022</w:t>
      </w:r>
    </w:p>
    <w:p w:rsidR="00F4654E" w:rsidRDefault="00F4654E">
      <w:pPr>
        <w:pStyle w:val="1"/>
      </w:pPr>
      <w:bookmarkStart w:id="3333" w:name="_Toc10731416"/>
      <w:bookmarkStart w:id="3334" w:name="_Toc11137849"/>
      <w:bookmarkStart w:id="3335" w:name="_Toc11138267"/>
      <w:bookmarkStart w:id="3336" w:name="_Toc11138685"/>
      <w:bookmarkStart w:id="3337" w:name="_Toc11139103"/>
      <w:bookmarkStart w:id="3338" w:name="_Toc11139521"/>
      <w:bookmarkStart w:id="3339" w:name="_Toc11139939"/>
      <w:bookmarkStart w:id="3340" w:name="_Toc11140357"/>
      <w:bookmarkStart w:id="3341" w:name="_Toc11390467"/>
      <w:bookmarkStart w:id="3342" w:name="_Toc11840152"/>
      <w:bookmarkStart w:id="3343" w:name="_Toc11937708"/>
      <w:r>
        <w:t>ИММУНОПРОФИЛАКТИКА ТЕЛЯТ ПРОТИВ ТЕИЛЕРИОЗА</w:t>
      </w:r>
      <w:bookmarkEnd w:id="3333"/>
      <w:bookmarkEnd w:id="3334"/>
      <w:bookmarkEnd w:id="3335"/>
      <w:bookmarkEnd w:id="3336"/>
      <w:bookmarkEnd w:id="3337"/>
      <w:bookmarkEnd w:id="3338"/>
      <w:bookmarkEnd w:id="3339"/>
      <w:bookmarkEnd w:id="3340"/>
      <w:bookmarkEnd w:id="3341"/>
      <w:bookmarkEnd w:id="3342"/>
      <w:bookmarkEnd w:id="3343"/>
    </w:p>
    <w:p w:rsidR="00F4654E" w:rsidRDefault="00F4654E">
      <w:pPr>
        <w:pStyle w:val="2"/>
      </w:pPr>
      <w:bookmarkStart w:id="3344" w:name="_Toc10731417"/>
      <w:bookmarkStart w:id="3345" w:name="_Toc11032287"/>
      <w:bookmarkStart w:id="3346" w:name="_Toc11137850"/>
      <w:bookmarkStart w:id="3347" w:name="_Toc11138268"/>
      <w:bookmarkStart w:id="3348" w:name="_Toc11138686"/>
      <w:bookmarkStart w:id="3349" w:name="_Toc11139104"/>
      <w:bookmarkStart w:id="3350" w:name="_Toc11139522"/>
      <w:bookmarkStart w:id="3351" w:name="_Toc11139940"/>
      <w:bookmarkStart w:id="3352" w:name="_Toc11140358"/>
      <w:bookmarkStart w:id="3353" w:name="_Toc11390468"/>
      <w:bookmarkStart w:id="3354" w:name="_Toc11937709"/>
      <w:r>
        <w:t>Мовсумзаде А.К., Багиров Г.К., Мирзабеков К.Д., Гасанова А.Н.</w:t>
      </w:r>
      <w:bookmarkEnd w:id="3344"/>
      <w:bookmarkEnd w:id="3345"/>
      <w:bookmarkEnd w:id="3346"/>
      <w:bookmarkEnd w:id="3347"/>
      <w:bookmarkEnd w:id="3348"/>
      <w:bookmarkEnd w:id="3349"/>
      <w:bookmarkEnd w:id="3350"/>
      <w:bookmarkEnd w:id="3351"/>
      <w:bookmarkEnd w:id="3352"/>
      <w:bookmarkEnd w:id="3353"/>
      <w:bookmarkEnd w:id="3354"/>
    </w:p>
    <w:p w:rsidR="00F4654E" w:rsidRDefault="00F4654E">
      <w:pPr>
        <w:pStyle w:val="a5"/>
      </w:pPr>
      <w:r>
        <w:t>Азербайджанский научно-ис</w:t>
      </w:r>
      <w:r>
        <w:softHyphen/>
        <w:t>следовательский ветеринарый институт</w:t>
      </w:r>
    </w:p>
    <w:p w:rsidR="00F4654E" w:rsidRDefault="00F4654E">
      <w:pPr>
        <w:pStyle w:val="a6"/>
      </w:pPr>
      <w:r>
        <w:t>В неблагополучных хозяйствах проведена вакцинация против тейл</w:t>
      </w:r>
      <w:r>
        <w:t>е</w:t>
      </w:r>
      <w:r>
        <w:t>риоза восприимчивого крупного рогатого скота на 27. 958 голов, в возрасте 6-18 месяцев по методике ВИЭВ и получены положительные результаты.</w:t>
      </w:r>
    </w:p>
    <w:p w:rsidR="00F4654E" w:rsidRDefault="00F4654E">
      <w:pPr>
        <w:pStyle w:val="a6"/>
      </w:pPr>
      <w:r>
        <w:t>В Наставлении вакцины ВИЭВ против тейлериоза (1984) указано, что вакцину необходимо применять в возрасте 6-18 месяцев. Естественно, о</w:t>
      </w:r>
      <w:r>
        <w:t>т</w:t>
      </w:r>
      <w:r>
        <w:t>падает прививка молодняка крупного рогатого скота до 6-ти и старше 18 месяцев. Наши многолетние наблюдения подтверждают, что среди телят в возрасте 3,4,5 и 18-36 месяцев, тейлериоз протекает в тяжелой форме с л</w:t>
      </w:r>
      <w:r>
        <w:t>е</w:t>
      </w:r>
      <w:r>
        <w:t>тальным исходом. Кроме того, телята 3, 4, 5 месяцев в сезон тейлериоза достигая 9-10 месяцев, болеют тейлериозом. Учитывая изложенное нами было выяснено реактогенное и иммунногенное свойство данной вакцины на животных в возрасте от 3, 4, 5 месяцев до трех лет.</w:t>
      </w:r>
    </w:p>
    <w:p w:rsidR="00F4654E" w:rsidRDefault="00F4654E">
      <w:pPr>
        <w:pStyle w:val="a6"/>
      </w:pPr>
      <w:r>
        <w:t>Указанная работа явится новизной в пополнении к наставлению по применению вакцины. Вакцину использовали согласно наставления.</w:t>
      </w:r>
    </w:p>
    <w:p w:rsidR="00F4654E" w:rsidRDefault="00F4654E">
      <w:pPr>
        <w:pStyle w:val="a6"/>
      </w:pPr>
      <w:r>
        <w:t>В экспериментальных условиях вакцинировали восприимчивых к те</w:t>
      </w:r>
      <w:r>
        <w:t>й</w:t>
      </w:r>
      <w:r>
        <w:t>лериозу животных в возрасте 3, 4, 5 месяцев в количестве 36 голов. В ка</w:t>
      </w:r>
      <w:r>
        <w:t>ж</w:t>
      </w:r>
      <w:r>
        <w:t>дой группе были по 12 телят, 15 телят были контрольными. После иссл</w:t>
      </w:r>
      <w:r>
        <w:t>е</w:t>
      </w:r>
      <w:r>
        <w:t>дования в течении 35 дней не было патологических признаков, а у ко</w:t>
      </w:r>
      <w:r>
        <w:t>н</w:t>
      </w:r>
      <w:r>
        <w:t>трольных животных были случаи тейлериоза. В производственных услов</w:t>
      </w:r>
      <w:r>
        <w:t>и</w:t>
      </w:r>
      <w:r>
        <w:t>ях вакцинировали 160 телят в возрасте 3, 4, 5 месяцев и получали полож</w:t>
      </w:r>
      <w:r>
        <w:t>и</w:t>
      </w:r>
      <w:r>
        <w:t>тельные результаты. Опытные  животные  в  весенне-летний  период вып</w:t>
      </w:r>
      <w:r>
        <w:t>а</w:t>
      </w:r>
      <w:r>
        <w:t>сались на заклещеванных пастбищах, неблагополучных по тейлериозу, о</w:t>
      </w:r>
      <w:r>
        <w:t>д</w:t>
      </w:r>
      <w:r>
        <w:t>нако вспышка тейлериоза не отмечалась, а контрольные животные забол</w:t>
      </w:r>
      <w:r>
        <w:t>е</w:t>
      </w:r>
      <w:r>
        <w:t>ли тейлериозом. Таким образом, 196 голов животных были иммунизиров</w:t>
      </w:r>
      <w:r>
        <w:t>а</w:t>
      </w:r>
      <w:r>
        <w:t>ны по нашей инициативе, в результате чего были получены новые данные по иммунизации против тейлериоза.</w:t>
      </w:r>
    </w:p>
    <w:p w:rsidR="00F4654E" w:rsidRDefault="00F4654E">
      <w:pPr>
        <w:pStyle w:val="a6"/>
      </w:pPr>
      <w:r>
        <w:lastRenderedPageBreak/>
        <w:t>Для определения сроков, продолжительности приобретенного имм</w:t>
      </w:r>
      <w:r>
        <w:t>у</w:t>
      </w:r>
      <w:r>
        <w:t>нитета, иммунизированных 1990-1993 гг., от 170 голов животных приг</w:t>
      </w:r>
      <w:r>
        <w:t>о</w:t>
      </w:r>
      <w:r>
        <w:t>товлены мазки крови, при микроскопическом исследовании которых были обнаружены единичные тейлерии от 169 голов (94%), что свидетельствует о приобретении стойкого напряженного иммунитета.</w:t>
      </w:r>
    </w:p>
    <w:p w:rsidR="00F4654E" w:rsidRDefault="00F4654E">
      <w:pPr>
        <w:pStyle w:val="a6"/>
      </w:pPr>
      <w:r>
        <w:t>В неблагополучных по тейлериозу хозяйствах республики, рекоме</w:t>
      </w:r>
      <w:r>
        <w:t>н</w:t>
      </w:r>
      <w:r>
        <w:t>дуем провести вакцинацию животных в возрасте от 3, 4, 5 до 36 месяцев против</w:t>
      </w:r>
      <w:r>
        <w:t>о</w:t>
      </w:r>
      <w:r>
        <w:t>тейлериозной вакциной ВИЭВ с целью создания иммунного стада против тейлериоза. Ветеринарная практика получила высокоэффективную вакцину против тейлериоза крупного рогатого скота. Таким образом реш</w:t>
      </w:r>
      <w:r>
        <w:t>е</w:t>
      </w:r>
      <w:r>
        <w:t>на крупная научно-практическая проблема по борьбе с тейлериозом, что имеет важное значение для выполнения продовольственной программы страны.</w:t>
      </w:r>
    </w:p>
    <w:p w:rsidR="00F4654E" w:rsidRDefault="00F4654E">
      <w:pPr>
        <w:pStyle w:val="a4"/>
      </w:pPr>
      <w:r>
        <w:t>УДК 619:616.3-07:636.4</w:t>
      </w:r>
    </w:p>
    <w:p w:rsidR="00F4654E" w:rsidRDefault="00F4654E">
      <w:pPr>
        <w:pStyle w:val="1"/>
      </w:pPr>
      <w:bookmarkStart w:id="3355" w:name="_Toc10731418"/>
      <w:bookmarkStart w:id="3356" w:name="_Toc11137851"/>
      <w:bookmarkStart w:id="3357" w:name="_Toc11138269"/>
      <w:bookmarkStart w:id="3358" w:name="_Toc11138687"/>
      <w:bookmarkStart w:id="3359" w:name="_Toc11139105"/>
      <w:bookmarkStart w:id="3360" w:name="_Toc11139523"/>
      <w:bookmarkStart w:id="3361" w:name="_Toc11139941"/>
      <w:bookmarkStart w:id="3362" w:name="_Toc11140359"/>
      <w:bookmarkStart w:id="3363" w:name="_Toc11390469"/>
      <w:bookmarkStart w:id="3364" w:name="_Toc11840154"/>
      <w:bookmarkStart w:id="3365" w:name="_Toc11937710"/>
      <w:r>
        <w:t>КОМПЛЕКСНАЯ СИСТЕМА ДИАГНОСТИКИ, ЛЕЧЕНИЯ И ПРОФИЛАКТИКИ ГАСТРОЭНТЕРИТОВ У ПОРОСЯТ</w:t>
      </w:r>
      <w:bookmarkEnd w:id="3355"/>
      <w:bookmarkEnd w:id="3356"/>
      <w:bookmarkEnd w:id="3357"/>
      <w:bookmarkEnd w:id="3358"/>
      <w:bookmarkEnd w:id="3359"/>
      <w:bookmarkEnd w:id="3360"/>
      <w:bookmarkEnd w:id="3361"/>
      <w:bookmarkEnd w:id="3362"/>
      <w:bookmarkEnd w:id="3363"/>
      <w:bookmarkEnd w:id="3364"/>
      <w:bookmarkEnd w:id="3365"/>
    </w:p>
    <w:p w:rsidR="00F4654E" w:rsidRDefault="00F4654E">
      <w:pPr>
        <w:pStyle w:val="2"/>
      </w:pPr>
      <w:bookmarkStart w:id="3366" w:name="_Toc10731419"/>
      <w:bookmarkStart w:id="3367" w:name="_Toc11032288"/>
      <w:bookmarkStart w:id="3368" w:name="_Toc11137852"/>
      <w:bookmarkStart w:id="3369" w:name="_Toc11138270"/>
      <w:bookmarkStart w:id="3370" w:name="_Toc11138688"/>
      <w:bookmarkStart w:id="3371" w:name="_Toc11139106"/>
      <w:bookmarkStart w:id="3372" w:name="_Toc11139524"/>
      <w:bookmarkStart w:id="3373" w:name="_Toc11139942"/>
      <w:bookmarkStart w:id="3374" w:name="_Toc11140360"/>
      <w:bookmarkStart w:id="3375" w:name="_Toc11390470"/>
      <w:bookmarkStart w:id="3376" w:name="_Toc11937711"/>
      <w:r>
        <w:t>Молоканов Д.П., Федюк В.И.</w:t>
      </w:r>
      <w:bookmarkEnd w:id="3366"/>
      <w:bookmarkEnd w:id="3367"/>
      <w:bookmarkEnd w:id="3368"/>
      <w:bookmarkEnd w:id="3369"/>
      <w:bookmarkEnd w:id="3370"/>
      <w:bookmarkEnd w:id="3371"/>
      <w:bookmarkEnd w:id="3372"/>
      <w:bookmarkEnd w:id="3373"/>
      <w:bookmarkEnd w:id="3374"/>
      <w:bookmarkEnd w:id="3375"/>
      <w:bookmarkEnd w:id="3376"/>
    </w:p>
    <w:p w:rsidR="00F4654E" w:rsidRDefault="00F4654E">
      <w:pPr>
        <w:pStyle w:val="a5"/>
      </w:pPr>
      <w:r>
        <w:t>Донской государственный аграрный университет</w:t>
      </w:r>
    </w:p>
    <w:p w:rsidR="00F4654E" w:rsidRPr="0001153D" w:rsidRDefault="00F4654E">
      <w:pPr>
        <w:pStyle w:val="a6"/>
        <w:rPr>
          <w:spacing w:val="-2"/>
        </w:rPr>
      </w:pPr>
      <w:r w:rsidRPr="0001153D">
        <w:rPr>
          <w:spacing w:val="-2"/>
        </w:rPr>
        <w:t>Важная роль в обеспечении населения продуктами питания принадл</w:t>
      </w:r>
      <w:r w:rsidRPr="0001153D">
        <w:rPr>
          <w:spacing w:val="-2"/>
        </w:rPr>
        <w:t>е</w:t>
      </w:r>
      <w:r w:rsidRPr="0001153D">
        <w:rPr>
          <w:spacing w:val="-2"/>
        </w:rPr>
        <w:t>жит производству свинины, увеличение которого связано с сохранн</w:t>
      </w:r>
      <w:r w:rsidRPr="0001153D">
        <w:rPr>
          <w:spacing w:val="-2"/>
        </w:rPr>
        <w:t>о</w:t>
      </w:r>
      <w:r w:rsidRPr="0001153D">
        <w:rPr>
          <w:spacing w:val="-2"/>
        </w:rPr>
        <w:t>стью молодняка и его продуктивностью. Многие заболевания, особенно из числа желудочно-кишечных, продолжают наносить значительный урон свиново</w:t>
      </w:r>
      <w:r w:rsidRPr="0001153D">
        <w:rPr>
          <w:spacing w:val="-2"/>
        </w:rPr>
        <w:t>д</w:t>
      </w:r>
      <w:r w:rsidRPr="0001153D">
        <w:rPr>
          <w:spacing w:val="-2"/>
        </w:rPr>
        <w:t>ству. К их числу относят гастроэнтериты различного происхождения. Ра</w:t>
      </w:r>
      <w:r w:rsidRPr="0001153D">
        <w:rPr>
          <w:spacing w:val="-2"/>
        </w:rPr>
        <w:t>з</w:t>
      </w:r>
      <w:r w:rsidRPr="0001153D">
        <w:rPr>
          <w:spacing w:val="-2"/>
        </w:rPr>
        <w:t>работка системы диагностики, профилактики и  лечения жел</w:t>
      </w:r>
      <w:r w:rsidRPr="0001153D">
        <w:rPr>
          <w:spacing w:val="-2"/>
        </w:rPr>
        <w:t>у</w:t>
      </w:r>
      <w:r w:rsidRPr="0001153D">
        <w:rPr>
          <w:spacing w:val="-2"/>
        </w:rPr>
        <w:t>дочно-кишечных болезней у поросят требует дальнейшего совершенств</w:t>
      </w:r>
      <w:r w:rsidRPr="0001153D">
        <w:rPr>
          <w:spacing w:val="-2"/>
        </w:rPr>
        <w:t>о</w:t>
      </w:r>
      <w:r w:rsidRPr="0001153D">
        <w:rPr>
          <w:spacing w:val="-2"/>
        </w:rPr>
        <w:t>вания.</w:t>
      </w:r>
    </w:p>
    <w:p w:rsidR="00F4654E" w:rsidRDefault="00F4654E">
      <w:pPr>
        <w:pStyle w:val="a6"/>
      </w:pPr>
      <w:r>
        <w:t>При постановке диагнозов на желудочно-кишечные болезни у поросят учитывают эпизоотологическую ситуацию в хозяйстве, этиологические факторы, клиническое проявление болезней, результаты патологоанатом</w:t>
      </w:r>
      <w:r>
        <w:t>и</w:t>
      </w:r>
      <w:r>
        <w:t>ческого вскрытия и лабораторных исследований. При выяснении причин гастроэнтеритов у  поросят установлено, что в большинстве случаев они развиваются у гипотрофного молодняка, чаще в возрасте 15 и более дней, отмечены случаи развития болезни у поросят-сосунов и отъемышей при поедании концентрированных кормов низкого качества. Следует также учесть, что поросята   очень чувствительны к высокой температуре скар</w:t>
      </w:r>
      <w:r>
        <w:t>м</w:t>
      </w:r>
      <w:r>
        <w:t>ливаемых им кормов. Дача их в  горячем состоянии (50-60</w:t>
      </w:r>
      <w:r>
        <w:sym w:font="Symbol" w:char="F0B0"/>
      </w:r>
      <w:r>
        <w:t>С) ведет к весьма серьезным нарушениям деятельности органов пищеварения. Пост</w:t>
      </w:r>
      <w:r>
        <w:t>у</w:t>
      </w:r>
      <w:r>
        <w:t>пление с  кормом натрия хлорида в повышенных количествах вызывает изменение желудка и кишечника воспалительного и даже дистрофического характера. При постановке диагноза на гастроэнтерит учитывают резул</w:t>
      </w:r>
      <w:r>
        <w:t>ь</w:t>
      </w:r>
      <w:r>
        <w:t xml:space="preserve">таты клинического обследования больных поросят. В начале заболевания поросята вялые, отказываются от приема корма, выражена жажда. Через </w:t>
      </w:r>
      <w:r>
        <w:lastRenderedPageBreak/>
        <w:t>несколько дней у больных животных появляется профузный понос. И</w:t>
      </w:r>
      <w:r>
        <w:t>с</w:t>
      </w:r>
      <w:r>
        <w:t>пражнения серо-желтого цвета без примеси крови. В результате изнуря</w:t>
      </w:r>
      <w:r>
        <w:t>ю</w:t>
      </w:r>
      <w:r>
        <w:t>щего поноса поросята быстро слабеют и впадают в  состояние прострации. Наблюдается охлаждение кожи конечностей, ушей, дрожь тела, парезы задних конечностей, потеря кожной чувствительности. При обезвоживании организма наблюдается сухость кожи, западение глазных яблок. Темпер</w:t>
      </w:r>
      <w:r>
        <w:t>а</w:t>
      </w:r>
      <w:r>
        <w:t>тура тела остается в пределах нормы или незначительно повышена  (40,7-40,9</w:t>
      </w:r>
      <w:r>
        <w:sym w:font="Symbol" w:char="F0B0"/>
      </w:r>
      <w:r>
        <w:t>С), а к концу болезни ниже нормы.</w:t>
      </w:r>
    </w:p>
    <w:p w:rsidR="00F4654E" w:rsidRDefault="00F4654E">
      <w:pPr>
        <w:pStyle w:val="a6"/>
      </w:pPr>
      <w:r>
        <w:t>При биохимических исследованиях сыворотки крови у поросят, бол</w:t>
      </w:r>
      <w:r>
        <w:t>ь</w:t>
      </w:r>
      <w:r>
        <w:t>ных гастроэнтеритом отмечается увеличение в сыворотке крови общего, прямого и непрямого билирубина, уменьшение сахара и резервной щело</w:t>
      </w:r>
      <w:r>
        <w:t>ч</w:t>
      </w:r>
      <w:r>
        <w:t>ности, общего белка, альбуминов и повышение альфа- и гамма- глобул</w:t>
      </w:r>
      <w:r>
        <w:t>и</w:t>
      </w:r>
      <w:r>
        <w:t>нов. Копрологическими исследованиями устанавливают увеличение уро</w:t>
      </w:r>
      <w:r>
        <w:t>в</w:t>
      </w:r>
      <w:r>
        <w:t>ня фермента энтерокиназы.</w:t>
      </w:r>
    </w:p>
    <w:p w:rsidR="00F4654E" w:rsidRDefault="00F4654E">
      <w:pPr>
        <w:pStyle w:val="a6"/>
      </w:pPr>
      <w:r>
        <w:t>Патоморфологические изменения обнаруживают на серозных и слиз</w:t>
      </w:r>
      <w:r>
        <w:t>и</w:t>
      </w:r>
      <w:r>
        <w:t>стых оболочках желудка и тонкого отдела кишечника типа катарального во</w:t>
      </w:r>
      <w:r>
        <w:t>с</w:t>
      </w:r>
      <w:r>
        <w:t>паления. Печень неравномерно окрашена – от светло-коричневого до темно-красного цвета с светловато-сероватыми участками. На эпикарде выявляют кровоизлияния. Незначительное набухание мезентериальных лимфоузлов. Селезенка и почки без видимых изменений. Гистологическ</w:t>
      </w:r>
      <w:r>
        <w:t>и</w:t>
      </w:r>
      <w:r>
        <w:t>ми исследованиями устанавливают зернистую дистрофию  печени с вено</w:t>
      </w:r>
      <w:r>
        <w:t>з</w:t>
      </w:r>
      <w:r>
        <w:t>ным застоем, иногда участки жировой дистрофии. В слизистых оболочках желудка и то</w:t>
      </w:r>
      <w:r>
        <w:t>н</w:t>
      </w:r>
      <w:r>
        <w:t>кого отдела кишечника выявляют десквамацию покровного эпителия. В по</w:t>
      </w:r>
      <w:r>
        <w:t>д</w:t>
      </w:r>
      <w:r>
        <w:t>слизистом слое наблюдается пролиферация лимфоидных клеток.</w:t>
      </w:r>
    </w:p>
    <w:p w:rsidR="00F4654E" w:rsidRDefault="00F4654E">
      <w:pPr>
        <w:pStyle w:val="a6"/>
      </w:pPr>
      <w:r>
        <w:t>Нами разработаны методы лечения поросят, больных гастроэнтер</w:t>
      </w:r>
      <w:r>
        <w:t>и</w:t>
      </w:r>
      <w:r>
        <w:t xml:space="preserve">том. Были созданы контрольная и три опытных группы, по 35 голов в каж-дой. Животных контрольной группы лечили по схеме 1: внутрь отвар трав тысячелистника, зверобоя и ромашки по 20-30 мл на поросенка 2-3 раза в день. Курс лечения 5-6 дней. </w:t>
      </w:r>
    </w:p>
    <w:p w:rsidR="00F4654E" w:rsidRDefault="00F4654E">
      <w:pPr>
        <w:pStyle w:val="a6"/>
      </w:pPr>
      <w:r>
        <w:t xml:space="preserve">Поросят первой опытной группы лечили по схеме 2: внутрь отвар трав тысячелистника, зверобоя и ромашки по 20-30 мл на поросенка 2-3 раза  в день, подкожно формазин в дозе 0,5-1,0 мл на поросенка; внутримышечно  - лекарственную смесь, состоящую из цитратной крови лошади, тетравита и норсульфазола натрия, в дозе 0,3 мл /кг  массы тела раз в сутки, через 2-3 дня введение повторяли. Курс лечения 5-6 дней. </w:t>
      </w:r>
    </w:p>
    <w:p w:rsidR="00F4654E" w:rsidRDefault="00F4654E">
      <w:pPr>
        <w:pStyle w:val="a6"/>
      </w:pPr>
      <w:r>
        <w:t>Животных второй опытной группы лечили по схеме 3: внутримыше</w:t>
      </w:r>
      <w:r>
        <w:t>ч</w:t>
      </w:r>
      <w:r>
        <w:t>но 4%-ную суспензию трихопола на 6%-ом растворе поливинилпиррол</w:t>
      </w:r>
      <w:r>
        <w:t>и</w:t>
      </w:r>
      <w:r>
        <w:t>дона раз в двое суток; внутримышечно  - тимоген 1 мл раз в сутки; внутрь отвар трав тысячелистника, зверобоя и ромашки 20-30 мл на животное 2 раза в сутки. Курс лечения 5-6 дней.</w:t>
      </w:r>
    </w:p>
    <w:p w:rsidR="00F4654E" w:rsidRDefault="00F4654E">
      <w:pPr>
        <w:pStyle w:val="a6"/>
      </w:pPr>
      <w:r>
        <w:t xml:space="preserve">Поросят третьей опытной группы лечили по схеме 4: внутримышечно - урзофеникол в дозе 1-2 мл на голову в сутки в течение 5-6 дней; внутрь </w:t>
      </w:r>
      <w:r>
        <w:lastRenderedPageBreak/>
        <w:t>отвар трав тысячелистника, зверобоя и ромашки 20-30 мл на поросенка 2 раза в день. Курс лечения 5-6 дней.</w:t>
      </w:r>
    </w:p>
    <w:p w:rsidR="00F4654E" w:rsidRDefault="00F4654E">
      <w:pPr>
        <w:pStyle w:val="a6"/>
      </w:pPr>
      <w:r>
        <w:t>В процессе лечения температура тела, частота дыхания и пульса во</w:t>
      </w:r>
      <w:r>
        <w:t>з</w:t>
      </w:r>
      <w:r>
        <w:t>вращались к физиологическим параметрам нормы, а восстановление би</w:t>
      </w:r>
      <w:r>
        <w:t>о</w:t>
      </w:r>
      <w:r>
        <w:t>химических  показателей крови наступало в разные сроки (12-15-й день) после лечения. После курсового лечения в контрольной группе выздоров</w:t>
      </w:r>
      <w:r>
        <w:t>е</w:t>
      </w:r>
      <w:r>
        <w:t>ло 27 из 35  поросят (77,1%), в 1 опытной из 35 - 32 – (91,4%), во 2 опы</w:t>
      </w:r>
      <w:r>
        <w:t>т</w:t>
      </w:r>
      <w:r>
        <w:t>ной из 35 31 (88,6%) и в 3 опытной из 35 - 30 (85,7%).</w:t>
      </w:r>
    </w:p>
    <w:p w:rsidR="00F4654E" w:rsidRDefault="00F4654E">
      <w:pPr>
        <w:pStyle w:val="a6"/>
      </w:pPr>
      <w:r>
        <w:t>Таким образом комплексное применение поросятам, больным гастр</w:t>
      </w:r>
      <w:r>
        <w:t>о</w:t>
      </w:r>
      <w:r>
        <w:t>энтеритом, отваров трав, лекарственной смеси, состоящей из цитратной крови лошади, тетравита, норсульфазола натрия, фармазина способствов</w:t>
      </w:r>
      <w:r>
        <w:t>а</w:t>
      </w:r>
      <w:r>
        <w:t>ло более быстрому выздоровлению с высоким лечебным эффектом (91,4%).</w:t>
      </w:r>
    </w:p>
    <w:p w:rsidR="00F4654E" w:rsidRDefault="00F4654E">
      <w:pPr>
        <w:pStyle w:val="a6"/>
      </w:pPr>
      <w:r>
        <w:t>В системе профилактики разработаны следующие меры. Опыты пр</w:t>
      </w:r>
      <w:r>
        <w:t>о</w:t>
      </w:r>
      <w:r>
        <w:t>ведены на 60 условно здоровых  поросятах в возрасте 2-3 месяцев. Были созданы контрольная и три  опытные группы по 15 голов в каждой. Пор</w:t>
      </w:r>
      <w:r>
        <w:t>о</w:t>
      </w:r>
      <w:r>
        <w:t xml:space="preserve">сятам контрольной группы лекарственных средств не назначали. </w:t>
      </w:r>
    </w:p>
    <w:p w:rsidR="00F4654E" w:rsidRDefault="00F4654E">
      <w:pPr>
        <w:pStyle w:val="a6"/>
      </w:pPr>
      <w:r>
        <w:t xml:space="preserve">В первой опытной группе применяли схему 1: внутримышечно - смесь, состоящую из цитратной крови лошади, тетравита, норсульфазола натрия в дозе 0,3 мл/кг, раз в день, через двое суток,  введены повторами, всего три инъекции. </w:t>
      </w:r>
    </w:p>
    <w:p w:rsidR="00F4654E" w:rsidRDefault="00F4654E">
      <w:pPr>
        <w:pStyle w:val="a6"/>
      </w:pPr>
      <w:r>
        <w:t>Во второй опытной группе применяли схему 2: внутримышечно  - мастим 1 мл раз в день, через двое суток, введение повторяли, всего три инъекции. В третьей опытной группе применяли схему 3: внутримышечно - 4%-ную суспензию трихопола на 6%-ом растворе поливинилпирролидона раз в день, через двое суток введение повторяли, всего три инъекции; внутр</w:t>
      </w:r>
      <w:r>
        <w:t>и</w:t>
      </w:r>
      <w:r>
        <w:t>мышечно - тривитамин 1-2 мл на животное, раз в сутки, всего три инъекции.</w:t>
      </w:r>
    </w:p>
    <w:p w:rsidR="00F4654E" w:rsidRDefault="00F4654E">
      <w:pPr>
        <w:pStyle w:val="a6"/>
      </w:pPr>
      <w:r>
        <w:t>После проведения профилактических мер в опытных группах отмеч</w:t>
      </w:r>
      <w:r>
        <w:t>а</w:t>
      </w:r>
      <w:r>
        <w:t>лась тенденция к увеличению в крови количества гемоглобина, числа эритроцитов, лейкоцитов, общего белка, сахара, резервной щелочности, бактерицидной и лизоцимной активности сыворотки крови и снижения уровня щелочной фосфатазы. Тогда, как в контрольной группе у поросят уменьшилось количество гемоглобина на 3-5%, числа эритроцитов на 8-10%, общего белка на 2-4%, сахара на 12-13%, резервной щелочности на 7-8%, бактерицидной на 5-6% и лизоцимной активности на 2-3%. Акти</w:t>
      </w:r>
      <w:r>
        <w:t>в</w:t>
      </w:r>
      <w:r>
        <w:t xml:space="preserve">ность фермента щелочной фосфатазы повысилась на 3-5%. </w:t>
      </w:r>
    </w:p>
    <w:p w:rsidR="00F4654E" w:rsidRDefault="00F4654E">
      <w:pPr>
        <w:pStyle w:val="a6"/>
      </w:pPr>
      <w:r>
        <w:t>В контрольной группе заболело 4 поросенка (26,7%),  в 1 опытной –1 (6,7%),  во 2 опытной – 2 (13,3%)  и в 3 опытной – 1 (6,7%) соответственно.</w:t>
      </w:r>
    </w:p>
    <w:p w:rsidR="00F4654E" w:rsidRDefault="00F4654E">
      <w:pPr>
        <w:pStyle w:val="a6"/>
      </w:pPr>
      <w:r>
        <w:t>Таким образом, проведение комплексных мер по диагностике, леч</w:t>
      </w:r>
      <w:r>
        <w:t>е</w:t>
      </w:r>
      <w:r>
        <w:t xml:space="preserve">нию и профилактике  гастроэнтерита у поросят позволяет сохранить от 90 до 93 % животных.   </w:t>
      </w:r>
    </w:p>
    <w:p w:rsidR="00F4654E" w:rsidRDefault="00F4654E">
      <w:pPr>
        <w:pStyle w:val="a4"/>
      </w:pPr>
      <w:r>
        <w:lastRenderedPageBreak/>
        <w:t>УДК  619:616-092:612.017.1-008.64:636.32/.38</w:t>
      </w:r>
    </w:p>
    <w:p w:rsidR="00F4654E" w:rsidRDefault="00F4654E">
      <w:pPr>
        <w:pStyle w:val="1"/>
      </w:pPr>
      <w:bookmarkStart w:id="3377" w:name="_Toc10731420"/>
      <w:bookmarkStart w:id="3378" w:name="_Toc11137853"/>
      <w:bookmarkStart w:id="3379" w:name="_Toc11138271"/>
      <w:bookmarkStart w:id="3380" w:name="_Toc11138689"/>
      <w:bookmarkStart w:id="3381" w:name="_Toc11139107"/>
      <w:bookmarkStart w:id="3382" w:name="_Toc11139525"/>
      <w:bookmarkStart w:id="3383" w:name="_Toc11139943"/>
      <w:bookmarkStart w:id="3384" w:name="_Toc11140361"/>
      <w:bookmarkStart w:id="3385" w:name="_Toc11390471"/>
      <w:bookmarkStart w:id="3386" w:name="_Toc11840156"/>
      <w:bookmarkStart w:id="3387" w:name="_Toc11937712"/>
      <w:r>
        <w:t>ПРОФИЛАКТИКА ПЕРВОГО ВОЗРАСТНОГО ИММУННОГО ДЕФИЦИТА ЯГНЯТ</w:t>
      </w:r>
      <w:bookmarkEnd w:id="3377"/>
      <w:bookmarkEnd w:id="3378"/>
      <w:bookmarkEnd w:id="3379"/>
      <w:bookmarkEnd w:id="3380"/>
      <w:bookmarkEnd w:id="3381"/>
      <w:bookmarkEnd w:id="3382"/>
      <w:bookmarkEnd w:id="3383"/>
      <w:bookmarkEnd w:id="3384"/>
      <w:bookmarkEnd w:id="3385"/>
      <w:bookmarkEnd w:id="3386"/>
      <w:bookmarkEnd w:id="3387"/>
    </w:p>
    <w:p w:rsidR="00F4654E" w:rsidRDefault="00F4654E">
      <w:pPr>
        <w:pStyle w:val="2"/>
      </w:pPr>
      <w:bookmarkStart w:id="3388" w:name="_Toc10731421"/>
      <w:bookmarkStart w:id="3389" w:name="_Toc11032289"/>
      <w:bookmarkStart w:id="3390" w:name="_Toc11137854"/>
      <w:bookmarkStart w:id="3391" w:name="_Toc11138272"/>
      <w:bookmarkStart w:id="3392" w:name="_Toc11138690"/>
      <w:bookmarkStart w:id="3393" w:name="_Toc11139108"/>
      <w:bookmarkStart w:id="3394" w:name="_Toc11139526"/>
      <w:bookmarkStart w:id="3395" w:name="_Toc11139944"/>
      <w:bookmarkStart w:id="3396" w:name="_Toc11140362"/>
      <w:bookmarkStart w:id="3397" w:name="_Toc11390472"/>
      <w:bookmarkStart w:id="3398" w:name="_Toc11937713"/>
      <w:r>
        <w:t>Мотузко Н.С.</w:t>
      </w:r>
      <w:bookmarkEnd w:id="3388"/>
      <w:bookmarkEnd w:id="3389"/>
      <w:bookmarkEnd w:id="3390"/>
      <w:bookmarkEnd w:id="3391"/>
      <w:bookmarkEnd w:id="3392"/>
      <w:bookmarkEnd w:id="3393"/>
      <w:bookmarkEnd w:id="3394"/>
      <w:bookmarkEnd w:id="3395"/>
      <w:bookmarkEnd w:id="3396"/>
      <w:bookmarkEnd w:id="3397"/>
      <w:bookmarkEnd w:id="3398"/>
    </w:p>
    <w:p w:rsidR="00F4654E" w:rsidRDefault="00F4654E">
      <w:pPr>
        <w:pStyle w:val="a5"/>
      </w:pPr>
      <w:r>
        <w:t>Витебская государственная академия ветеринарной медицины</w:t>
      </w:r>
    </w:p>
    <w:p w:rsidR="00F4654E" w:rsidRDefault="00F4654E">
      <w:pPr>
        <w:pStyle w:val="a6"/>
      </w:pPr>
      <w:r>
        <w:t>Известно, что формирование неспецифических факторов  защиты н</w:t>
      </w:r>
      <w:r>
        <w:t>а</w:t>
      </w:r>
      <w:r>
        <w:t>чинается уже в период внутриутробного развития но, вместе с тем, нов</w:t>
      </w:r>
      <w:r>
        <w:t>о</w:t>
      </w:r>
      <w:r>
        <w:t>рожденные ягнята в первые часы жизни имеют низкие клеточно-гуморальные факторы защиты. Это первый возрастной критический пер</w:t>
      </w:r>
      <w:r>
        <w:t>и</w:t>
      </w:r>
      <w:r>
        <w:t>од в их жизни и в это время отмечается наибольшая заболеваемость и о</w:t>
      </w:r>
      <w:r>
        <w:t>т</w:t>
      </w:r>
      <w:r>
        <w:t>ход новорожденных ягнят. Учитывая, что первый иммунодефицит начин</w:t>
      </w:r>
      <w:r>
        <w:t>а</w:t>
      </w:r>
      <w:r>
        <w:t>ется сразу после рождения животных и он непродолжительный по врем</w:t>
      </w:r>
      <w:r>
        <w:t>е</w:t>
      </w:r>
      <w:r>
        <w:t>ни, что затрудняет использование  лекарственных препаратов в его ко</w:t>
      </w:r>
      <w:r>
        <w:t>р</w:t>
      </w:r>
      <w:r>
        <w:t xml:space="preserve">рекции. </w:t>
      </w:r>
    </w:p>
    <w:p w:rsidR="00F4654E" w:rsidRDefault="00F4654E">
      <w:pPr>
        <w:pStyle w:val="a6"/>
      </w:pPr>
      <w:r>
        <w:t>В связи с этим, нами поставлена цель – повышение защитных факт</w:t>
      </w:r>
      <w:r>
        <w:t>о</w:t>
      </w:r>
      <w:r>
        <w:t>ров новорожденных ягнят путем применения тималина суягным овцема</w:t>
      </w:r>
      <w:r>
        <w:t>т</w:t>
      </w:r>
      <w:r>
        <w:t>кам. По принципу аналогов было сформировано 4 группы овцематок (9 г</w:t>
      </w:r>
      <w:r>
        <w:t>о</w:t>
      </w:r>
      <w:r>
        <w:t>лов в каждой). Первая группа – контрольная, вторая –овцематки в возрасте 1-2 года, третья – овцематки  3-4 лет, четвертая – овцематки  5-6 лет.   О</w:t>
      </w:r>
      <w:r>
        <w:t>в</w:t>
      </w:r>
      <w:r>
        <w:t>цематкам контрольной группы внутримышечно вводили физиологический раствор  в дозе 1 мл, а опытным – тималин – в дозе 0,1-0,2 мг/кг массы т</w:t>
      </w:r>
      <w:r>
        <w:t>е</w:t>
      </w:r>
      <w:r>
        <w:t>ла, один раз в сутки в течение 3 дней подряд. Кровь у ягнят брали из яре</w:t>
      </w:r>
      <w:r>
        <w:t>м</w:t>
      </w:r>
      <w:r>
        <w:t>ной вены по следующей схеме: до приема молозива, через 5-6, 10-12, 22-24 часа, 2-3 суток после его приема.</w:t>
      </w:r>
    </w:p>
    <w:p w:rsidR="00F4654E" w:rsidRDefault="00F4654E">
      <w:pPr>
        <w:pStyle w:val="a6"/>
      </w:pPr>
      <w:r>
        <w:t xml:space="preserve">До приема молозива содержание иммуноглобулинов G+A было на низком уровне во всех группах. Через 5-6 часов после приема молозива, произошло резкое увеличение иммуноглобулинов G+A и их количество составило 19,18±0,47%, во второй - 22,29±0,62%; в третьей - 23,08±0,57%; в четвертой - 23,84±0,68%.  </w:t>
      </w:r>
    </w:p>
    <w:p w:rsidR="00F4654E" w:rsidRDefault="00F4654E">
      <w:pPr>
        <w:pStyle w:val="a6"/>
      </w:pPr>
      <w:r>
        <w:t>До приема молозива содержание иммуноглобулинов М в сыворотке крови ягнят выделялось в виде следов, но уже через 5-6 часов составило в первой группе 0,51±0,09%, во второй – 0,69±0,12%, в третьей - 0,81±0,14%. Максимальных величин эти показатели достигли в суточном возрасте я</w:t>
      </w:r>
      <w:r>
        <w:t>г</w:t>
      </w:r>
      <w:r>
        <w:t xml:space="preserve">нят. При этом содержание иммуноглобулинов G+A в контрольной группе составило 33,24±1,47%, во второй – 35,67±1,34%, в третьей – 37,56±1,51%, в четвертой – 38,42±1,27%, а иммуноглобулинов  М в первой группе были на уровне 2,68±0,12%, а во второй – 2,94±0,14%, третьей – 3,12±0,10%, четвертой – 3,37±0,17%. При этом отмечалось достоверное отличие не только между контрольной и опытными группами, а также между второй и  четвертой. </w:t>
      </w:r>
    </w:p>
    <w:p w:rsidR="00F4654E" w:rsidRDefault="00F4654E">
      <w:pPr>
        <w:pStyle w:val="a6"/>
      </w:pPr>
      <w:r>
        <w:t>Фагоцитарная активность лейкоцитов перед началом опыта во всех группах не имела достоверных отличий. С приемом молозива фагоцита</w:t>
      </w:r>
      <w:r>
        <w:t>р</w:t>
      </w:r>
      <w:r>
        <w:lastRenderedPageBreak/>
        <w:t>ная активность  увеличилась и через 10-12 часов была на уровне в ко</w:t>
      </w:r>
      <w:r>
        <w:t>н</w:t>
      </w:r>
      <w:r>
        <w:t>трольной группе 31,74±1,17%, во второй – 32,62±1,57%, в третьей – 34,86±1,36%, в четвертой – 35,52±1,37%. Наибольших величин она дости</w:t>
      </w:r>
      <w:r>
        <w:t>г</w:t>
      </w:r>
      <w:r>
        <w:t>ла через  2-3 суток после приема молозива.</w:t>
      </w:r>
    </w:p>
    <w:p w:rsidR="00F4654E" w:rsidRDefault="00F4654E">
      <w:pPr>
        <w:pStyle w:val="a6"/>
      </w:pPr>
      <w:r>
        <w:t>Проведенные нами исследования показали, что до приема молозива у ягнят содержание лейкоцитов находилось ниже физиологических норм, но уже через 5-6 часов после его приема их количество увеличилось в два раза, а к 10-12 часам было в первой группе на уровне 5,34±0,41·10</w:t>
      </w:r>
      <w:r>
        <w:rPr>
          <w:vertAlign w:val="superscript"/>
        </w:rPr>
        <w:t>9</w:t>
      </w:r>
      <w:r>
        <w:t>/л,  во второй – 5,89±0,56·10</w:t>
      </w:r>
      <w:r>
        <w:rPr>
          <w:vertAlign w:val="superscript"/>
        </w:rPr>
        <w:t>9</w:t>
      </w:r>
      <w:r>
        <w:t>/л,  в третьей – 6,07±0,47·10</w:t>
      </w:r>
      <w:r>
        <w:rPr>
          <w:vertAlign w:val="superscript"/>
        </w:rPr>
        <w:t>9</w:t>
      </w:r>
      <w:r>
        <w:t>/л, в четвертой – 6,67±0,52·10</w:t>
      </w:r>
      <w:r>
        <w:rPr>
          <w:vertAlign w:val="superscript"/>
        </w:rPr>
        <w:t>9</w:t>
      </w:r>
      <w:r>
        <w:t>/л, а максимальное количество отмечалось через 22-24 часа.</w:t>
      </w:r>
    </w:p>
    <w:p w:rsidR="00F4654E" w:rsidRDefault="00F4654E">
      <w:pPr>
        <w:pStyle w:val="a6"/>
      </w:pPr>
      <w:r>
        <w:t>Применение тималина суягным овцематкам оказывает иммуностим</w:t>
      </w:r>
      <w:r>
        <w:t>у</w:t>
      </w:r>
      <w:r>
        <w:t>лирующее действие. У ягнят сокращается продолжительность первого и</w:t>
      </w:r>
      <w:r>
        <w:t>м</w:t>
      </w:r>
      <w:r>
        <w:t>мунного дефицита, что более выражено у животных рожденных от овц</w:t>
      </w:r>
      <w:r>
        <w:t>е</w:t>
      </w:r>
      <w:r>
        <w:t xml:space="preserve">маток 5-6 летнего возраста. </w:t>
      </w:r>
    </w:p>
    <w:p w:rsidR="00F4654E" w:rsidRDefault="00F4654E">
      <w:pPr>
        <w:pStyle w:val="a4"/>
      </w:pPr>
      <w:r>
        <w:t>УДК 619:618.11:616-07:636.22/.28</w:t>
      </w:r>
    </w:p>
    <w:p w:rsidR="00F4654E" w:rsidRDefault="00F4654E">
      <w:pPr>
        <w:pStyle w:val="1"/>
      </w:pPr>
      <w:bookmarkStart w:id="3399" w:name="_Toc10731438"/>
      <w:bookmarkStart w:id="3400" w:name="_Toc11137877"/>
      <w:bookmarkStart w:id="3401" w:name="_Toc11138295"/>
      <w:bookmarkStart w:id="3402" w:name="_Toc11138713"/>
      <w:bookmarkStart w:id="3403" w:name="_Toc11139131"/>
      <w:bookmarkStart w:id="3404" w:name="_Toc11139549"/>
      <w:bookmarkStart w:id="3405" w:name="_Toc11139967"/>
      <w:bookmarkStart w:id="3406" w:name="_Toc11140385"/>
      <w:bookmarkStart w:id="3407" w:name="_Toc11390493"/>
      <w:bookmarkStart w:id="3408" w:name="_Toc11840178"/>
      <w:bookmarkStart w:id="3409" w:name="_Toc11937714"/>
      <w:r>
        <w:t>О КОНТАМИНАЦИИ СПЕРМЫ БЫКОВ-ПРОИЗВОДИТЕЛЕЙ СПЕЦИФИЧЕСКОЙ ПОЛОВОЙ ИНФЕКЦИЕЙ</w:t>
      </w:r>
      <w:bookmarkEnd w:id="3399"/>
      <w:bookmarkEnd w:id="3400"/>
      <w:bookmarkEnd w:id="3401"/>
      <w:bookmarkEnd w:id="3402"/>
      <w:bookmarkEnd w:id="3403"/>
      <w:bookmarkEnd w:id="3404"/>
      <w:bookmarkEnd w:id="3405"/>
      <w:bookmarkEnd w:id="3406"/>
      <w:bookmarkEnd w:id="3407"/>
      <w:bookmarkEnd w:id="3408"/>
      <w:bookmarkEnd w:id="3409"/>
    </w:p>
    <w:p w:rsidR="00F4654E" w:rsidRDefault="00F4654E">
      <w:pPr>
        <w:pStyle w:val="2"/>
      </w:pPr>
      <w:bookmarkStart w:id="3410" w:name="_Toc10731439"/>
      <w:bookmarkStart w:id="3411" w:name="_Toc11032301"/>
      <w:bookmarkStart w:id="3412" w:name="_Toc11137878"/>
      <w:bookmarkStart w:id="3413" w:name="_Toc11138296"/>
      <w:bookmarkStart w:id="3414" w:name="_Toc11138714"/>
      <w:bookmarkStart w:id="3415" w:name="_Toc11139132"/>
      <w:bookmarkStart w:id="3416" w:name="_Toc11139550"/>
      <w:bookmarkStart w:id="3417" w:name="_Toc11139968"/>
      <w:bookmarkStart w:id="3418" w:name="_Toc11140386"/>
      <w:bookmarkStart w:id="3419" w:name="_Toc11390494"/>
      <w:bookmarkStart w:id="3420" w:name="_Toc11937715"/>
      <w:r>
        <w:t>Муртазин Б. Ф., Салохиддинова Х. С.</w:t>
      </w:r>
      <w:bookmarkEnd w:id="3410"/>
      <w:bookmarkEnd w:id="3411"/>
      <w:bookmarkEnd w:id="3412"/>
      <w:bookmarkEnd w:id="3413"/>
      <w:bookmarkEnd w:id="3414"/>
      <w:bookmarkEnd w:id="3415"/>
      <w:bookmarkEnd w:id="3416"/>
      <w:bookmarkEnd w:id="3417"/>
      <w:bookmarkEnd w:id="3418"/>
      <w:bookmarkEnd w:id="3419"/>
      <w:bookmarkEnd w:id="3420"/>
    </w:p>
    <w:p w:rsidR="00F4654E" w:rsidRDefault="00F4654E">
      <w:pPr>
        <w:pStyle w:val="a5"/>
      </w:pPr>
      <w:r>
        <w:t>Узбекский научно-исследовательский институт ветеринарии</w:t>
      </w:r>
    </w:p>
    <w:p w:rsidR="00F4654E" w:rsidRDefault="00F4654E">
      <w:pPr>
        <w:pStyle w:val="a6"/>
      </w:pPr>
      <w:r>
        <w:tab/>
        <w:t>Считается, что сперма здоровых животных стерильна (Я.Е. Кол</w:t>
      </w:r>
      <w:r>
        <w:t>я</w:t>
      </w:r>
      <w:r>
        <w:t>ков,1963, Н.Г. Балашов,1980 и др.) и отдельным исследователям (Н.В. Р</w:t>
      </w:r>
      <w:r>
        <w:t>у</w:t>
      </w:r>
      <w:r>
        <w:t>мянцев,1958, П. Маринов,1959, Н.Г. Балашов,1969, В.П. Парусов и сотр.,  1972 и др.) удавалось получать эякуляты у быков, свободную от микроо</w:t>
      </w:r>
      <w:r>
        <w:t>р</w:t>
      </w:r>
      <w:r>
        <w:t>ганизмов. Однако, П.А. Волосков (1952), Г.У. Солсбери, Н.Л. Ван-Демарк (1966) и другие пишут о проблематичности достижения таких результатов. Е.П. Кремлев (1974) в 518 пробах спермы быков (81,4 процентов) обнар</w:t>
      </w:r>
      <w:r>
        <w:t>у</w:t>
      </w:r>
      <w:r>
        <w:t>жил 24 вида бактерий и 18 видов грибов, среди которых были и патоге</w:t>
      </w:r>
      <w:r>
        <w:t>н</w:t>
      </w:r>
      <w:r>
        <w:t>ные штаммы: Bact. puogenes, corynebacter puogenes, Staph. puogenes aurus et albus, Diplococcus septicus и грибы рода Candida, Aspergillus и др. Прибл</w:t>
      </w:r>
      <w:r>
        <w:t>и</w:t>
      </w:r>
      <w:r>
        <w:t>зительно такие же данные приводят А.М. Гаврилов и соавт. (1971), Н.Я. Алиев и А.И.Тараненко (1976) и многие другие авторы.</w:t>
      </w:r>
    </w:p>
    <w:p w:rsidR="00F4654E" w:rsidRDefault="00F4654E">
      <w:pPr>
        <w:pStyle w:val="a6"/>
      </w:pPr>
      <w:r>
        <w:t>Быки-производители могут быть носителями и специфических пол</w:t>
      </w:r>
      <w:r>
        <w:t>о</w:t>
      </w:r>
      <w:r>
        <w:t>вых инфекций, таких как бруцеллы, микобактерии, лептоспиры, кампил</w:t>
      </w:r>
      <w:r>
        <w:t>о</w:t>
      </w:r>
      <w:r>
        <w:t xml:space="preserve">бактерии, листерии а также трихомонады, токсоплазмы и др. </w:t>
      </w:r>
    </w:p>
    <w:p w:rsidR="00F4654E" w:rsidRDefault="00F4654E">
      <w:pPr>
        <w:pStyle w:val="a6"/>
      </w:pPr>
      <w:r>
        <w:t>Вся эта микрофлора, как в отдельности, так и в ассоциации может быть причиной абортов и других акушерско-гинекологических заболев</w:t>
      </w:r>
      <w:r>
        <w:t>а</w:t>
      </w:r>
      <w:r>
        <w:t>ний (П.А.Волосков,1965, Н.Н.Михайлов,1979 и др.). Вместе с тем на МТФ зачастую наблюдаются аборты не установленной этиологии (Г.В.Жуков и сотр.,1965, В.П.Парусов,1974, Kir.C.Coride,1974, J.Uwland,1984 и др.). Микробиологическими исследованиями абортированных плодов коров и телок нами во всех случаях обнаруживались и выделялись мелкие филь</w:t>
      </w:r>
      <w:r>
        <w:t>т</w:t>
      </w:r>
      <w:r>
        <w:lastRenderedPageBreak/>
        <w:t>рующиеся формы риккетсий (бартонелл). Эти бактерии удалось обнар</w:t>
      </w:r>
      <w:r>
        <w:t>у</w:t>
      </w:r>
      <w:r>
        <w:t>жить и выделить только после специальной их окраски, а также посева на специально разработанные питательные среды (Патент Республики Узб</w:t>
      </w:r>
      <w:r>
        <w:t>е</w:t>
      </w:r>
      <w:r>
        <w:t>кистан от 30.06.1999 г. №9739. Бюлл. №2).</w:t>
      </w:r>
    </w:p>
    <w:p w:rsidR="00F4654E" w:rsidRDefault="00F4654E">
      <w:pPr>
        <w:pStyle w:val="a6"/>
      </w:pPr>
      <w:r>
        <w:t>При заражении беременных крольчих, морских свинок и крыс они п</w:t>
      </w:r>
      <w:r>
        <w:t>о</w:t>
      </w:r>
      <w:r>
        <w:t>стоянно вызывали аборты и их гибель, а оставшиеся в живых самочки ча</w:t>
      </w:r>
      <w:r>
        <w:t>с</w:t>
      </w:r>
      <w:r>
        <w:t>то случались, но оставались бесплодными. 75 % телок (п = 10), зараже</w:t>
      </w:r>
      <w:r>
        <w:t>н</w:t>
      </w:r>
      <w:r>
        <w:t>ных интрацервикально, часто перегуливая, в течение 5-7 месяцев, остав</w:t>
      </w:r>
      <w:r>
        <w:t>а</w:t>
      </w:r>
      <w:r>
        <w:t>лись бесплодными. Аналогичная картина наблюдается также в тех хозя</w:t>
      </w:r>
      <w:r>
        <w:t>й</w:t>
      </w:r>
      <w:r>
        <w:t>ствах, где практикуется исключительное искусственное осеменение. Так, на МТФ колхоза им. Улугбека Тайлякского района привезли из Голландии племенных телок, создали им надлежащие условия с осеменением спермой гольштиннофризской породы, класса элита-рекорд. Однако телки стали часто перегуливать, хотя хозяйство было благополучным по бруцеллезу, туберкулезу, трихомонозу и другим заразным заболеваниям. При анализе осеменений 27 бесплодных коров было установлено, что 7 коров беспло</w:t>
      </w:r>
      <w:r>
        <w:t>д</w:t>
      </w:r>
      <w:r>
        <w:t>ны в течение 2-2,5 лет, 14 – в течение 12-15 месяцев и 6 – в течение 5-7 м</w:t>
      </w:r>
      <w:r>
        <w:t>е</w:t>
      </w:r>
      <w:r>
        <w:t>сяцев. Животные безрезультатно осеменялись до 15-20 и больше раз. Мн</w:t>
      </w:r>
      <w:r>
        <w:t>о</w:t>
      </w:r>
      <w:r>
        <w:t>гократное стимулирование животных нейро-гормональными препаратами и простагландинами не давали положительных результатов.</w:t>
      </w:r>
    </w:p>
    <w:p w:rsidR="00F4654E" w:rsidRDefault="00F4654E">
      <w:pPr>
        <w:pStyle w:val="a6"/>
      </w:pPr>
      <w:r>
        <w:t>В этой связи было исследовано 20 проб замороженной спермы (пай</w:t>
      </w:r>
      <w:r>
        <w:t>е</w:t>
      </w:r>
      <w:r>
        <w:t>ты, гранулы) быков-производителей (№ 5515-«Бурвем», № 5093-«Волкер», № 9201-«Елвик» и № 32-«Скиф»), при которых на питательных средах в</w:t>
      </w:r>
      <w:r>
        <w:t>ы</w:t>
      </w:r>
      <w:r>
        <w:t>росли бартонеллы в ассоциации с дрожжеподобными грибками, что дало основание считать сперму этих животных причиною эмбриональной смертности и воспалительных процессов в гениталиях коров и телок.</w:t>
      </w:r>
    </w:p>
    <w:p w:rsidR="00F4654E" w:rsidRDefault="00F4654E">
      <w:pPr>
        <w:pStyle w:val="a6"/>
      </w:pPr>
      <w:r>
        <w:t>Следует отметить, что еще ранее в Дании от спермы 33 быков-произ-водителей (из 35 голов) были выделены (П.А.Волосков,1965, Н.Г. Бал</w:t>
      </w:r>
      <w:r>
        <w:t>а</w:t>
      </w:r>
      <w:r>
        <w:t>шов,1980) плевропнев-мониеподобные бактерии, которые при оплодотв</w:t>
      </w:r>
      <w:r>
        <w:t>о</w:t>
      </w:r>
      <w:r>
        <w:t>рении могут вызывать гибель зародышей и эмбрионов (П.А. Воло</w:t>
      </w:r>
      <w:r>
        <w:t>с</w:t>
      </w:r>
      <w:r>
        <w:t>ков,1965). Учитывая, что выделенные нами риккетсии несколько напом</w:t>
      </w:r>
      <w:r>
        <w:t>и</w:t>
      </w:r>
      <w:r>
        <w:t>нают по форме эти бактерии (биполярно окрашенные грамположительные палочки) не исключается возможность того, что мы имеем дело с иденти</w:t>
      </w:r>
      <w:r>
        <w:t>ч</w:t>
      </w:r>
      <w:r>
        <w:t>ной микрофлорой. Кроме того, Ф.Гуфира и др.(1961), приводят примеры обнаружения, таких микроорганизмов у крыс, собак, крупного рогатого скота и других животных. Также не исключается обсеменение эякулятов производителей разбавителями спермы, содержащих желток куриного я</w:t>
      </w:r>
      <w:r>
        <w:t>й</w:t>
      </w:r>
      <w:r>
        <w:t>ца: при бактериологических исследованиях яиц кур, сизых ворон, голубей и горлиц во всех случаях выделялись вновь найденные риккетсии.</w:t>
      </w:r>
    </w:p>
    <w:p w:rsidR="00F4654E" w:rsidRDefault="00F4654E">
      <w:pPr>
        <w:pStyle w:val="a6"/>
      </w:pPr>
      <w:r>
        <w:t>Таким образом, постоянное выделение бартонелл из цервикально-маточной слизи, плаценты, паренхиматозных органов плодов и крови абортированных коров, а также из спермы быков и яйцах птиц не могут считаться случайными находками, а наоборот, указывает о непосредстве</w:t>
      </w:r>
      <w:r>
        <w:t>н</w:t>
      </w:r>
      <w:r>
        <w:lastRenderedPageBreak/>
        <w:t>ной их причастности в возникновении акушерско-гинекологических заб</w:t>
      </w:r>
      <w:r>
        <w:t>о</w:t>
      </w:r>
      <w:r>
        <w:t>леваний животных. И на этом основании их следует отнести к патогенной специфической половой инфекции.</w:t>
      </w:r>
    </w:p>
    <w:p w:rsidR="00F4654E" w:rsidRDefault="00F4654E">
      <w:pPr>
        <w:pStyle w:val="a4"/>
      </w:pPr>
      <w:r>
        <w:t>УДК 619:615.93:612.017.1</w:t>
      </w:r>
    </w:p>
    <w:p w:rsidR="00F4654E" w:rsidRDefault="00F4654E">
      <w:pPr>
        <w:pStyle w:val="1"/>
      </w:pPr>
      <w:bookmarkStart w:id="3421" w:name="_Toc10731440"/>
      <w:bookmarkStart w:id="3422" w:name="_Toc11137879"/>
      <w:bookmarkStart w:id="3423" w:name="_Toc11138297"/>
      <w:bookmarkStart w:id="3424" w:name="_Toc11138715"/>
      <w:bookmarkStart w:id="3425" w:name="_Toc11139133"/>
      <w:bookmarkStart w:id="3426" w:name="_Toc11139551"/>
      <w:bookmarkStart w:id="3427" w:name="_Toc11139969"/>
      <w:bookmarkStart w:id="3428" w:name="_Toc11140387"/>
      <w:bookmarkStart w:id="3429" w:name="_Toc11390495"/>
      <w:bookmarkStart w:id="3430" w:name="_Toc11840180"/>
      <w:bookmarkStart w:id="3431" w:name="_Toc11937716"/>
      <w:r>
        <w:t>ВЛИЯНИЕ СОЧЕТАННЫХ МИКОТОКСИКОЗОВ НА ФАКТОРЫ  НЕСПЕЦИФИЧЕСКОЙ РЕЗИСТЕНТНОСТИ</w:t>
      </w:r>
      <w:bookmarkEnd w:id="3421"/>
      <w:bookmarkEnd w:id="3422"/>
      <w:bookmarkEnd w:id="3423"/>
      <w:bookmarkEnd w:id="3424"/>
      <w:bookmarkEnd w:id="3425"/>
      <w:bookmarkEnd w:id="3426"/>
      <w:bookmarkEnd w:id="3427"/>
      <w:bookmarkEnd w:id="3428"/>
      <w:bookmarkEnd w:id="3429"/>
      <w:bookmarkEnd w:id="3430"/>
      <w:bookmarkEnd w:id="3431"/>
    </w:p>
    <w:p w:rsidR="00F4654E" w:rsidRDefault="00F4654E">
      <w:pPr>
        <w:pStyle w:val="2"/>
      </w:pPr>
      <w:bookmarkStart w:id="3432" w:name="_Toc10731441"/>
      <w:bookmarkStart w:id="3433" w:name="_Toc11032302"/>
      <w:bookmarkStart w:id="3434" w:name="_Toc11137880"/>
      <w:bookmarkStart w:id="3435" w:name="_Toc11138298"/>
      <w:bookmarkStart w:id="3436" w:name="_Toc11138716"/>
      <w:bookmarkStart w:id="3437" w:name="_Toc11139134"/>
      <w:bookmarkStart w:id="3438" w:name="_Toc11139552"/>
      <w:bookmarkStart w:id="3439" w:name="_Toc11139970"/>
      <w:bookmarkStart w:id="3440" w:name="_Toc11140388"/>
      <w:bookmarkStart w:id="3441" w:name="_Toc11390496"/>
      <w:bookmarkStart w:id="3442" w:name="_Toc11937717"/>
      <w:r>
        <w:t>Мусин Р.Р., Алеев Д.В., Сергейчев А.И., Госманов Р.Г., Степанов В.И.</w:t>
      </w:r>
      <w:bookmarkEnd w:id="3432"/>
      <w:bookmarkEnd w:id="3433"/>
      <w:bookmarkEnd w:id="3434"/>
      <w:bookmarkEnd w:id="3435"/>
      <w:bookmarkEnd w:id="3436"/>
      <w:bookmarkEnd w:id="3437"/>
      <w:bookmarkEnd w:id="3438"/>
      <w:bookmarkEnd w:id="3439"/>
      <w:bookmarkEnd w:id="3440"/>
      <w:bookmarkEnd w:id="3441"/>
      <w:bookmarkEnd w:id="3442"/>
    </w:p>
    <w:p w:rsidR="00F4654E" w:rsidRDefault="00F4654E">
      <w:pPr>
        <w:pStyle w:val="a5"/>
      </w:pPr>
      <w:r>
        <w:t xml:space="preserve">Всероссийский научно-исследовательский ветеринарный институт </w:t>
      </w:r>
      <w:r>
        <w:br/>
        <w:t xml:space="preserve">Казанская государственная академия ветеринарной медицины </w:t>
      </w:r>
    </w:p>
    <w:p w:rsidR="00F4654E" w:rsidRDefault="00F4654E">
      <w:pPr>
        <w:pStyle w:val="a6"/>
      </w:pPr>
      <w:r>
        <w:t>В связи с интенсивным развитием животноводства и растениеводства серьезной проблемой является влияние микотоксинов на организм челов</w:t>
      </w:r>
      <w:r>
        <w:t>е</w:t>
      </w:r>
      <w:r>
        <w:t>ка и животных, в частности на иммунологические процессы и факторы е</w:t>
      </w:r>
      <w:r>
        <w:t>с</w:t>
      </w:r>
      <w:r>
        <w:t>тественной резистентности. Причиной микотоксикозов часто может быть не один, а сразу два или более микотоксина. Эксперименты по изучению влияния Т-2 токсина, афлатоксина В</w:t>
      </w:r>
      <w:r>
        <w:rPr>
          <w:vertAlign w:val="subscript"/>
        </w:rPr>
        <w:t>1</w:t>
      </w:r>
      <w:r>
        <w:t xml:space="preserve"> и охратоксина А при сочетанном их поступлении проводили на овцах породы Прекос, живой массой 25-30 кг. Микотоксины вводили внутрь в виде болюсов и водно-спиртовых раств</w:t>
      </w:r>
      <w:r>
        <w:t>о</w:t>
      </w:r>
      <w:r>
        <w:t xml:space="preserve">ров в дозе </w:t>
      </w:r>
      <w:r>
        <w:rPr>
          <w:vertAlign w:val="superscript"/>
        </w:rPr>
        <w:t>1</w:t>
      </w:r>
      <w:r>
        <w:t>/</w:t>
      </w:r>
      <w:r>
        <w:rPr>
          <w:vertAlign w:val="subscript"/>
        </w:rPr>
        <w:t>10</w:t>
      </w:r>
      <w:r>
        <w:t xml:space="preserve"> ЛД</w:t>
      </w:r>
      <w:r>
        <w:rPr>
          <w:vertAlign w:val="subscript"/>
        </w:rPr>
        <w:t>50</w:t>
      </w:r>
      <w:r>
        <w:t xml:space="preserve"> ежедневно в течение 30 дней.</w:t>
      </w:r>
    </w:p>
    <w:p w:rsidR="00F4654E" w:rsidRDefault="00F4654E">
      <w:pPr>
        <w:pStyle w:val="a6"/>
      </w:pPr>
      <w:r>
        <w:t>В период 30 сут. наблюдения у овец отмечено резкое (5</w:t>
      </w:r>
      <w:r>
        <w:sym w:font="Symbol" w:char="F0B1"/>
      </w:r>
      <w:r>
        <w:t>0,5 кг) сн</w:t>
      </w:r>
      <w:r>
        <w:t>и</w:t>
      </w:r>
      <w:r>
        <w:t>жение массы тела, которое сопровождалось уменьшением количества ле</w:t>
      </w:r>
      <w:r>
        <w:t>й</w:t>
      </w:r>
      <w:r>
        <w:t>коцитов и эритроцитов в крови. Через 10 сут. опыта отмечали заметное увеличение количества лейкоцитов и эритроцитов на 15 и 8 % от исходных данных соответственно, что, видимо, связано с выбросом форменных эл</w:t>
      </w:r>
      <w:r>
        <w:t>е</w:t>
      </w:r>
      <w:r>
        <w:t>ментов из депо крови. Далее наблюдали снижение  этих показателей: к концу эксперимента их количество снизилось до 29 и 9 % соответственно.</w:t>
      </w:r>
    </w:p>
    <w:p w:rsidR="00F4654E" w:rsidRDefault="00F4654E">
      <w:pPr>
        <w:pStyle w:val="a6"/>
      </w:pPr>
      <w:r>
        <w:t>Состояние лейкоцитарной защиты организма овец определяли по п</w:t>
      </w:r>
      <w:r>
        <w:t>о</w:t>
      </w:r>
      <w:r>
        <w:t>казателям фагоцитарной активности лейкоцитов. При этом на 10 и 15 сут. выявлялось достоверное увеличение содержания и активности фагоцитов на 22 %. В дальнейшем прогрессировало снижение указанных параметров и к  концу эксперимента фагоцитарная активность лейкоцитов была ниже исходных данных на 38 %.</w:t>
      </w:r>
    </w:p>
    <w:p w:rsidR="00F4654E" w:rsidRDefault="00F4654E">
      <w:pPr>
        <w:pStyle w:val="a6"/>
      </w:pPr>
      <w:r>
        <w:t>Одним из важных показателей, характеризующих иммунологический статус организма, является процентное содержание и активность Т- и В- лимфоцитов. При сочетанном поступлении изученных нами микотоксинов через 5 сут. отмечали увеличение количества и функциональной активн</w:t>
      </w:r>
      <w:r>
        <w:t>о</w:t>
      </w:r>
      <w:r>
        <w:t>сти В-клеток (на 32 %) и снижение количества Т-клеток (на 25 %). В п</w:t>
      </w:r>
      <w:r>
        <w:t>о</w:t>
      </w:r>
      <w:r>
        <w:t>следующие дни и к концу опыта отмечали достоверное снижение этих п</w:t>
      </w:r>
      <w:r>
        <w:t>о</w:t>
      </w:r>
      <w:r>
        <w:t>казателей на 73 и 58 % соответственно.</w:t>
      </w:r>
    </w:p>
    <w:p w:rsidR="00F4654E" w:rsidRDefault="00F4654E">
      <w:pPr>
        <w:pStyle w:val="a6"/>
      </w:pPr>
      <w:r>
        <w:t xml:space="preserve">Наряду с этим получены данные, свидетельствующие об угнетении активности лизоцима и снижении общего белка сыворотки крови опытных </w:t>
      </w:r>
      <w:r>
        <w:lastRenderedPageBreak/>
        <w:t>животных. При раздельном введении этих микотоксинов в аналогичных дозах (</w:t>
      </w:r>
      <w:r>
        <w:rPr>
          <w:vertAlign w:val="superscript"/>
        </w:rPr>
        <w:t>1</w:t>
      </w:r>
      <w:r>
        <w:t>/</w:t>
      </w:r>
      <w:r>
        <w:rPr>
          <w:vertAlign w:val="subscript"/>
        </w:rPr>
        <w:t>10</w:t>
      </w:r>
      <w:r>
        <w:t xml:space="preserve"> ЛД</w:t>
      </w:r>
      <w:r>
        <w:rPr>
          <w:vertAlign w:val="subscript"/>
        </w:rPr>
        <w:t>50</w:t>
      </w:r>
      <w:r>
        <w:t>), угнетение иммунной системы было менее выражено.</w:t>
      </w:r>
    </w:p>
    <w:p w:rsidR="00F4654E" w:rsidRDefault="00F4654E">
      <w:pPr>
        <w:pStyle w:val="a6"/>
      </w:pPr>
      <w:r>
        <w:t>Таким образом, проведенные эксперименты подтверждают сущес</w:t>
      </w:r>
      <w:r>
        <w:t>т</w:t>
      </w:r>
      <w:r>
        <w:t xml:space="preserve">вующее мнение о синергическом действии некоторых микотоксинов при их сочетанном поступлении в организм животных. </w:t>
      </w:r>
    </w:p>
    <w:p w:rsidR="00F4654E" w:rsidRDefault="00F4654E">
      <w:pPr>
        <w:pStyle w:val="a4"/>
      </w:pPr>
      <w:r>
        <w:t>УДК 619:615.91:577.17.049</w:t>
      </w:r>
    </w:p>
    <w:p w:rsidR="00F4654E" w:rsidRDefault="00F4654E">
      <w:pPr>
        <w:pStyle w:val="1"/>
      </w:pPr>
      <w:bookmarkStart w:id="3443" w:name="_Toc11390497"/>
      <w:bookmarkStart w:id="3444" w:name="_Toc11840182"/>
      <w:bookmarkStart w:id="3445" w:name="_Toc11937718"/>
      <w:r>
        <w:t>Определение содержания микроэлементов в организме крыс при сочетанном воздействии свинца, нитратов и нитритов</w:t>
      </w:r>
      <w:bookmarkEnd w:id="3443"/>
      <w:bookmarkEnd w:id="3444"/>
      <w:bookmarkEnd w:id="3445"/>
    </w:p>
    <w:p w:rsidR="00F4654E" w:rsidRDefault="00F4654E">
      <w:pPr>
        <w:pStyle w:val="2"/>
      </w:pPr>
      <w:bookmarkStart w:id="3446" w:name="_Toc11390498"/>
      <w:bookmarkStart w:id="3447" w:name="_Toc11937719"/>
      <w:r>
        <w:t>Найко И.А., Аргунов М.Н.</w:t>
      </w:r>
      <w:bookmarkEnd w:id="3446"/>
      <w:bookmarkEnd w:id="3447"/>
    </w:p>
    <w:p w:rsidR="00F4654E" w:rsidRDefault="00F4654E">
      <w:pPr>
        <w:pStyle w:val="a5"/>
      </w:pPr>
      <w:r>
        <w:t>Всероссийский НИВИ патологии, фармакологии и терапии</w:t>
      </w:r>
    </w:p>
    <w:p w:rsidR="00F4654E" w:rsidRDefault="00F4654E">
      <w:pPr>
        <w:pStyle w:val="a6"/>
      </w:pPr>
      <w:r>
        <w:t>В настоящее время стали очень остро проблемы экологии и охраны окружающей среды. Загрязнение экосистемы происходит в результате те</w:t>
      </w:r>
      <w:r>
        <w:t>х</w:t>
      </w:r>
      <w:r>
        <w:t>ногенных выбросов. Прежде всего, обращает на себя внимание образова</w:t>
      </w:r>
      <w:r>
        <w:t>в</w:t>
      </w:r>
      <w:r>
        <w:t>шийся устойчивый повышенный фон в почве, кормах, воде тяжелых м</w:t>
      </w:r>
      <w:r>
        <w:t>е</w:t>
      </w:r>
      <w:r>
        <w:t>таллов, азотистых веществ. Постоянно поступая в организм в субтоксич</w:t>
      </w:r>
      <w:r>
        <w:t>е</w:t>
      </w:r>
      <w:r>
        <w:t>ских количествах, они нарушают обмен веществ. Это в конечном итоге в</w:t>
      </w:r>
      <w:r>
        <w:t>е</w:t>
      </w:r>
      <w:r>
        <w:t>дет к снижению защитных сил организма. Загрязнение окружающей среды свинцом связано с применением его в промышленности. Необоснованное высокое применение азотных удобрений, бытовые стоки и отходы прив</w:t>
      </w:r>
      <w:r>
        <w:t>о</w:t>
      </w:r>
      <w:r>
        <w:t>дят к накоплению нитратов в почвах, которое при выщелачивании нисх</w:t>
      </w:r>
      <w:r>
        <w:t>о</w:t>
      </w:r>
      <w:r>
        <w:t>дящими потоками почвенной влаги приводит к загрязнению грунтовых вод, о</w:t>
      </w:r>
      <w:r>
        <w:t>т</w:t>
      </w:r>
      <w:r>
        <w:t>крытых водоемов и атмосферы окислами азота.</w:t>
      </w:r>
    </w:p>
    <w:p w:rsidR="00F4654E" w:rsidRDefault="00F4654E">
      <w:pPr>
        <w:pStyle w:val="a6"/>
      </w:pPr>
      <w:r>
        <w:t xml:space="preserve"> В связи с этим нами было изучено сочетанное действие свинца, ни</w:t>
      </w:r>
      <w:r>
        <w:t>т</w:t>
      </w:r>
      <w:r>
        <w:t>ратов и нитритов на организм животных.</w:t>
      </w:r>
    </w:p>
    <w:p w:rsidR="00F4654E" w:rsidRDefault="00F4654E">
      <w:pPr>
        <w:pStyle w:val="a6"/>
      </w:pPr>
      <w:r>
        <w:t>Был проведен опыт. В качестве опытной модели использовали белых крыс с начальной массой 230-350 г. Животные были разбиты на 3 группы по 4 особи в каждой:  1 – интактные животные, содержащиеся на обычном рационе (о. р); 2 – о. р + уксуснокислый свинец из расчета 1,5 г/кг массы тела (</w:t>
      </w:r>
      <w:r>
        <w:rPr>
          <w:lang w:val="en-US"/>
        </w:rPr>
        <w:t>LD</w:t>
      </w:r>
      <w:r>
        <w:rPr>
          <w:vertAlign w:val="subscript"/>
        </w:rPr>
        <w:t>50</w:t>
      </w:r>
      <w:r>
        <w:t>); 3 – о.р + уксуснокислый свинец из расчета 1,5 г/кг массы тела, нитрат натрия из расчета 0,75 г/кг массы тела (</w:t>
      </w:r>
      <w:r>
        <w:rPr>
          <w:lang w:val="en-US"/>
        </w:rPr>
        <w:t>LD</w:t>
      </w:r>
      <w:r>
        <w:rPr>
          <w:vertAlign w:val="subscript"/>
        </w:rPr>
        <w:t>50</w:t>
      </w:r>
      <w:r>
        <w:t>), нитрит  натрия из расчета 0,15 г/кг массы тела (</w:t>
      </w:r>
      <w:r>
        <w:rPr>
          <w:lang w:val="en-US"/>
        </w:rPr>
        <w:t>LD</w:t>
      </w:r>
      <w:r>
        <w:rPr>
          <w:vertAlign w:val="subscript"/>
        </w:rPr>
        <w:t>50</w:t>
      </w:r>
      <w:r>
        <w:t>). Токсиканты задавали внутрижелудо</w:t>
      </w:r>
      <w:r>
        <w:t>ч</w:t>
      </w:r>
      <w:r>
        <w:t>но, предварительно растворив в 5 мл дистиллированной воды. По оконч</w:t>
      </w:r>
      <w:r>
        <w:t>а</w:t>
      </w:r>
      <w:r>
        <w:t>нию опыта (через 14 дней) животных декапитировали. Полученные от них органы (печень, почки) исследовали на содержание микроэлементов (</w:t>
      </w:r>
      <w:r>
        <w:rPr>
          <w:lang w:val="en-US"/>
        </w:rPr>
        <w:t>Cu</w:t>
      </w:r>
      <w:r>
        <w:t xml:space="preserve">, </w:t>
      </w:r>
      <w:r>
        <w:rPr>
          <w:lang w:val="en-US"/>
        </w:rPr>
        <w:t>Zn</w:t>
      </w:r>
      <w:r>
        <w:t xml:space="preserve">, </w:t>
      </w:r>
      <w:r>
        <w:rPr>
          <w:lang w:val="en-US"/>
        </w:rPr>
        <w:t>Cd</w:t>
      </w:r>
      <w:r>
        <w:t xml:space="preserve">, </w:t>
      </w:r>
      <w:r>
        <w:rPr>
          <w:lang w:val="en-US"/>
        </w:rPr>
        <w:t>Mn</w:t>
      </w:r>
      <w:r>
        <w:t xml:space="preserve">, </w:t>
      </w:r>
      <w:r>
        <w:rPr>
          <w:lang w:val="en-US"/>
        </w:rPr>
        <w:t>Pb</w:t>
      </w:r>
      <w:r>
        <w:t>).</w:t>
      </w:r>
    </w:p>
    <w:p w:rsidR="00F4654E" w:rsidRDefault="00F4654E">
      <w:pPr>
        <w:pStyle w:val="a6"/>
      </w:pPr>
      <w:r>
        <w:t>Установлено, что введение уксуснокислого свинца способствовало снижению меди в печени на 24,5% (у контрольных 6,57 мкг%), в почках на 9, 4 % (у контрольных 1, 27 мкг%), цинка в печени на 8,1% (у контрольных  43 мкг%), кадмия в почках на 18% (у контрольных 0,818), в печени на 8,1% (у контрольных 0,555 мкг%), но способствовало повышению цинка в по</w:t>
      </w:r>
      <w:r>
        <w:t>ч</w:t>
      </w:r>
      <w:r>
        <w:t xml:space="preserve">ках на 11,3% (у контрольных 29,5 мкг%), марганца в печени на 14,1% (у </w:t>
      </w:r>
      <w:r>
        <w:lastRenderedPageBreak/>
        <w:t>контрольных 1,77мкг%), в почках на 144,8% ( у контрольных 0,715 мкг%), свинца в печени на 78,6% (у контрольных 2,8 мкг%), в почках на 92,7% (у контрольных 3, 025 мкг%). Сочетанное введение свинца, нитратов и ни</w:t>
      </w:r>
      <w:r>
        <w:t>т</w:t>
      </w:r>
      <w:r>
        <w:t>ритов приводило к снижению содержания свинца в печени на 29%, в по</w:t>
      </w:r>
      <w:r>
        <w:t>ч</w:t>
      </w:r>
      <w:r>
        <w:t xml:space="preserve">ках на 34% по сравнению с группой 2 (свинец </w:t>
      </w:r>
      <w:r>
        <w:rPr>
          <w:lang w:val="en-US"/>
        </w:rPr>
        <w:t>LD</w:t>
      </w:r>
      <w:r>
        <w:rPr>
          <w:vertAlign w:val="subscript"/>
        </w:rPr>
        <w:t>50</w:t>
      </w:r>
      <w:r>
        <w:t>).</w:t>
      </w:r>
    </w:p>
    <w:p w:rsidR="00F4654E" w:rsidRDefault="00F4654E">
      <w:pPr>
        <w:pStyle w:val="a6"/>
      </w:pPr>
      <w:r>
        <w:t>Таким образом сочетанное введение свинца, нитратов и нитритов сп</w:t>
      </w:r>
      <w:r>
        <w:t>о</w:t>
      </w:r>
      <w:r>
        <w:t>собствовало выведению свинца из организма, а также биогенных микр</w:t>
      </w:r>
      <w:r>
        <w:t>о</w:t>
      </w:r>
      <w:r>
        <w:t>элементов: из почек – меди на 30,4%, цинка на 92,9%; из печени – цинка на 75%, кадмия на 60,8%; и большему накоплению в почках кадмия – на 2,2%, в печени меди на 23,8%, марганца на 41%.</w:t>
      </w:r>
    </w:p>
    <w:p w:rsidR="00F4654E" w:rsidRDefault="00F4654E">
      <w:pPr>
        <w:pStyle w:val="a4"/>
      </w:pPr>
      <w:r>
        <w:t>УДК 636.4.082.453.53</w:t>
      </w:r>
    </w:p>
    <w:p w:rsidR="00F4654E" w:rsidRDefault="00F4654E">
      <w:pPr>
        <w:pStyle w:val="1"/>
      </w:pPr>
      <w:bookmarkStart w:id="3448" w:name="_Toc10731444"/>
      <w:bookmarkStart w:id="3449" w:name="_Toc11137881"/>
      <w:bookmarkStart w:id="3450" w:name="_Toc11138299"/>
      <w:bookmarkStart w:id="3451" w:name="_Toc11138717"/>
      <w:bookmarkStart w:id="3452" w:name="_Toc11139135"/>
      <w:bookmarkStart w:id="3453" w:name="_Toc11139553"/>
      <w:bookmarkStart w:id="3454" w:name="_Toc11139971"/>
      <w:bookmarkStart w:id="3455" w:name="_Toc11140389"/>
      <w:bookmarkStart w:id="3456" w:name="_Toc11390499"/>
      <w:bookmarkStart w:id="3457" w:name="_Toc11840184"/>
      <w:bookmarkStart w:id="3458" w:name="_Toc11937720"/>
      <w:r>
        <w:t>Использование новых антиоксидантов при замораживании спермы хряков</w:t>
      </w:r>
      <w:bookmarkEnd w:id="3448"/>
      <w:bookmarkEnd w:id="3449"/>
      <w:bookmarkEnd w:id="3450"/>
      <w:bookmarkEnd w:id="3451"/>
      <w:bookmarkEnd w:id="3452"/>
      <w:bookmarkEnd w:id="3453"/>
      <w:bookmarkEnd w:id="3454"/>
      <w:bookmarkEnd w:id="3455"/>
      <w:bookmarkEnd w:id="3456"/>
      <w:bookmarkEnd w:id="3457"/>
      <w:bookmarkEnd w:id="3458"/>
    </w:p>
    <w:p w:rsidR="00F4654E" w:rsidRDefault="00F4654E">
      <w:pPr>
        <w:pStyle w:val="2"/>
      </w:pPr>
      <w:bookmarkStart w:id="3459" w:name="_Toc10731445"/>
      <w:bookmarkStart w:id="3460" w:name="_Toc11032303"/>
      <w:bookmarkStart w:id="3461" w:name="_Toc11137882"/>
      <w:bookmarkStart w:id="3462" w:name="_Toc11138300"/>
      <w:bookmarkStart w:id="3463" w:name="_Toc11138718"/>
      <w:bookmarkStart w:id="3464" w:name="_Toc11139136"/>
      <w:bookmarkStart w:id="3465" w:name="_Toc11139554"/>
      <w:bookmarkStart w:id="3466" w:name="_Toc11139972"/>
      <w:bookmarkStart w:id="3467" w:name="_Toc11140390"/>
      <w:bookmarkStart w:id="3468" w:name="_Toc11390500"/>
      <w:bookmarkStart w:id="3469" w:name="_Toc11937721"/>
      <w:r>
        <w:t>Нарижный А.Г., Ок Савин, Ескин Г.В., Коба И.Г.</w:t>
      </w:r>
      <w:bookmarkEnd w:id="3459"/>
      <w:bookmarkEnd w:id="3460"/>
      <w:bookmarkEnd w:id="3461"/>
      <w:bookmarkEnd w:id="3462"/>
      <w:bookmarkEnd w:id="3463"/>
      <w:bookmarkEnd w:id="3464"/>
      <w:bookmarkEnd w:id="3465"/>
      <w:bookmarkEnd w:id="3466"/>
      <w:bookmarkEnd w:id="3467"/>
      <w:bookmarkEnd w:id="3468"/>
      <w:bookmarkEnd w:id="3469"/>
    </w:p>
    <w:p w:rsidR="00F4654E" w:rsidRDefault="00F4654E">
      <w:pPr>
        <w:pStyle w:val="a5"/>
      </w:pPr>
      <w:r>
        <w:t>Всероссийский научно-исследовательский институт свиноводства</w:t>
      </w:r>
      <w:r>
        <w:br/>
        <w:t>Центральная станция искусственного осеменения сельскохозяйственных животных</w:t>
      </w:r>
    </w:p>
    <w:p w:rsidR="00F4654E" w:rsidRDefault="00F4654E">
      <w:pPr>
        <w:pStyle w:val="a6"/>
      </w:pPr>
      <w:r>
        <w:t>Основные липиды сперматозоидов сельскохозяйственных животных представлены ненасыщенными жирными кислотами (НЖК), содержащими от 1 до 6 двойных связей. Это обстоятельство свидетельствует о том, что сперма хряка богата субстратами, необходимыми  для образования перек</w:t>
      </w:r>
      <w:r>
        <w:t>и</w:t>
      </w:r>
      <w:r>
        <w:t>сей. Перекисные соединения под влиянием пероксидазы расщепляются с образованием молекулярного кислорода, являющегося активным окисл</w:t>
      </w:r>
      <w:r>
        <w:t>и</w:t>
      </w:r>
      <w:r>
        <w:t>телем. Особенно чувствительны к переокислению лабильные структуры клеток – цитоплазматические мембраны микросом, митохондрий, соде</w:t>
      </w:r>
      <w:r>
        <w:t>р</w:t>
      </w:r>
      <w:r>
        <w:t>жащие кроме НЖК, гемопротеины, и являющиеся катализаторами липи</w:t>
      </w:r>
      <w:r>
        <w:t>д</w:t>
      </w:r>
      <w:r>
        <w:t>ного обмена. Это может оказать отрицательное действие на сперматозо</w:t>
      </w:r>
      <w:r>
        <w:t>и</w:t>
      </w:r>
      <w:r>
        <w:t>ды, особенно в связи с замораживанием, так как мембраны – самые уязв</w:t>
      </w:r>
      <w:r>
        <w:t>и</w:t>
      </w:r>
      <w:r>
        <w:t>мые структуры. Подтверждением этого служат данные исследований, п</w:t>
      </w:r>
      <w:r>
        <w:t>о</w:t>
      </w:r>
      <w:r>
        <w:t>казавших токсичность экзогенных липидных перекисей, введенных в сперму хряка. Установлено также, что в определенных условиях токсич</w:t>
      </w:r>
      <w:r>
        <w:t>е</w:t>
      </w:r>
      <w:r>
        <w:t>ские концентрации перекисей липидов могут образовываться в течение получасовой инкубации спермы при 18-20</w:t>
      </w:r>
      <w:r>
        <w:sym w:font="Symbol" w:char="F0B0"/>
      </w:r>
      <w:r>
        <w:t>С.</w:t>
      </w:r>
    </w:p>
    <w:p w:rsidR="00F4654E" w:rsidRDefault="00F4654E">
      <w:pPr>
        <w:pStyle w:val="a6"/>
      </w:pPr>
      <w:r>
        <w:t>Предохранить мембранные фосфолипиды полиненасыщенных жи</w:t>
      </w:r>
      <w:r>
        <w:t>р</w:t>
      </w:r>
      <w:r>
        <w:t>ных кислот сперматозоидов от окисления в процессе замораживания мо</w:t>
      </w:r>
      <w:r>
        <w:t>ж</w:t>
      </w:r>
      <w:r>
        <w:t>но не только удалением кислорода и заменой его водородом или другим неокисляющим газом, но и химическими средствами, снимающими то</w:t>
      </w:r>
      <w:r>
        <w:t>к</w:t>
      </w:r>
      <w:r>
        <w:t>сичность высоких концентраций кислорода. К таким веществам относятся естественные и синтетические антиоксиданты, влияющие на образование и гибель активных форм кислорода и свободных радикалов. В связи с этим мы предполагаем, что введение антиоксидантов в среду будет препятств</w:t>
      </w:r>
      <w:r>
        <w:t>о</w:t>
      </w:r>
      <w:r>
        <w:lastRenderedPageBreak/>
        <w:t>вать диффузии кислорода и инициированию ПОЛ, что повысит стабил</w:t>
      </w:r>
      <w:r>
        <w:t>ь</w:t>
      </w:r>
      <w:r>
        <w:t>ность мембран клеток при их замораживании.</w:t>
      </w:r>
    </w:p>
    <w:p w:rsidR="00F4654E" w:rsidRDefault="00F4654E">
      <w:pPr>
        <w:pStyle w:val="a6"/>
      </w:pPr>
      <w:r>
        <w:t>Целью исследований было изучение влияния новых антиоксидантов на устойчивость спермы хряков к замораживанию.</w:t>
      </w:r>
    </w:p>
    <w:p w:rsidR="00F4654E" w:rsidRDefault="00F4654E">
      <w:pPr>
        <w:pStyle w:val="a6"/>
      </w:pPr>
      <w:r>
        <w:t>Материалом исследования служила сперма хряков крупной белой п</w:t>
      </w:r>
      <w:r>
        <w:t>о</w:t>
      </w:r>
      <w:r>
        <w:t>роды ЗАО племзавода “Константиново” Московской области. Подготавл</w:t>
      </w:r>
      <w:r>
        <w:t>и</w:t>
      </w:r>
      <w:r>
        <w:t>вали концентрированную сперму к замораживанию с помощью метода диализа, который предусматривает введение криопротективных веществ лактозо-глюкозо-хелато-цитратно-трисовой (ЛГХЦТ) среды через пол</w:t>
      </w:r>
      <w:r>
        <w:t>у</w:t>
      </w:r>
      <w:r>
        <w:t>проницаемую мембрану в сперму без увеличения её объёма. Диализ пр</w:t>
      </w:r>
      <w:r>
        <w:t>о</w:t>
      </w:r>
      <w:r>
        <w:t>водили в спецустройстве, состоящем из 3-х камер, разделенных полупр</w:t>
      </w:r>
      <w:r>
        <w:t>о</w:t>
      </w:r>
      <w:r>
        <w:t>ницаемыми мембранами. Во внутреннюю камеру помещали сперму, а две наружные заполняли средой в соотношении сперма: среда 1:2. В первом случае среда не содержала антиоксидантов и служила контролем, во вт</w:t>
      </w:r>
      <w:r>
        <w:t>о</w:t>
      </w:r>
      <w:r>
        <w:t>ром – среда была с 0,6 мг % препарата эмокси; в третьем – с 0,8 мг% дин</w:t>
      </w:r>
      <w:r>
        <w:t>о</w:t>
      </w:r>
      <w:r>
        <w:t>фена и четвертом – с 0,3 мг% эмокси и 0,4 мг% динофена, используемых в качестве антиоксидантов. После диализной обработки сперму заморажив</w:t>
      </w:r>
      <w:r>
        <w:t>а</w:t>
      </w:r>
      <w:r>
        <w:t>ли на охлажденных фторопластовых пластинах гранулами объёмом 0,5 мл. Оптимальные концентрации препаратов в среде находили при изучении подвижности, живучести сперматозоидов после оттаивания, сохранности акросом и утечки АСТ и АЛТ из сперматозоидов. Проверку оплодотв</w:t>
      </w:r>
      <w:r>
        <w:t>о</w:t>
      </w:r>
      <w:r>
        <w:t>ряющей способности замороженной спермы проводили в к-зе им. Фрунзе Белгородской области и ЦСИО с.-х. животных  Московской области. Св</w:t>
      </w:r>
      <w:r>
        <w:t>и</w:t>
      </w:r>
      <w:r>
        <w:t>номаток разделяли на четыре группы – контрольную и три опытные. Для осеменения маток использовали 20-25 мл оттаянной спермы без препар</w:t>
      </w:r>
      <w:r>
        <w:t>а</w:t>
      </w:r>
      <w:r>
        <w:t>тов и с вышеперечисленными препаратами с добавлением 50 мл изотон</w:t>
      </w:r>
      <w:r>
        <w:t>и</w:t>
      </w:r>
      <w:r>
        <w:t>ческого (2,9 %) раствора цитрата натрия.</w:t>
      </w:r>
    </w:p>
    <w:p w:rsidR="00F4654E" w:rsidRDefault="00F4654E">
      <w:pPr>
        <w:pStyle w:val="a6"/>
      </w:pPr>
      <w:r>
        <w:t>Установлено, что использование антиоксидантов в указанных конце</w:t>
      </w:r>
      <w:r>
        <w:t>н</w:t>
      </w:r>
      <w:r>
        <w:t>трациях способствовало повышению подвижности сперматозоидов хряка сразу после оттаивания и увеличивало их живучесть при 39</w:t>
      </w:r>
      <w:r>
        <w:sym w:font="Symbol" w:char="F0B0"/>
      </w:r>
      <w:r>
        <w:t>С. Кроме того, их введение способствовало повышению сохранности мембранных стру</w:t>
      </w:r>
      <w:r>
        <w:t>к</w:t>
      </w:r>
      <w:r>
        <w:t>тур сперматозоидов при замораживании. В частности, в группе с эмокси утечка АСТ была ниже на 24%, а утечка АЛТ - на 14% по сравнению с контролем (Р&lt;0,95). При замораживании спермы с антиоксидантом дин</w:t>
      </w:r>
      <w:r>
        <w:t>о</w:t>
      </w:r>
      <w:r>
        <w:t>фен утечка из сперматозоидов АСТ была ниже на 31%, а АЛТ – на 29% по сравнению с контролем (Р&gt;0,95). При этом подвижность, живучесть и с</w:t>
      </w:r>
      <w:r>
        <w:t>о</w:t>
      </w:r>
      <w:r>
        <w:t>хранность акросом сперматозоидов была соответственно выше на 10, 35 и 22% по сравнению с контролем. Замораживание спермы с добавлением эмокси, способствовало повышению оплодотворяемости  свиноматок на 14%, а многоплодие – на 4,3% по сравнению с контрольными животными. При использовании динофена показатели по опоросам свиней были выше на 16% по сравнению с контролем. В этом случае также было выше мног</w:t>
      </w:r>
      <w:r>
        <w:t>о</w:t>
      </w:r>
      <w:r>
        <w:t>плодие свиноматок и крупноплодность их потомства. Совместное прим</w:t>
      </w:r>
      <w:r>
        <w:t>е</w:t>
      </w:r>
      <w:r>
        <w:lastRenderedPageBreak/>
        <w:t>нение в составе синтетической среды двух антиоксидантов привело к на</w:t>
      </w:r>
      <w:r>
        <w:t>и</w:t>
      </w:r>
      <w:r>
        <w:t>большему повышению результативности осеменения свиней замороже</w:t>
      </w:r>
      <w:r>
        <w:t>н</w:t>
      </w:r>
      <w:r>
        <w:t>ной спермой (на 18,7%) и многоплодия (на 6,4%).</w:t>
      </w:r>
    </w:p>
    <w:p w:rsidR="00F4654E" w:rsidRDefault="00F4654E">
      <w:pPr>
        <w:pStyle w:val="a6"/>
      </w:pPr>
      <w:r>
        <w:t>Таким образом, раздельное введение антиоксидантов эмокси и дин</w:t>
      </w:r>
      <w:r>
        <w:t>о</w:t>
      </w:r>
      <w:r>
        <w:t>фена и их сочетания в сперму с помощью диализа позволяет повысить у</w:t>
      </w:r>
      <w:r>
        <w:t>с</w:t>
      </w:r>
      <w:r>
        <w:t xml:space="preserve">тойчивость сперматозоидов хряка к замораживанию и оплодотворяющую способность спермы. </w:t>
      </w:r>
    </w:p>
    <w:p w:rsidR="00F4654E" w:rsidRDefault="00F4654E">
      <w:pPr>
        <w:pStyle w:val="a4"/>
      </w:pPr>
      <w:r>
        <w:t>УДК 636.4.082.453.53</w:t>
      </w:r>
    </w:p>
    <w:p w:rsidR="00F4654E" w:rsidRDefault="00F4654E">
      <w:pPr>
        <w:pStyle w:val="1"/>
      </w:pPr>
      <w:bookmarkStart w:id="3470" w:name="_Toc10731446"/>
      <w:bookmarkStart w:id="3471" w:name="_Toc11137883"/>
      <w:bookmarkStart w:id="3472" w:name="_Toc11138301"/>
      <w:bookmarkStart w:id="3473" w:name="_Toc11138719"/>
      <w:bookmarkStart w:id="3474" w:name="_Toc11139137"/>
      <w:bookmarkStart w:id="3475" w:name="_Toc11139555"/>
      <w:bookmarkStart w:id="3476" w:name="_Toc11139973"/>
      <w:bookmarkStart w:id="3477" w:name="_Toc11140391"/>
      <w:bookmarkStart w:id="3478" w:name="_Toc11390501"/>
      <w:bookmarkStart w:id="3479" w:name="_Toc11840186"/>
      <w:bookmarkStart w:id="3480" w:name="_Toc11937722"/>
      <w:r>
        <w:t>Влияние качества замороженной спермы на Результативность осеменения свиноматок</w:t>
      </w:r>
      <w:bookmarkEnd w:id="3470"/>
      <w:bookmarkEnd w:id="3471"/>
      <w:bookmarkEnd w:id="3472"/>
      <w:bookmarkEnd w:id="3473"/>
      <w:bookmarkEnd w:id="3474"/>
      <w:bookmarkEnd w:id="3475"/>
      <w:bookmarkEnd w:id="3476"/>
      <w:bookmarkEnd w:id="3477"/>
      <w:bookmarkEnd w:id="3478"/>
      <w:bookmarkEnd w:id="3479"/>
      <w:bookmarkEnd w:id="3480"/>
    </w:p>
    <w:p w:rsidR="00F4654E" w:rsidRDefault="00F4654E">
      <w:pPr>
        <w:pStyle w:val="2"/>
      </w:pPr>
      <w:bookmarkStart w:id="3481" w:name="_Toc10731447"/>
      <w:bookmarkStart w:id="3482" w:name="_Toc11032304"/>
      <w:bookmarkStart w:id="3483" w:name="_Toc11137884"/>
      <w:bookmarkStart w:id="3484" w:name="_Toc11138302"/>
      <w:bookmarkStart w:id="3485" w:name="_Toc11138720"/>
      <w:bookmarkStart w:id="3486" w:name="_Toc11139138"/>
      <w:bookmarkStart w:id="3487" w:name="_Toc11139556"/>
      <w:bookmarkStart w:id="3488" w:name="_Toc11139974"/>
      <w:bookmarkStart w:id="3489" w:name="_Toc11140392"/>
      <w:bookmarkStart w:id="3490" w:name="_Toc11390502"/>
      <w:bookmarkStart w:id="3491" w:name="_Toc11937723"/>
      <w:r>
        <w:t>Нарижный А.Г., Поморова Е.Г., Савинов В.И., Асканьян Г.С.</w:t>
      </w:r>
      <w:bookmarkEnd w:id="3481"/>
      <w:bookmarkEnd w:id="3482"/>
      <w:bookmarkEnd w:id="3483"/>
      <w:bookmarkEnd w:id="3484"/>
      <w:bookmarkEnd w:id="3485"/>
      <w:bookmarkEnd w:id="3486"/>
      <w:bookmarkEnd w:id="3487"/>
      <w:bookmarkEnd w:id="3488"/>
      <w:bookmarkEnd w:id="3489"/>
      <w:bookmarkEnd w:id="3490"/>
      <w:bookmarkEnd w:id="3491"/>
    </w:p>
    <w:p w:rsidR="00F4654E" w:rsidRDefault="00F4654E">
      <w:pPr>
        <w:pStyle w:val="a5"/>
      </w:pPr>
      <w:r>
        <w:t>Всероссийский научно-исследовательский институт свиноводства</w:t>
      </w:r>
    </w:p>
    <w:p w:rsidR="00F4654E" w:rsidRDefault="00F4654E">
      <w:pPr>
        <w:pStyle w:val="a6"/>
      </w:pPr>
      <w:r>
        <w:t>Использование метода искусственного осеменения свиней способс</w:t>
      </w:r>
      <w:r>
        <w:t>т</w:t>
      </w:r>
      <w:r>
        <w:t>вует повышению эффективности отрасли животноводства в целом, ос</w:t>
      </w:r>
      <w:r>
        <w:t>о</w:t>
      </w:r>
      <w:r>
        <w:t>бенно это касается крупномасштабной селекции в условиях интенсифик</w:t>
      </w:r>
      <w:r>
        <w:t>а</w:t>
      </w:r>
      <w:r>
        <w:t>ции свиноводства, которая не возможна без использования замороженной спермы.</w:t>
      </w:r>
    </w:p>
    <w:p w:rsidR="00F4654E" w:rsidRDefault="00F4654E">
      <w:pPr>
        <w:pStyle w:val="a6"/>
      </w:pPr>
      <w:r>
        <w:t xml:space="preserve">Замораживание спермы хряков имеет огромное значение как метод сохранения спермы и как способ восстановления пород и линей свиней, находящихся на грани исчезновения </w:t>
      </w:r>
    </w:p>
    <w:p w:rsidR="00F4654E" w:rsidRDefault="00F4654E">
      <w:pPr>
        <w:pStyle w:val="a6"/>
      </w:pPr>
      <w:r>
        <w:t>В настоящее время прикладывается не мало усилий для совершенс</w:t>
      </w:r>
      <w:r>
        <w:t>т</w:t>
      </w:r>
      <w:r>
        <w:t>вования методов подготовки спермы к замораживанию, состава сред, доз осеменения, вопросов оттаивания, но при этом самым важным вопросам является оценка качества замороженно-оттаяной спермы. От качества этой спермы зависит результативность осеменения свиней. Как правило, для прогнозирования оплодотворяющей способности спермы используются тесты оценки качества замороженно-оттаяной спермы на подвижность, живучесть при 39</w:t>
      </w:r>
      <w:r>
        <w:sym w:font="Symbol" w:char="F0B0"/>
      </w:r>
      <w:r>
        <w:t>С, подвижность с морфологическим состоянием акросом по утеске некоторых ферментов из сперматозоидов (АСТ, АЛТ).</w:t>
      </w:r>
    </w:p>
    <w:p w:rsidR="00F4654E" w:rsidRDefault="00F4654E">
      <w:pPr>
        <w:pStyle w:val="a6"/>
      </w:pPr>
      <w:r>
        <w:t>Однако рядом ученых доказано, что тест на подвижность примен</w:t>
      </w:r>
      <w:r>
        <w:t>и</w:t>
      </w:r>
      <w:r>
        <w:t>тельно к глубокозамороженной сперме не отражает биологической полн</w:t>
      </w:r>
      <w:r>
        <w:t>о</w:t>
      </w:r>
      <w:r>
        <w:t>ценности сперматозоидов, т.к. наличие высокой их подвижности не гара</w:t>
      </w:r>
      <w:r>
        <w:t>н</w:t>
      </w:r>
      <w:r>
        <w:t>тирует высокой оплодотворяемости маток. Рассматривая подвижность з</w:t>
      </w:r>
      <w:r>
        <w:t>а</w:t>
      </w:r>
      <w:r>
        <w:t>мороженно-оттаяных сперматозоидов, не учитывая сохранность тех стру</w:t>
      </w:r>
      <w:r>
        <w:t>к</w:t>
      </w:r>
      <w:r>
        <w:t>тур, без целостности которых невозможно оплодотворение. В криоповр</w:t>
      </w:r>
      <w:r>
        <w:t>е</w:t>
      </w:r>
      <w:r>
        <w:t>денных митохондриях повышается энергетический потенциал, вследствие чего поврежденные сперматозоиды проявляют подвижность без восст</w:t>
      </w:r>
      <w:r>
        <w:t>а</w:t>
      </w:r>
      <w:r>
        <w:t>новления сохранности акросом. Следовательно, тест на состояние акросом можно использовать для дополнительной оценки качества спермы. Учит</w:t>
      </w:r>
      <w:r>
        <w:t>ы</w:t>
      </w:r>
      <w:r>
        <w:t xml:space="preserve">вая то, что в акросоме содержится фермент гиалуронидаза, а в мембране – </w:t>
      </w:r>
      <w:r>
        <w:lastRenderedPageBreak/>
        <w:t>акрозин, можно предположить, что именно они играют важную роль в проницаемости мембран и оплодотворяемости сперматозоидов.</w:t>
      </w:r>
    </w:p>
    <w:p w:rsidR="00F4654E" w:rsidRDefault="00F4654E">
      <w:pPr>
        <w:pStyle w:val="a6"/>
      </w:pPr>
      <w:r>
        <w:t>Поэтому провели ряд опытов, в которых определили оплодотворя</w:t>
      </w:r>
      <w:r>
        <w:t>ю</w:t>
      </w:r>
      <w:r>
        <w:t>щую способность замороженно-оттаяной спермы племенных хряков в з</w:t>
      </w:r>
      <w:r>
        <w:t>а</w:t>
      </w:r>
      <w:r>
        <w:t>висимости от показателей спермы.</w:t>
      </w:r>
    </w:p>
    <w:p w:rsidR="00F4654E" w:rsidRDefault="00F4654E">
      <w:pPr>
        <w:pStyle w:val="a6"/>
      </w:pPr>
      <w:r>
        <w:t>Использовали сперму хряков крупной белой породы ЗАО «Конста</w:t>
      </w:r>
      <w:r>
        <w:t>н</w:t>
      </w:r>
      <w:r>
        <w:t>тиново» Московской области. Замороженно-оттаянную сперму оценивали на подвижность, живучесть при 39</w:t>
      </w:r>
      <w:r>
        <w:sym w:font="Symbol" w:char="F0B0"/>
      </w:r>
      <w:r>
        <w:t>С и сохранность акросом с помощью фазово-контрастного микроскопа. Сперму перед осеменением оттаивали по модернизированному методу Кононова В.П. и др. и использовали для двукратного осеменения свиноматок, разделив ее предварительно по с</w:t>
      </w:r>
      <w:r>
        <w:t>о</w:t>
      </w:r>
      <w:r>
        <w:t>хранности акросом.</w:t>
      </w:r>
    </w:p>
    <w:p w:rsidR="00F4654E" w:rsidRDefault="00F4654E">
      <w:pPr>
        <w:pStyle w:val="a6"/>
      </w:pPr>
      <w:r>
        <w:t>Первое осеменение проводилось через 12 часов после установления рефлекса неподвижности, а второе – через 24 часа после первого. Для ос</w:t>
      </w:r>
      <w:r>
        <w:t>е</w:t>
      </w:r>
      <w:r>
        <w:t>менения использовали 25 мл замороженно-оттаяной спермы с добавлением к ней 50 мл изотонического водного раствора цитрата натрия. Для осем</w:t>
      </w:r>
      <w:r>
        <w:t>е</w:t>
      </w:r>
      <w:r>
        <w:t>нения использовалась замороженно-оттаяная сперма хряков с сохранность акросом до 50 и более процентов, подвижность от 10 до 30% и живучесть от 1 до 4 часов.</w:t>
      </w:r>
    </w:p>
    <w:p w:rsidR="00F4654E" w:rsidRDefault="00F4654E">
      <w:pPr>
        <w:pStyle w:val="a6"/>
      </w:pPr>
      <w:r>
        <w:t>В результате проведенных экспериментов установлено следующее.</w:t>
      </w:r>
    </w:p>
    <w:p w:rsidR="00F4654E" w:rsidRDefault="00F4654E">
      <w:pPr>
        <w:pStyle w:val="a6"/>
      </w:pPr>
      <w:r>
        <w:t>При подвижности сперматозоидов 10% было получено 50-62% опор</w:t>
      </w:r>
      <w:r>
        <w:t>о</w:t>
      </w:r>
      <w:r>
        <w:t>сов с многоплодием 8,2 и 8,9 поросят. Почти аналогичные результаты б</w:t>
      </w:r>
      <w:r>
        <w:t>ы</w:t>
      </w:r>
      <w:r>
        <w:t>ли получены при подвижности 30% (от 59 до 69,5% опоросов при мног</w:t>
      </w:r>
      <w:r>
        <w:t>о</w:t>
      </w:r>
      <w:r>
        <w:t>плодии 8,8 и 9,2). Из этого можно сделать вывод, что такой показатель к</w:t>
      </w:r>
      <w:r>
        <w:t>а</w:t>
      </w:r>
      <w:r>
        <w:t>чества спермы как подвижность играет не самую важную роль. Что же к</w:t>
      </w:r>
      <w:r>
        <w:t>а</w:t>
      </w:r>
      <w:r>
        <w:t>сается живучести сперматозоидов, то при ее увеличении увеличилось и число опоросов и многоплодие, причем сохранность акросом при этом б</w:t>
      </w:r>
      <w:r>
        <w:t>ы</w:t>
      </w:r>
      <w:r>
        <w:t>ла как выше 50%, так и ниже.</w:t>
      </w:r>
    </w:p>
    <w:p w:rsidR="0001153D" w:rsidRDefault="00F4654E">
      <w:pPr>
        <w:pStyle w:val="a6"/>
      </w:pPr>
      <w:r>
        <w:t>Влияние сохранности акросом на результативность осеменения ск</w:t>
      </w:r>
      <w:r>
        <w:t>а</w:t>
      </w:r>
      <w:r>
        <w:t>зывается следующим образом.</w:t>
      </w:r>
      <w:r w:rsidR="0001153D">
        <w:t xml:space="preserve"> </w:t>
      </w:r>
    </w:p>
    <w:p w:rsidR="00F4654E" w:rsidRDefault="00F4654E">
      <w:pPr>
        <w:pStyle w:val="a6"/>
      </w:pPr>
      <w:r>
        <w:t>При сохранности акросом до 50%, подвижности 30% и живучести 4 часа максимально было получено 59% опоросов с многоплодием 8,8 пор</w:t>
      </w:r>
      <w:r>
        <w:t>о</w:t>
      </w:r>
      <w:r>
        <w:t>сенка, в то время как при сохранности акросом 50%  и выше с такими же остальными параметрами по опоросам получено 69,2% с многоплодием 9,2 поросенка. Из этого можно сделать вывод, что эффективность осеменения не зависимо от живучести и подвижности сперматозоидов была знач</w:t>
      </w:r>
      <w:r>
        <w:t>и</w:t>
      </w:r>
      <w:r>
        <w:t>тельно выше в случае использования замороженно-оттаяной спермы с меньшим процентом повреждения акросом.</w:t>
      </w:r>
    </w:p>
    <w:p w:rsidR="00F4654E" w:rsidRDefault="00F4654E">
      <w:pPr>
        <w:pStyle w:val="a6"/>
      </w:pPr>
      <w:r>
        <w:t>Поэтому мы рекомендуем для прогнозирования оплодотворяющей способности замороженно-оттаяной спермы учитывать сочетание живуч</w:t>
      </w:r>
      <w:r>
        <w:t>е</w:t>
      </w:r>
      <w:r>
        <w:t>сти спермы и сохранности акросом, что вполне себя оправдывает.</w:t>
      </w:r>
    </w:p>
    <w:p w:rsidR="0001153D" w:rsidRDefault="0001153D">
      <w:pPr>
        <w:pStyle w:val="a6"/>
      </w:pPr>
    </w:p>
    <w:p w:rsidR="00F4654E" w:rsidRDefault="00F4654E">
      <w:pPr>
        <w:pStyle w:val="a4"/>
      </w:pPr>
      <w:r>
        <w:lastRenderedPageBreak/>
        <w:t>УДК 636.4.082.453.53</w:t>
      </w:r>
    </w:p>
    <w:p w:rsidR="00F4654E" w:rsidRDefault="00F4654E">
      <w:pPr>
        <w:pStyle w:val="1"/>
      </w:pPr>
      <w:bookmarkStart w:id="3492" w:name="_Toc10731448"/>
      <w:bookmarkStart w:id="3493" w:name="_Toc11137885"/>
      <w:bookmarkStart w:id="3494" w:name="_Toc11138303"/>
      <w:bookmarkStart w:id="3495" w:name="_Toc11138721"/>
      <w:bookmarkStart w:id="3496" w:name="_Toc11139139"/>
      <w:bookmarkStart w:id="3497" w:name="_Toc11139557"/>
      <w:bookmarkStart w:id="3498" w:name="_Toc11139975"/>
      <w:bookmarkStart w:id="3499" w:name="_Toc11140393"/>
      <w:bookmarkStart w:id="3500" w:name="_Toc11390503"/>
      <w:bookmarkStart w:id="3501" w:name="_Toc11840188"/>
      <w:bookmarkStart w:id="3502" w:name="_Toc11937724"/>
      <w:r>
        <w:t>Приемы повышения качества транспортированной спермы хряков</w:t>
      </w:r>
      <w:bookmarkEnd w:id="3492"/>
      <w:bookmarkEnd w:id="3493"/>
      <w:bookmarkEnd w:id="3494"/>
      <w:bookmarkEnd w:id="3495"/>
      <w:bookmarkEnd w:id="3496"/>
      <w:bookmarkEnd w:id="3497"/>
      <w:bookmarkEnd w:id="3498"/>
      <w:bookmarkEnd w:id="3499"/>
      <w:bookmarkEnd w:id="3500"/>
      <w:bookmarkEnd w:id="3501"/>
      <w:bookmarkEnd w:id="3502"/>
    </w:p>
    <w:p w:rsidR="00F4654E" w:rsidRDefault="00F4654E">
      <w:pPr>
        <w:pStyle w:val="2"/>
      </w:pPr>
      <w:bookmarkStart w:id="3503" w:name="_Toc10731449"/>
      <w:bookmarkStart w:id="3504" w:name="_Toc11032305"/>
      <w:bookmarkStart w:id="3505" w:name="_Toc11137886"/>
      <w:bookmarkStart w:id="3506" w:name="_Toc11138304"/>
      <w:bookmarkStart w:id="3507" w:name="_Toc11138722"/>
      <w:bookmarkStart w:id="3508" w:name="_Toc11139140"/>
      <w:bookmarkStart w:id="3509" w:name="_Toc11139558"/>
      <w:bookmarkStart w:id="3510" w:name="_Toc11139976"/>
      <w:bookmarkStart w:id="3511" w:name="_Toc11140394"/>
      <w:bookmarkStart w:id="3512" w:name="_Toc11390504"/>
      <w:bookmarkStart w:id="3513" w:name="_Toc11937725"/>
      <w:r>
        <w:t>Нарижный А.Г., Ропало С.А.</w:t>
      </w:r>
      <w:bookmarkEnd w:id="3503"/>
      <w:bookmarkEnd w:id="3504"/>
      <w:bookmarkEnd w:id="3505"/>
      <w:bookmarkEnd w:id="3506"/>
      <w:bookmarkEnd w:id="3507"/>
      <w:bookmarkEnd w:id="3508"/>
      <w:bookmarkEnd w:id="3509"/>
      <w:bookmarkEnd w:id="3510"/>
      <w:bookmarkEnd w:id="3511"/>
      <w:bookmarkEnd w:id="3512"/>
      <w:bookmarkEnd w:id="3513"/>
    </w:p>
    <w:p w:rsidR="00F4654E" w:rsidRDefault="00F4654E">
      <w:pPr>
        <w:pStyle w:val="a5"/>
      </w:pPr>
      <w:r>
        <w:t>Всероссийский научно-исследовательский институт свиноводства</w:t>
      </w:r>
    </w:p>
    <w:p w:rsidR="00F4654E" w:rsidRDefault="00F4654E">
      <w:pPr>
        <w:pStyle w:val="a6"/>
      </w:pPr>
      <w:r>
        <w:t>Целью исследований было повышение сроков хранения разбавленной спермы при ее транспортировки, а также результативности осеменения свиноматок. Для этого были проведены специальные исследования.</w:t>
      </w:r>
    </w:p>
    <w:p w:rsidR="00F4654E" w:rsidRDefault="00F4654E">
      <w:pPr>
        <w:pStyle w:val="a6"/>
      </w:pPr>
      <w:r>
        <w:t>Сперму получали мануальным способом от выдающихся хряков крупной белой породы, принадлежащих ЗАО «Константиново» Моско</w:t>
      </w:r>
      <w:r>
        <w:t>в</w:t>
      </w:r>
      <w:r>
        <w:t>ской области. Раздельно в разовые спермоприемники получили густую фракцию спермы и секреты добавочных половых желез. Затем одну часть спермы разбавили в 2 раза усовершенствованной ГХЦС средой, а к другой добавили аналогичный объем секретов половых желез и разбавили таким же объемом среды. В сперме, в зависимости от способов обработки до и после транспортировки, определили биологические и биохимические пок</w:t>
      </w:r>
      <w:r>
        <w:t>а</w:t>
      </w:r>
      <w:r>
        <w:t>затели качества.</w:t>
      </w:r>
    </w:p>
    <w:p w:rsidR="00F4654E" w:rsidRDefault="00F4654E">
      <w:pPr>
        <w:pStyle w:val="a6"/>
      </w:pPr>
      <w:r>
        <w:t>Установлено, что в концентрированной сперме без секретов добаво</w:t>
      </w:r>
      <w:r>
        <w:t>ч</w:t>
      </w:r>
      <w:r>
        <w:t>ных половых желез спермии сохраняют свои биологические и биохимич</w:t>
      </w:r>
      <w:r>
        <w:t>е</w:t>
      </w:r>
      <w:r>
        <w:t>ские показатели как до, так и после ее перевозки на расстояние 650 км (к-з им. Фрунзе Белгородской обл.). В то же время разбавление спермы с се</w:t>
      </w:r>
      <w:r>
        <w:t>к</w:t>
      </w:r>
      <w:r>
        <w:t>ретами половых желез ГХЦС средой и ее транспортировка снижают кач</w:t>
      </w:r>
      <w:r>
        <w:t>е</w:t>
      </w:r>
      <w:r>
        <w:t>ственные показатели, такие как подвижность, сохранность акросом, акти</w:t>
      </w:r>
      <w:r>
        <w:t>в</w:t>
      </w:r>
      <w:r>
        <w:t>ность АСТ в спермиях на статистически достоверную величину (Р</w:t>
      </w:r>
      <w:r>
        <w:sym w:font="Symbol" w:char="F03C"/>
      </w:r>
      <w:r>
        <w:t>0,01). В спермиях без антиоксиданта ВНИИС-1 повышается утечка АСТ из спе</w:t>
      </w:r>
      <w:r>
        <w:t>р</w:t>
      </w:r>
      <w:r>
        <w:t>миев с семенную плазму, что свидетельствует о нарушении целостности структуры мембран.</w:t>
      </w:r>
    </w:p>
    <w:p w:rsidR="00F4654E" w:rsidRDefault="00F4654E">
      <w:pPr>
        <w:pStyle w:val="a6"/>
      </w:pPr>
      <w:r>
        <w:t>Снижение качества концентрированной спермы объясняется содерж</w:t>
      </w:r>
      <w:r>
        <w:t>а</w:t>
      </w:r>
      <w:r>
        <w:t>нием в ней семенной плазмы, богатой биологически активными веществ</w:t>
      </w:r>
      <w:r>
        <w:t>а</w:t>
      </w:r>
      <w:r>
        <w:t>ми, активизирующими биологические процессы в спермиях при хранении и особенно при перевозке, что сохраняет жизнеспособность спермиев. С</w:t>
      </w:r>
      <w:r>
        <w:t>о</w:t>
      </w:r>
      <w:r>
        <w:t xml:space="preserve">держание в семенной плазме альбумина, </w:t>
      </w:r>
      <w:r>
        <w:sym w:font="Symbol" w:char="F061"/>
      </w:r>
      <w:r>
        <w:t xml:space="preserve">- и </w:t>
      </w:r>
      <w:r>
        <w:sym w:font="Symbol" w:char="F062"/>
      </w:r>
      <w:r>
        <w:t>-глобулинов, которые с</w:t>
      </w:r>
      <w:r>
        <w:t>о</w:t>
      </w:r>
      <w:r>
        <w:t>единяются с липидами, солевыми и другими компонентами спермы, сн</w:t>
      </w:r>
      <w:r>
        <w:t>и</w:t>
      </w:r>
      <w:r>
        <w:t>жают качество спермиев. Кроме того, не исключается длительность встр</w:t>
      </w:r>
      <w:r>
        <w:t>я</w:t>
      </w:r>
      <w:r>
        <w:t>ски спермы при перевозке, что приводит к интенсивному потреблению к</w:t>
      </w:r>
      <w:r>
        <w:t>и</w:t>
      </w:r>
      <w:r>
        <w:t>слорода. Это усиливает накопление продуктов обмена в сперме, снижа</w:t>
      </w:r>
      <w:r>
        <w:t>ю</w:t>
      </w:r>
      <w:r>
        <w:t>щих ее качество.</w:t>
      </w:r>
    </w:p>
    <w:p w:rsidR="00F4654E" w:rsidRDefault="00F4654E">
      <w:pPr>
        <w:pStyle w:val="a6"/>
      </w:pPr>
      <w:r>
        <w:t>Опыты по искусственному осеменению свиноматок спермой, обраб</w:t>
      </w:r>
      <w:r>
        <w:t>о</w:t>
      </w:r>
      <w:r>
        <w:t>танной разными способами, проводили в колхозе имени Фрунзе Белгоро</w:t>
      </w:r>
      <w:r>
        <w:t>д</w:t>
      </w:r>
      <w:r>
        <w:t xml:space="preserve">ской области. Для осеменения маток применяли расщепленные эякуляты концентрированной и неконцентрированной спермы. Сперма в 1-й группе </w:t>
      </w:r>
      <w:r>
        <w:lastRenderedPageBreak/>
        <w:t>хранилась 9-12 часов, 2-й – 24, 3-й – 48, 4-й – 72 часа. Осеменение маток двукратное с числом спермиев в дозе 1,5-2,0 млрд.</w:t>
      </w:r>
    </w:p>
    <w:p w:rsidR="00F4654E" w:rsidRDefault="00F4654E">
      <w:pPr>
        <w:pStyle w:val="a6"/>
      </w:pPr>
      <w:r>
        <w:t>Выяснено, что оплодотворяемость свиноматок, осемененных конце</w:t>
      </w:r>
      <w:r>
        <w:t>н</w:t>
      </w:r>
      <w:r>
        <w:t>трированной спермой, хранящейся 9-12 часов, была выше на 9%, 24 часа – 5,1%, 48 – 8% и 72 часа – 6,9 %, а плодовитость соответственно на 7,4; 7,5; 6,6 и 4,6% в сравнении с неконцентрированной.</w:t>
      </w:r>
    </w:p>
    <w:p w:rsidR="00F4654E" w:rsidRDefault="00F4654E">
      <w:pPr>
        <w:pStyle w:val="a6"/>
      </w:pPr>
      <w:r>
        <w:t>Концентрированная сперма имеет высокую вязкость и лишена секр</w:t>
      </w:r>
      <w:r>
        <w:t>е</w:t>
      </w:r>
      <w:r>
        <w:t>тов добавочных половых желез. Как показывает опыт, она обладает пов</w:t>
      </w:r>
      <w:r>
        <w:t>ы</w:t>
      </w:r>
      <w:r>
        <w:t>шенной устойчивостью и биологической полноценностью при перевозке. По-видимому, в разбавленной концентрированной сперме при ее хранении и перевозке активизируется процесс перекисного окисления липидов в плазматических и акросомных мембранах, что приводит к нарушению их целостности.</w:t>
      </w:r>
    </w:p>
    <w:p w:rsidR="00F4654E" w:rsidRDefault="00F4654E">
      <w:pPr>
        <w:pStyle w:val="a6"/>
      </w:pPr>
      <w:r>
        <w:t>Для повышения устойчивости спермиев к перекисному окислению липидов их разбавляли ГХЦС средой, в которую добавляли антиоксидант ВНИИС-1 в количестве 0,3 мл 10%-го спиртового раствора на 100 мл ра</w:t>
      </w:r>
      <w:r>
        <w:t>з</w:t>
      </w:r>
      <w:r>
        <w:t>бавителя.</w:t>
      </w:r>
    </w:p>
    <w:p w:rsidR="00F4654E" w:rsidRDefault="00F4654E">
      <w:pPr>
        <w:pStyle w:val="a6"/>
      </w:pPr>
      <w:r>
        <w:t>Нами установлено, что введение в состав среды антиоксиданта ВНИИС-1 повышает число эякулятов, пригодных для осеменения конце</w:t>
      </w:r>
      <w:r>
        <w:t>н</w:t>
      </w:r>
      <w:r>
        <w:t>трированной спермой, на 3,3-6,6%, а неконцентрированной – соответс</w:t>
      </w:r>
      <w:r>
        <w:t>т</w:t>
      </w:r>
      <w:r>
        <w:t>венно на 3,3-12,8%. Кроме того, полученные данные свидетельствуют о том, что более высокие результаты получены при использовании тран</w:t>
      </w:r>
      <w:r>
        <w:t>с</w:t>
      </w:r>
      <w:r>
        <w:t>портированной концентрированной спермы с антиоксидантом ВНИИС-1. Ранее проведенные лабораторные эксперименты свидетельствуют о выс</w:t>
      </w:r>
      <w:r>
        <w:t>о</w:t>
      </w:r>
      <w:r>
        <w:t>кой эффективности среды с антиоксидантом, защищающим спермиев от утечки АСТ, что является показателем их биологической полноценности в процессе хранения и транспортировки.</w:t>
      </w:r>
    </w:p>
    <w:p w:rsidR="00F4654E" w:rsidRDefault="00F4654E">
      <w:pPr>
        <w:pStyle w:val="a6"/>
      </w:pPr>
      <w:r>
        <w:t>Таким образом, для повышения биологической полноценности кач</w:t>
      </w:r>
      <w:r>
        <w:t>е</w:t>
      </w:r>
      <w:r>
        <w:t>ства транспортированной спермы и плодовитости предлагаем использовать концентрированную разбавленную сперму с антиоксидантом ВНИИС-1.</w:t>
      </w:r>
    </w:p>
    <w:p w:rsidR="00F4654E" w:rsidRDefault="00F4654E">
      <w:pPr>
        <w:pStyle w:val="a4"/>
      </w:pPr>
      <w:r>
        <w:t>УДК 619:636.2.</w:t>
      </w:r>
    </w:p>
    <w:p w:rsidR="00F4654E" w:rsidRDefault="00F4654E">
      <w:pPr>
        <w:pStyle w:val="1"/>
      </w:pPr>
      <w:bookmarkStart w:id="3514" w:name="_Toc10731468"/>
      <w:bookmarkStart w:id="3515" w:name="_Toc11137887"/>
      <w:bookmarkStart w:id="3516" w:name="_Toc11138305"/>
      <w:bookmarkStart w:id="3517" w:name="_Toc11138723"/>
      <w:bookmarkStart w:id="3518" w:name="_Toc11139141"/>
      <w:bookmarkStart w:id="3519" w:name="_Toc11139559"/>
      <w:bookmarkStart w:id="3520" w:name="_Toc11139977"/>
      <w:bookmarkStart w:id="3521" w:name="_Toc11140395"/>
      <w:bookmarkStart w:id="3522" w:name="_Toc11390505"/>
      <w:bookmarkStart w:id="3523" w:name="_Toc11840190"/>
      <w:bookmarkStart w:id="3524" w:name="_Toc11937726"/>
      <w:r>
        <w:t>ЭКОЛОГИЧЕСКИЙ ПОДХОД К ПРОФИЛАКТИКЕ КОЛИБАКТЕРИОЗА ТЕЛЯТ И САНАЦИИ ЖИВОТНОВОДЧЕСКИХ ПОМЕЩЕНИЙ</w:t>
      </w:r>
      <w:bookmarkEnd w:id="3514"/>
      <w:bookmarkEnd w:id="3515"/>
      <w:bookmarkEnd w:id="3516"/>
      <w:bookmarkEnd w:id="3517"/>
      <w:bookmarkEnd w:id="3518"/>
      <w:bookmarkEnd w:id="3519"/>
      <w:bookmarkEnd w:id="3520"/>
      <w:bookmarkEnd w:id="3521"/>
      <w:bookmarkEnd w:id="3522"/>
      <w:bookmarkEnd w:id="3523"/>
      <w:bookmarkEnd w:id="3524"/>
    </w:p>
    <w:p w:rsidR="00F4654E" w:rsidRDefault="00F4654E">
      <w:pPr>
        <w:pStyle w:val="2"/>
      </w:pPr>
      <w:bookmarkStart w:id="3525" w:name="_Toc10731469"/>
      <w:bookmarkStart w:id="3526" w:name="_Toc11032306"/>
      <w:bookmarkStart w:id="3527" w:name="_Toc11137888"/>
      <w:bookmarkStart w:id="3528" w:name="_Toc11138306"/>
      <w:bookmarkStart w:id="3529" w:name="_Toc11138724"/>
      <w:bookmarkStart w:id="3530" w:name="_Toc11139142"/>
      <w:bookmarkStart w:id="3531" w:name="_Toc11139560"/>
      <w:bookmarkStart w:id="3532" w:name="_Toc11139978"/>
      <w:bookmarkStart w:id="3533" w:name="_Toc11140396"/>
      <w:bookmarkStart w:id="3534" w:name="_Toc11390506"/>
      <w:bookmarkStart w:id="3535" w:name="_Toc11937727"/>
      <w:r>
        <w:t>Наумов М.М.</w:t>
      </w:r>
      <w:bookmarkEnd w:id="3525"/>
      <w:bookmarkEnd w:id="3526"/>
      <w:bookmarkEnd w:id="3527"/>
      <w:bookmarkEnd w:id="3528"/>
      <w:bookmarkEnd w:id="3529"/>
      <w:bookmarkEnd w:id="3530"/>
      <w:bookmarkEnd w:id="3531"/>
      <w:bookmarkEnd w:id="3532"/>
      <w:bookmarkEnd w:id="3533"/>
      <w:bookmarkEnd w:id="3534"/>
      <w:bookmarkEnd w:id="3535"/>
    </w:p>
    <w:p w:rsidR="00F4654E" w:rsidRDefault="00F4654E">
      <w:pPr>
        <w:pStyle w:val="a5"/>
      </w:pPr>
      <w:r>
        <w:t>Курский научно-исследовательский институт агропромышленного производства</w:t>
      </w:r>
    </w:p>
    <w:p w:rsidR="00F4654E" w:rsidRDefault="00F4654E">
      <w:pPr>
        <w:pStyle w:val="a6"/>
      </w:pPr>
      <w:r>
        <w:t>В настоящее время проблема ликвидации и профилактики болезней животных тесно связана с состоянием экологии, выяснения, как отражаю</w:t>
      </w:r>
      <w:r>
        <w:t>т</w:t>
      </w:r>
      <w:r>
        <w:t>ся изменения в ней на взаимоотношения микро и макромира (Урбан В.Г., 1999 г.). На основе многолетних экспериментальных и клинических иссл</w:t>
      </w:r>
      <w:r>
        <w:t>е</w:t>
      </w:r>
      <w:r>
        <w:t>дований, проведенных во Всероссийском научно-исследовательском вет</w:t>
      </w:r>
      <w:r>
        <w:t>е</w:t>
      </w:r>
      <w:r>
        <w:t>ринарном институте патологии, фармакологии и терапии, разработан си</w:t>
      </w:r>
      <w:r>
        <w:t>с</w:t>
      </w:r>
      <w:r>
        <w:lastRenderedPageBreak/>
        <w:t>темно-экологический подход к ветеринарному обеспечению защиты ж</w:t>
      </w:r>
      <w:r>
        <w:t>и</w:t>
      </w:r>
      <w:r>
        <w:t>вотных от факторно-инфекционных болезней, который предусматривает выполнение следующих положений:</w:t>
      </w:r>
    </w:p>
    <w:p w:rsidR="00F4654E" w:rsidRDefault="00F4654E">
      <w:pPr>
        <w:pStyle w:val="a6"/>
      </w:pPr>
      <w:r>
        <w:t>- постоянный систематический биомониторинг трех основных комп</w:t>
      </w:r>
      <w:r>
        <w:t>о</w:t>
      </w:r>
      <w:r>
        <w:t>нентов экологической системы (животные – условнопатогенная микр</w:t>
      </w:r>
      <w:r>
        <w:t>о</w:t>
      </w:r>
      <w:r>
        <w:t>флора – среда их обитания), в том числе оценка опасности для животных, кормов, воды.</w:t>
      </w:r>
    </w:p>
    <w:p w:rsidR="00F4654E" w:rsidRDefault="00F4654E">
      <w:pPr>
        <w:pStyle w:val="a6"/>
      </w:pPr>
      <w:r>
        <w:t>- с учетом данных мониторинга проведение профилактических мер</w:t>
      </w:r>
      <w:r>
        <w:t>о</w:t>
      </w:r>
      <w:r>
        <w:t>приятий, включая введение в технологию: 1. Экологически малоопасных средств обезвреживания кормов; 2. Биорегуляторов здоровья, в том числе адаптогенов, иммунокорректоров, премиксов, содержащих недостающие биологически активные вещества, средств, улучшающих и сохраняющих здоровье и продуктивность животных; 3. Процессы снижения биологич</w:t>
      </w:r>
      <w:r>
        <w:t>е</w:t>
      </w:r>
      <w:r>
        <w:t>ской опасности внешней среды (соблюдение профилактических перерывов между технологическими циклами, дезинфекция).</w:t>
      </w:r>
    </w:p>
    <w:p w:rsidR="00F4654E" w:rsidRDefault="00F4654E">
      <w:pPr>
        <w:pStyle w:val="a6"/>
      </w:pPr>
      <w:r>
        <w:t>- своевременную диагностику возникших болезней животных с обяз</w:t>
      </w:r>
      <w:r>
        <w:t>а</w:t>
      </w:r>
      <w:r>
        <w:t>тельным проведением лабораторных исследований.</w:t>
      </w:r>
    </w:p>
    <w:p w:rsidR="00F4654E" w:rsidRDefault="00F4654E">
      <w:pPr>
        <w:pStyle w:val="a6"/>
      </w:pPr>
      <w:r>
        <w:t>- при необходимости специфическую активную и (или) пассивную профилактику.</w:t>
      </w:r>
    </w:p>
    <w:p w:rsidR="00F4654E" w:rsidRDefault="00F4654E">
      <w:pPr>
        <w:pStyle w:val="a6"/>
      </w:pPr>
      <w:r>
        <w:t>- комплекс лечебных мероприятий, включающий использование и</w:t>
      </w:r>
      <w:r>
        <w:t>м</w:t>
      </w:r>
      <w:r>
        <w:t>муностимулирующих препаратов, антибактериальных средств с обяз</w:t>
      </w:r>
      <w:r>
        <w:t>а</w:t>
      </w:r>
      <w:r>
        <w:t>тельным определением чувствительности бактериальной микрофлоры к этим препаратам (Шахов А.Г., 1999 г.).</w:t>
      </w:r>
    </w:p>
    <w:p w:rsidR="00F4654E" w:rsidRDefault="00F4654E">
      <w:pPr>
        <w:pStyle w:val="a6"/>
      </w:pPr>
      <w:r>
        <w:t>Учитывая рекомендации ВНИВИПФиТ и ведущих ученых, сотрудн</w:t>
      </w:r>
      <w:r>
        <w:t>и</w:t>
      </w:r>
      <w:r>
        <w:t>ками Курского НИИ агропромышленного производства для ветеринарных специалистов и животноводов предлагается ряд экологически обоснова</w:t>
      </w:r>
      <w:r>
        <w:t>н</w:t>
      </w:r>
      <w:r>
        <w:t>ных методических и технических решений, прошедших экспертизу и одобренных Роспатентом.</w:t>
      </w:r>
    </w:p>
    <w:p w:rsidR="0001153D" w:rsidRDefault="00F4654E">
      <w:pPr>
        <w:pStyle w:val="a6"/>
      </w:pPr>
      <w:r>
        <w:t>Первая разработка защищена Свидетельством Российской Федерации на полезную модель № 1431, которая относится к ветеринарной технике, а именно к испарителям препарата и может быть использована при провед</w:t>
      </w:r>
      <w:r>
        <w:t>е</w:t>
      </w:r>
      <w:r>
        <w:t>нии групповой ингаляции животных. Известен испаритель препарата (Осипенко Н.И., Литвин В.П., Артеменко Ю.Г. и др., 1981),  содержащий экран. Недостатком этого испарителя является нестабильное воздействие препарата и большой расход его. Кроме того, отмечается стекание преп</w:t>
      </w:r>
      <w:r>
        <w:t>а</w:t>
      </w:r>
      <w:r>
        <w:t>рата с поверхности экрана, что приводит к большим его потерям. Это в</w:t>
      </w:r>
      <w:r>
        <w:t>ы</w:t>
      </w:r>
      <w:r>
        <w:t>звано тем, что экран регулярно смачивают в растворе препарата и разв</w:t>
      </w:r>
      <w:r>
        <w:t>е</w:t>
      </w:r>
      <w:r>
        <w:t xml:space="preserve">шивают в животноводческих помещениях. </w:t>
      </w:r>
    </w:p>
    <w:p w:rsidR="00F4654E" w:rsidRDefault="00F4654E">
      <w:pPr>
        <w:pStyle w:val="a6"/>
      </w:pPr>
      <w:r>
        <w:t>Для устранения указанных выше недостатков нами сконструировано устройство, повышающее стабильность и эффективность воздействия пр</w:t>
      </w:r>
      <w:r>
        <w:t>е</w:t>
      </w:r>
      <w:r>
        <w:t>парата, улучшающее экологическую обстановку на животноводческих фермах. Поставленная цель дост</w:t>
      </w:r>
      <w:r>
        <w:t>и</w:t>
      </w:r>
      <w:r>
        <w:t>гается тем, что в известном испарителе препарата, содержащем экран, испаритель дополнительно снабжен кам</w:t>
      </w:r>
      <w:r>
        <w:t>е</w:t>
      </w:r>
      <w:r>
        <w:lastRenderedPageBreak/>
        <w:t>рой испарения, по стенкам которой расположена стойка для фиксации э</w:t>
      </w:r>
      <w:r>
        <w:t>к</w:t>
      </w:r>
      <w:r>
        <w:t>рана по ширине и высоте, а высота экрана равна высоте капиллярного подъема препарата. В присутствии животных испаритель у</w:t>
      </w:r>
      <w:r>
        <w:t>с</w:t>
      </w:r>
      <w:r>
        <w:t>танавливают на полу или в подвесном положении. Камеру заполняют препаратом, н</w:t>
      </w:r>
      <w:r>
        <w:t>а</w:t>
      </w:r>
      <w:r>
        <w:t>пример, скипидаром, хвойным экстра</w:t>
      </w:r>
      <w:r>
        <w:t>к</w:t>
      </w:r>
      <w:r>
        <w:t>том, настоем лекарственных трав. Экран на стойке фиксируют таким обр</w:t>
      </w:r>
      <w:r>
        <w:t>а</w:t>
      </w:r>
      <w:r>
        <w:t>зом, чтобы нижний его конец был спущен в раствор препарата на дно камеры. Экран изготавливают из мат</w:t>
      </w:r>
      <w:r>
        <w:t>е</w:t>
      </w:r>
      <w:r>
        <w:t>риала, обладающего капиллярным эффектом. Для этого используют ма</w:t>
      </w:r>
      <w:r>
        <w:t>р</w:t>
      </w:r>
      <w:r>
        <w:t>лю, фильтровальную бумагу и т.д. Препарат по капиллярам насыщает э</w:t>
      </w:r>
      <w:r>
        <w:t>к</w:t>
      </w:r>
      <w:r>
        <w:t>ран, создавая значительную испаряющую поверхность. Раствор препарата в камере также является испаряющим зе</w:t>
      </w:r>
      <w:r>
        <w:t>р</w:t>
      </w:r>
      <w:r>
        <w:t>калом, что в работе испарителя вызывает суммирующее действие. Искл</w:t>
      </w:r>
      <w:r>
        <w:t>ю</w:t>
      </w:r>
      <w:r>
        <w:t>чаются потери препарата, как в период работы испарителя, так и в момент его заправки. Также отпадает необходимость в контроле за экспозицией и дозировкой препарата, в со</w:t>
      </w:r>
      <w:r>
        <w:t>з</w:t>
      </w:r>
      <w:r>
        <w:t>дании ингаляционных камер и боксов. Повышается стабильное и эффе</w:t>
      </w:r>
      <w:r>
        <w:t>к</w:t>
      </w:r>
      <w:r>
        <w:t>тивное использование препарата. Отпадает необходимость в формиров</w:t>
      </w:r>
      <w:r>
        <w:t>а</w:t>
      </w:r>
      <w:r>
        <w:t>нии санитарных групп животных и их перегонке, что полностью исключ</w:t>
      </w:r>
      <w:r>
        <w:t>а</w:t>
      </w:r>
      <w:r>
        <w:t>ет связанный с этим стрессовый фактор. В экол</w:t>
      </w:r>
      <w:r>
        <w:t>о</w:t>
      </w:r>
      <w:r>
        <w:t>гических целях создание нового устройства для групповой ингаляционной терапии животных п</w:t>
      </w:r>
      <w:r>
        <w:t>о</w:t>
      </w:r>
      <w:r>
        <w:t>зволит проводить массовые лечебно-профилактические мероприятия, н</w:t>
      </w:r>
      <w:r>
        <w:t>а</w:t>
      </w:r>
      <w:r>
        <w:t>пример при бронхопневмонии животных, а также санировать и дезодор</w:t>
      </w:r>
      <w:r>
        <w:t>и</w:t>
      </w:r>
      <w:r>
        <w:t>ровать воздух животноводческих помещений в течение длительного вр</w:t>
      </w:r>
      <w:r>
        <w:t>е</w:t>
      </w:r>
      <w:r>
        <w:t>мени. Использование испарителя не требует больших затрат. И</w:t>
      </w:r>
      <w:r>
        <w:t>с</w:t>
      </w:r>
      <w:r>
        <w:t>паритель является промышленно применимым, он может быть использован на фе</w:t>
      </w:r>
      <w:r>
        <w:t>р</w:t>
      </w:r>
      <w:r>
        <w:t>мах и животноводческих комплексах.</w:t>
      </w:r>
    </w:p>
    <w:p w:rsidR="00F4654E" w:rsidRDefault="00F4654E">
      <w:pPr>
        <w:pStyle w:val="a6"/>
      </w:pPr>
      <w:r>
        <w:t>Следующее изобретение (Патент РФ № 1723701) предлагается и</w:t>
      </w:r>
      <w:r>
        <w:t>с</w:t>
      </w:r>
      <w:r>
        <w:t>пользовать для профилактики колибактериоза телят. Известно применение бактериофага животным перорально, а также его подкожные, внутрим</w:t>
      </w:r>
      <w:r>
        <w:t>ы</w:t>
      </w:r>
      <w:r>
        <w:t>шечные и внутривенные инъекции при профилактике и терапии заболев</w:t>
      </w:r>
      <w:r>
        <w:t>а</w:t>
      </w:r>
      <w:r>
        <w:t>ний бактериальной этиологии и колибактериоза в частности. Недостатком известных способов является присутствие патогенных бактерий во вне</w:t>
      </w:r>
      <w:r>
        <w:t>ш</w:t>
      </w:r>
      <w:r>
        <w:t>ней среде, как одной из главных причин возникновения заболеваний. Ц</w:t>
      </w:r>
      <w:r>
        <w:t>е</w:t>
      </w:r>
      <w:r>
        <w:t>лью изобретения является снижение заболеваемости, не нарушая эколог</w:t>
      </w:r>
      <w:r>
        <w:t>и</w:t>
      </w:r>
      <w:r>
        <w:t>ческой чистоты окружающей среды. Указанная цель достигается тем, что бактериофаг, распыляясь аэрозольными установками и находясь в воздухе, а также оседая на внутренних поверхностях помещения, поражает кише</w:t>
      </w:r>
      <w:r>
        <w:t>ч</w:t>
      </w:r>
      <w:r>
        <w:t>ную палочку. Освобождаясь из погибших бактериальных клеток, новые поколения фага продолжают лизировать оставшиеся и вновь появляющи</w:t>
      </w:r>
      <w:r>
        <w:t>е</w:t>
      </w:r>
      <w:r>
        <w:t>ся бактерии. Такое взаимодействие фага с микроорганизмом приводит к уменьшению количества патогенной кишечной палочки во внешней окр</w:t>
      </w:r>
      <w:r>
        <w:t>у</w:t>
      </w:r>
      <w:r>
        <w:t>жающей среде.</w:t>
      </w:r>
    </w:p>
    <w:p w:rsidR="00F4654E" w:rsidRDefault="00F4654E">
      <w:pPr>
        <w:pStyle w:val="a6"/>
      </w:pPr>
      <w:r>
        <w:t xml:space="preserve">Таким образом, предлагаемый способ профилактики колибактериоза телят является экологически обоснованным, так как борьбу с патогенными </w:t>
      </w:r>
      <w:r>
        <w:lastRenderedPageBreak/>
        <w:t>штаммами кишечной палочки ведут биологические агенты – бактериофаги, при этом исключается химиотерапия, а также агрессивные, ядовитые д</w:t>
      </w:r>
      <w:r>
        <w:t>е</w:t>
      </w:r>
      <w:r>
        <w:t>зинфектанты, пагубно влияющие на окружающую среду, животных и ч</w:t>
      </w:r>
      <w:r>
        <w:t>е</w:t>
      </w:r>
      <w:r>
        <w:t>ловека.</w:t>
      </w:r>
    </w:p>
    <w:p w:rsidR="00F4654E" w:rsidRDefault="00F4654E">
      <w:pPr>
        <w:pStyle w:val="a4"/>
      </w:pPr>
      <w:r>
        <w:t>УДК 636.627</w:t>
      </w:r>
    </w:p>
    <w:p w:rsidR="00F4654E" w:rsidRDefault="00F4654E">
      <w:pPr>
        <w:pStyle w:val="1"/>
      </w:pPr>
      <w:bookmarkStart w:id="3536" w:name="_Toc10731450"/>
      <w:bookmarkStart w:id="3537" w:name="_Toc11137889"/>
      <w:bookmarkStart w:id="3538" w:name="_Toc11138307"/>
      <w:bookmarkStart w:id="3539" w:name="_Toc11138725"/>
      <w:bookmarkStart w:id="3540" w:name="_Toc11139143"/>
      <w:bookmarkStart w:id="3541" w:name="_Toc11139561"/>
      <w:bookmarkStart w:id="3542" w:name="_Toc11139979"/>
      <w:bookmarkStart w:id="3543" w:name="_Toc11140397"/>
      <w:bookmarkStart w:id="3544" w:name="_Toc11390507"/>
      <w:bookmarkStart w:id="3545" w:name="_Toc11840192"/>
      <w:bookmarkStart w:id="3546" w:name="_Toc11937728"/>
      <w:r>
        <w:t>ВОЗДЕЙСТВИЕ ЖИДКОГО АЗОТА (-196°С) НА ИНКУБАЦИОННЫЕ ЯЙЦА</w:t>
      </w:r>
      <w:bookmarkEnd w:id="3536"/>
      <w:bookmarkEnd w:id="3537"/>
      <w:bookmarkEnd w:id="3538"/>
      <w:bookmarkEnd w:id="3539"/>
      <w:bookmarkEnd w:id="3540"/>
      <w:bookmarkEnd w:id="3541"/>
      <w:bookmarkEnd w:id="3542"/>
      <w:bookmarkEnd w:id="3543"/>
      <w:bookmarkEnd w:id="3544"/>
      <w:bookmarkEnd w:id="3545"/>
      <w:bookmarkEnd w:id="3546"/>
    </w:p>
    <w:p w:rsidR="00F4654E" w:rsidRDefault="00F4654E">
      <w:pPr>
        <w:pStyle w:val="2"/>
      </w:pPr>
      <w:bookmarkStart w:id="3547" w:name="_Toc10731451"/>
      <w:bookmarkStart w:id="3548" w:name="_Toc11032307"/>
      <w:bookmarkStart w:id="3549" w:name="_Toc11137890"/>
      <w:bookmarkStart w:id="3550" w:name="_Toc11138308"/>
      <w:bookmarkStart w:id="3551" w:name="_Toc11138726"/>
      <w:bookmarkStart w:id="3552" w:name="_Toc11139144"/>
      <w:bookmarkStart w:id="3553" w:name="_Toc11139562"/>
      <w:bookmarkStart w:id="3554" w:name="_Toc11139980"/>
      <w:bookmarkStart w:id="3555" w:name="_Toc11140398"/>
      <w:bookmarkStart w:id="3556" w:name="_Toc11390508"/>
      <w:bookmarkStart w:id="3557" w:name="_Toc11937729"/>
      <w:r>
        <w:t>Небогатиков Г.В., Чижова Г.С.</w:t>
      </w:r>
      <w:bookmarkEnd w:id="3547"/>
      <w:bookmarkEnd w:id="3548"/>
      <w:bookmarkEnd w:id="3549"/>
      <w:bookmarkEnd w:id="3550"/>
      <w:bookmarkEnd w:id="3551"/>
      <w:bookmarkEnd w:id="3552"/>
      <w:bookmarkEnd w:id="3553"/>
      <w:bookmarkEnd w:id="3554"/>
      <w:bookmarkEnd w:id="3555"/>
      <w:bookmarkEnd w:id="3556"/>
      <w:bookmarkEnd w:id="3557"/>
    </w:p>
    <w:p w:rsidR="00F4654E" w:rsidRDefault="00F4654E">
      <w:pPr>
        <w:pStyle w:val="a5"/>
      </w:pPr>
      <w:r>
        <w:t>Волгоградская государственная сельскохозяйственная академия</w:t>
      </w:r>
    </w:p>
    <w:p w:rsidR="00F4654E" w:rsidRDefault="00F4654E">
      <w:pPr>
        <w:pStyle w:val="a6"/>
      </w:pPr>
      <w:r>
        <w:t>Анализ газопроводимости пор скорлупы и надскорлупной пленки п</w:t>
      </w:r>
      <w:r>
        <w:t>о</w:t>
      </w:r>
      <w:r>
        <w:t>казал, что большую роль при инкубации куриных яиц играет проница</w:t>
      </w:r>
      <w:r>
        <w:t>е</w:t>
      </w:r>
      <w:r>
        <w:t>мость пор скорлупы и газопронитемость пленки. В период инкубации б</w:t>
      </w:r>
      <w:r>
        <w:t>ы</w:t>
      </w:r>
      <w:r>
        <w:t>вает зат</w:t>
      </w:r>
      <w:r>
        <w:softHyphen/>
        <w:t>руднен газообмен в яйцах и развитие зародыша может остановит</w:t>
      </w:r>
      <w:r>
        <w:t>ь</w:t>
      </w:r>
      <w:r>
        <w:t xml:space="preserve">ся, зародыш погибнет из-за недостатка кислорода. </w:t>
      </w:r>
    </w:p>
    <w:p w:rsidR="00F4654E" w:rsidRDefault="00F4654E">
      <w:pPr>
        <w:pStyle w:val="a6"/>
      </w:pPr>
      <w:r>
        <w:t>Для очистки пор надскорлупной пленки и пор скорлупы, а также для смыва посторонних частил (пыль, известковые частицы в порах) мы пр</w:t>
      </w:r>
      <w:r>
        <w:t>и</w:t>
      </w:r>
      <w:r>
        <w:t>мени</w:t>
      </w:r>
      <w:r>
        <w:softHyphen/>
        <w:t>ли жидкий азот (температура - 196°С).</w:t>
      </w:r>
    </w:p>
    <w:p w:rsidR="00F4654E" w:rsidRDefault="00F4654E">
      <w:pPr>
        <w:pStyle w:val="a6"/>
      </w:pPr>
      <w:r>
        <w:t>Обработку куриных яиц жидким азотом (-196°С) проводили следую</w:t>
      </w:r>
      <w:r>
        <w:softHyphen/>
        <w:t>щим образом. Лотки с уложенными в них яйцами поместили на специаль</w:t>
      </w:r>
      <w:r>
        <w:softHyphen/>
        <w:t>но изготовленный стол, столешника которого имела форму воронки. Жи</w:t>
      </w:r>
      <w:r>
        <w:t>д</w:t>
      </w:r>
      <w:r>
        <w:t>ким азотом поливали куриные яйца через мелкое металлическое си</w:t>
      </w:r>
      <w:r>
        <w:softHyphen/>
        <w:t>то, к</w:t>
      </w:r>
      <w:r>
        <w:t>о</w:t>
      </w:r>
      <w:r>
        <w:t>торое равномерно рассеивало раствор испаряющегося жидкого азота. Т</w:t>
      </w:r>
      <w:r>
        <w:t>а</w:t>
      </w:r>
      <w:r>
        <w:t>кое устройство позволяло равномерно снимать жидким азотом со скорл</w:t>
      </w:r>
      <w:r>
        <w:t>у</w:t>
      </w:r>
      <w:r>
        <w:t xml:space="preserve">пы куриных яиц посторонние частицы. </w:t>
      </w:r>
    </w:p>
    <w:p w:rsidR="00F4654E" w:rsidRDefault="00F4654E">
      <w:pPr>
        <w:pStyle w:val="a6"/>
      </w:pPr>
      <w:r>
        <w:t>Скорлупа яиц, подвергнутая обработке низкой температурой (- I96ºC), сжималась, а через 5-10 минут, когда скорлупа принимала темпера</w:t>
      </w:r>
      <w:r>
        <w:softHyphen/>
        <w:t>туру о</w:t>
      </w:r>
      <w:r>
        <w:t>к</w:t>
      </w:r>
      <w:r>
        <w:t>ружающей среды, происходило засасывание в поры свежего воз</w:t>
      </w:r>
      <w:r>
        <w:softHyphen/>
        <w:t>духа, за счет этого воздуха поры прочихались.  После такой обработ</w:t>
      </w:r>
      <w:r>
        <w:softHyphen/>
        <w:t xml:space="preserve">ки </w:t>
      </w:r>
      <w:r>
        <w:rPr>
          <w:smallCaps/>
        </w:rPr>
        <w:t xml:space="preserve">5 – 10 </w:t>
      </w:r>
      <w:r>
        <w:t>тысяч яиц, отработанный жидкий азот окрашивался в молочный цвет, имея ра</w:t>
      </w:r>
      <w:r>
        <w:t>з</w:t>
      </w:r>
      <w:r>
        <w:t>личные примеси песка, мела, пыли.</w:t>
      </w:r>
    </w:p>
    <w:p w:rsidR="00F4654E" w:rsidRDefault="00F4654E">
      <w:pPr>
        <w:pStyle w:val="a6"/>
      </w:pPr>
      <w:r>
        <w:t>После обработки инкубационных яиц жидким азотом методом обли</w:t>
      </w:r>
      <w:r>
        <w:softHyphen/>
        <w:t>вания, судя по выводу цыплят, инкубационные качества повысились на 4,7 % по сравнению с контрольной группой яиц, которые перед инкубацией не подвергли спецобработке.</w:t>
      </w:r>
    </w:p>
    <w:p w:rsidR="00F4654E" w:rsidRDefault="00F4654E">
      <w:pPr>
        <w:pStyle w:val="a6"/>
      </w:pPr>
      <w:r>
        <w:t>Поры в скорлупе подсчитывали, пропитывая скорлупу и подскорлу-повую пленку спиртовым раствором метиленовой синьки. У обработанных жидким азотом яиц количество</w:t>
      </w:r>
      <w:r>
        <w:rPr>
          <w:b/>
        </w:rPr>
        <w:t xml:space="preserve"> </w:t>
      </w:r>
      <w:r>
        <w:t>пор на 39 штук</w:t>
      </w:r>
      <w:r>
        <w:rPr>
          <w:b/>
        </w:rPr>
        <w:t xml:space="preserve"> </w:t>
      </w:r>
      <w:r>
        <w:t>на 1 см</w:t>
      </w:r>
      <w:r>
        <w:rPr>
          <w:vertAlign w:val="superscript"/>
        </w:rPr>
        <w:t>2</w:t>
      </w:r>
      <w:r>
        <w:t xml:space="preserve"> (145) больше, чем у яиц, не обработанных жидким азотом. </w:t>
      </w:r>
    </w:p>
    <w:p w:rsidR="00F4654E" w:rsidRDefault="00F4654E">
      <w:pPr>
        <w:pStyle w:val="a6"/>
      </w:pPr>
      <w:r>
        <w:t>Обработка яиц перед инкубацией жидким азотом увеличивала коли</w:t>
      </w:r>
      <w:r>
        <w:softHyphen/>
        <w:t>чество пор в скорлупе на 36,7 % по сравнению с количеством пор яиц, не обработанных жидким азотом.</w:t>
      </w:r>
    </w:p>
    <w:p w:rsidR="00F4654E" w:rsidRDefault="00F4654E">
      <w:pPr>
        <w:pStyle w:val="a6"/>
      </w:pPr>
      <w:r>
        <w:lastRenderedPageBreak/>
        <w:t>Мы изготовили прибор для оценки газопроводимости скорлупы и подскорлуповой пленки и измерили её проницаемость. По делениям ме</w:t>
      </w:r>
      <w:r>
        <w:t>р</w:t>
      </w:r>
      <w:r>
        <w:t>ного стакана и по количеству 1 %-го раствора хлористого натрия, выте</w:t>
      </w:r>
      <w:r>
        <w:t>с</w:t>
      </w:r>
      <w:r>
        <w:t>ненного продувным воздухом, прошедшим через поры скорлупы яиц, о</w:t>
      </w:r>
      <w:r>
        <w:t>б</w:t>
      </w:r>
      <w:r>
        <w:t xml:space="preserve">работанных перед закладкой в инкубатор жидким азотом и без обработки, установили проницаемость.  </w:t>
      </w:r>
    </w:p>
    <w:p w:rsidR="00F4654E" w:rsidRDefault="00F4654E">
      <w:pPr>
        <w:pStyle w:val="a6"/>
      </w:pPr>
      <w:r>
        <w:t>Воздухопроницаемость скорлупы оказалась равна 46 мл, или на 7,6 мл больше,</w:t>
      </w:r>
      <w:r>
        <w:rPr>
          <w:b/>
        </w:rPr>
        <w:t xml:space="preserve"> </w:t>
      </w:r>
      <w:r>
        <w:t>чем у яиц,</w:t>
      </w:r>
      <w:r>
        <w:rPr>
          <w:b/>
        </w:rPr>
        <w:t xml:space="preserve"> </w:t>
      </w:r>
      <w:r>
        <w:t>не об</w:t>
      </w:r>
      <w:r>
        <w:softHyphen/>
        <w:t>работанных жидким азотом. Проницаемость по</w:t>
      </w:r>
      <w:r>
        <w:t>д</w:t>
      </w:r>
      <w:r>
        <w:t>скорлупной пленки сос</w:t>
      </w:r>
      <w:r>
        <w:softHyphen/>
        <w:t>тавила 37,3 мл, или на 5,3 мл меньше,</w:t>
      </w:r>
      <w:r>
        <w:rPr>
          <w:b/>
        </w:rPr>
        <w:t xml:space="preserve"> </w:t>
      </w:r>
      <w:r>
        <w:t>чем пленки яиц, обработанных жидким азотом.</w:t>
      </w:r>
    </w:p>
    <w:p w:rsidR="00F4654E" w:rsidRDefault="00F4654E">
      <w:pPr>
        <w:pStyle w:val="a6"/>
      </w:pPr>
      <w:r>
        <w:t>Вывод здоровых цыплят</w:t>
      </w:r>
      <w:r>
        <w:rPr>
          <w:b/>
        </w:rPr>
        <w:t xml:space="preserve"> </w:t>
      </w:r>
      <w:r>
        <w:t>из яиц, обработанных жидким азотом, сос</w:t>
      </w:r>
      <w:r>
        <w:softHyphen/>
        <w:t>тавил в среднем 85,6 % от числа заложенных на инкубацию с колебания</w:t>
      </w:r>
      <w:r>
        <w:softHyphen/>
        <w:t>ми по отдельным партиям от 82,5 до 89,7 %. Вывод цыплят из яиц, не обраб</w:t>
      </w:r>
      <w:r>
        <w:t>о</w:t>
      </w:r>
      <w:r>
        <w:t>танных жидким азотом, составил в среднем 82,6 %, с колебания</w:t>
      </w:r>
      <w:r>
        <w:softHyphen/>
        <w:t>ми по о</w:t>
      </w:r>
      <w:r>
        <w:t>т</w:t>
      </w:r>
      <w:r>
        <w:t>дельным партиям от 81,0 – 84,5 %.</w:t>
      </w:r>
    </w:p>
    <w:p w:rsidR="00F4654E" w:rsidRDefault="00F4654E">
      <w:pPr>
        <w:pStyle w:val="a4"/>
      </w:pPr>
      <w:r>
        <w:t>УДК 619.618</w:t>
      </w:r>
    </w:p>
    <w:p w:rsidR="00F4654E" w:rsidRDefault="00F4654E">
      <w:pPr>
        <w:pStyle w:val="1"/>
      </w:pPr>
      <w:bookmarkStart w:id="3558" w:name="_Toc10731452"/>
      <w:bookmarkStart w:id="3559" w:name="_Toc11137891"/>
      <w:bookmarkStart w:id="3560" w:name="_Toc11138309"/>
      <w:bookmarkStart w:id="3561" w:name="_Toc11138727"/>
      <w:bookmarkStart w:id="3562" w:name="_Toc11139145"/>
      <w:bookmarkStart w:id="3563" w:name="_Toc11139563"/>
      <w:bookmarkStart w:id="3564" w:name="_Toc11139981"/>
      <w:bookmarkStart w:id="3565" w:name="_Toc11140399"/>
      <w:bookmarkStart w:id="3566" w:name="_Toc11390509"/>
      <w:bookmarkStart w:id="3567" w:name="_Toc11840194"/>
      <w:bookmarkStart w:id="3568" w:name="_Toc11937730"/>
      <w:r>
        <w:t>ПРОНИЦАЕМОСТЬ РАДИОАКТИВНЫМИ ИЗОТОПАМИ ИММУННЫХ и пищеварительных органов птИЦ</w:t>
      </w:r>
      <w:bookmarkEnd w:id="3558"/>
      <w:bookmarkEnd w:id="3559"/>
      <w:bookmarkEnd w:id="3560"/>
      <w:bookmarkEnd w:id="3561"/>
      <w:bookmarkEnd w:id="3562"/>
      <w:bookmarkEnd w:id="3563"/>
      <w:bookmarkEnd w:id="3564"/>
      <w:bookmarkEnd w:id="3565"/>
      <w:bookmarkEnd w:id="3566"/>
      <w:bookmarkEnd w:id="3567"/>
      <w:bookmarkEnd w:id="3568"/>
    </w:p>
    <w:p w:rsidR="00F4654E" w:rsidRDefault="00F4654E">
      <w:pPr>
        <w:pStyle w:val="2"/>
      </w:pPr>
      <w:bookmarkStart w:id="3569" w:name="_Toc10731453"/>
      <w:bookmarkStart w:id="3570" w:name="_Toc11032308"/>
      <w:bookmarkStart w:id="3571" w:name="_Toc11137892"/>
      <w:bookmarkStart w:id="3572" w:name="_Toc11138310"/>
      <w:bookmarkStart w:id="3573" w:name="_Toc11138728"/>
      <w:bookmarkStart w:id="3574" w:name="_Toc11139146"/>
      <w:bookmarkStart w:id="3575" w:name="_Toc11139564"/>
      <w:bookmarkStart w:id="3576" w:name="_Toc11139982"/>
      <w:bookmarkStart w:id="3577" w:name="_Toc11140400"/>
      <w:bookmarkStart w:id="3578" w:name="_Toc11390510"/>
      <w:bookmarkStart w:id="3579" w:name="_Toc11937731"/>
      <w:r>
        <w:t>Небогатиков Г.В., Чижова Г.С.</w:t>
      </w:r>
      <w:bookmarkEnd w:id="3569"/>
      <w:bookmarkEnd w:id="3570"/>
      <w:bookmarkEnd w:id="3571"/>
      <w:bookmarkEnd w:id="3572"/>
      <w:bookmarkEnd w:id="3573"/>
      <w:bookmarkEnd w:id="3574"/>
      <w:bookmarkEnd w:id="3575"/>
      <w:bookmarkEnd w:id="3576"/>
      <w:bookmarkEnd w:id="3577"/>
      <w:bookmarkEnd w:id="3578"/>
      <w:bookmarkEnd w:id="3579"/>
    </w:p>
    <w:p w:rsidR="00F4654E" w:rsidRDefault="00F4654E">
      <w:pPr>
        <w:pStyle w:val="a5"/>
        <w:rPr>
          <w:b/>
        </w:rPr>
      </w:pPr>
      <w:r>
        <w:t>Волгоградская государственная сельскохозяйственная академия</w:t>
      </w:r>
    </w:p>
    <w:p w:rsidR="00F4654E" w:rsidRDefault="00F4654E">
      <w:pPr>
        <w:pStyle w:val="a6"/>
      </w:pPr>
      <w:r>
        <w:t>Для изучения клеточных мембран иммунной и пищеварительной сис</w:t>
      </w:r>
      <w:r>
        <w:softHyphen/>
        <w:t>тем (фабрициевая сумка, костный мозг, тимус, слепые отростки, пе</w:t>
      </w:r>
      <w:r>
        <w:softHyphen/>
        <w:t>чень, желудок) использовали радиоактивный тритий. За 10 минут до убоя птицы различных возрастов в подкрыльцовую вену вводили 0,5 мл радиоактивн</w:t>
      </w:r>
      <w:r>
        <w:t>о</w:t>
      </w:r>
      <w:r>
        <w:t>го трития. После убоя птицы брали пробы органов, иссле</w:t>
      </w:r>
      <w:r>
        <w:softHyphen/>
        <w:t>дуя их на прон</w:t>
      </w:r>
      <w:r>
        <w:t>и</w:t>
      </w:r>
      <w:r>
        <w:t>цаемость мембран радиоактивными изотопами. Через 2 минуты после вв</w:t>
      </w:r>
      <w:r>
        <w:t>е</w:t>
      </w:r>
      <w:r>
        <w:t>дения трития цыплят убивали, брали кусочки органов, которые с помощью специальных устройств (счетных камер) исследо</w:t>
      </w:r>
      <w:r>
        <w:softHyphen/>
        <w:t>вали на количественное наличие радиоактивного изотопа. Этим опре</w:t>
      </w:r>
      <w:r>
        <w:softHyphen/>
        <w:t>деляли проницаемость тканей радиоактивными изотопами, что давало возможность у птиц изучить трансфузийную способность тканей самых важных систем в первые дни жизни, когда появившиеся на свет цыплята встречаются с инфекцией и происходит становление иммунной сис</w:t>
      </w:r>
      <w:r>
        <w:softHyphen/>
        <w:t>темы, предохраняющей организм от инфекции и неблагоприятных фак</w:t>
      </w:r>
      <w:r>
        <w:softHyphen/>
        <w:t>торов в кормлении и содержании.</w:t>
      </w:r>
    </w:p>
    <w:p w:rsidR="00F4654E" w:rsidRDefault="00F4654E">
      <w:pPr>
        <w:pStyle w:val="a6"/>
      </w:pPr>
      <w:r>
        <w:t>Иммунокомпетентные органы цыплят-бройлеров с 20- до 60-дневно</w:t>
      </w:r>
      <w:r>
        <w:softHyphen/>
        <w:t>го возраста не только усиленно пропускают через себя питательные вещества, но и усиленно их аккумулируют.</w:t>
      </w:r>
    </w:p>
    <w:p w:rsidR="00F4654E" w:rsidRDefault="00F4654E">
      <w:pPr>
        <w:pStyle w:val="a6"/>
      </w:pPr>
      <w:r>
        <w:t>Проницаемость и накопление радиоактивного трития было обнару</w:t>
      </w:r>
      <w:r>
        <w:softHyphen/>
        <w:t>жено в костном мозге бедренной кости у цыплят в 9-дневном возрас</w:t>
      </w:r>
      <w:r>
        <w:softHyphen/>
        <w:t>те – 1590 имп. с/г, в 17-дневном - 4120 имп. с/г, в 22-дневном - 5440 имп. с/г, в 30-дневном - 4800 имп. с/г, в 62-дневном - 1985 имп. с/г.</w:t>
      </w:r>
    </w:p>
    <w:p w:rsidR="00F4654E" w:rsidRDefault="00F4654E">
      <w:pPr>
        <w:pStyle w:val="a6"/>
      </w:pPr>
      <w:r>
        <w:lastRenderedPageBreak/>
        <w:t>В фабрициевой сумке содержание радиоактивного изотопа было у цыплят в возрасте 9 дней 80 имп. с/г, в 17 дней - 960 имп. с/г, в 22 дня - 3933 имп. с/г, у 30-дневных - 43Т8</w:t>
      </w:r>
      <w:r>
        <w:rPr>
          <w:b/>
        </w:rPr>
        <w:t xml:space="preserve"> </w:t>
      </w:r>
      <w:r>
        <w:t>имп. с/г, у 62-дневннх - 960 имп. с/г. В слепых отростках радиоактивного трития было об</w:t>
      </w:r>
      <w:r>
        <w:softHyphen/>
        <w:t>наружено: у 9-дневных цыплят - 470 имп. с/г, у 17-дневных -662 имп. с/г, у 30-дневных - 2050 имп. с/г, у 45-дневных - 1341 имп. с/г, у 62-дневных - 952 имп. с/г.</w:t>
      </w:r>
    </w:p>
    <w:p w:rsidR="00F4654E" w:rsidRDefault="00F4654E">
      <w:pPr>
        <w:pStyle w:val="a6"/>
      </w:pPr>
      <w:r>
        <w:t>В вилочковой железе радиоактивный тритий накапливался в наи</w:t>
      </w:r>
      <w:r>
        <w:softHyphen/>
        <w:t>большем количестве: у 30-, 45-дневных цыплят – 3361 – 4172 имп.</w:t>
      </w:r>
      <w:r>
        <w:rPr>
          <w:b/>
        </w:rPr>
        <w:t xml:space="preserve"> </w:t>
      </w:r>
      <w:r>
        <w:t>с/г.</w:t>
      </w:r>
    </w:p>
    <w:p w:rsidR="00F4654E" w:rsidRDefault="00F4654E">
      <w:pPr>
        <w:pStyle w:val="a6"/>
      </w:pPr>
      <w:r>
        <w:t>По сравнению с кровью в иммунных органах у цыплят-бройлеров в 45-дневном возрасте количество радиоактивного трития было нес</w:t>
      </w:r>
      <w:r>
        <w:softHyphen/>
        <w:t>колько меньше, но наблюдалась такая же постепенная накапливаемость, начиная с 10-дневного возраста.</w:t>
      </w:r>
    </w:p>
    <w:p w:rsidR="00F4654E" w:rsidRDefault="00F4654E">
      <w:pPr>
        <w:pStyle w:val="a6"/>
      </w:pPr>
      <w:r>
        <w:t>После 45-дневного возраста количество радиоактивного вещества п</w:t>
      </w:r>
      <w:r>
        <w:t>о</w:t>
      </w:r>
      <w:r>
        <w:t>степенно снижалось, и к 60-му дню кумулятивная способность иммун</w:t>
      </w:r>
      <w:r>
        <w:softHyphen/>
        <w:t>ных органов достигала такого же уровня, как у цыплят до 10-дневного возра</w:t>
      </w:r>
      <w:r>
        <w:t>с</w:t>
      </w:r>
      <w:r>
        <w:t>та. В печени и в стенке желудка накапливание радиоактивных</w:t>
      </w:r>
      <w:r>
        <w:rPr>
          <w:b/>
        </w:rPr>
        <w:t xml:space="preserve"> </w:t>
      </w:r>
      <w:r>
        <w:t>веществ происходило активней с первого дня жизни после инкубации – 1100 имп. с/г – 1602 имп. с/г.</w:t>
      </w:r>
    </w:p>
    <w:p w:rsidR="00F4654E" w:rsidRDefault="00F4654E">
      <w:pPr>
        <w:pStyle w:val="a6"/>
      </w:pPr>
      <w:r>
        <w:t>После 45-дчевного возраста у цыплят-бройлеров количество ра</w:t>
      </w:r>
      <w:r>
        <w:softHyphen/>
        <w:t>диоактивного трития несколько снижалось и к 60-дневному возрасту в п</w:t>
      </w:r>
      <w:r>
        <w:t>е</w:t>
      </w:r>
      <w:r>
        <w:t>чени обнаружили 852 имп. с/г, в желудке 583 имп. с/г, а в 45-дневном во</w:t>
      </w:r>
      <w:r>
        <w:t>з</w:t>
      </w:r>
      <w:r>
        <w:t>расте соответственно 3007 имп. с/г, 5101 имп. с/г.</w:t>
      </w:r>
    </w:p>
    <w:p w:rsidR="00F4654E" w:rsidRDefault="00F4654E">
      <w:pPr>
        <w:pStyle w:val="a6"/>
      </w:pPr>
      <w:r>
        <w:t>Органы иммунной и пищеварительной системы обладают наивысши</w:t>
      </w:r>
      <w:r>
        <w:softHyphen/>
        <w:t>ми кумулятивными свойствами у цыплят-бройлеров к 45-дневному возра</w:t>
      </w:r>
      <w:r>
        <w:t>с</w:t>
      </w:r>
      <w:r>
        <w:t>ту. В этот период проницаемость мембран клетки тканей иммун</w:t>
      </w:r>
      <w:r>
        <w:softHyphen/>
        <w:t>ной сист</w:t>
      </w:r>
      <w:r>
        <w:t>е</w:t>
      </w:r>
      <w:r>
        <w:t>мы в 10 раз выше, чем у 5-10-дневных цыплят-бройлеров.</w:t>
      </w:r>
    </w:p>
    <w:p w:rsidR="00F4654E" w:rsidRDefault="00F4654E">
      <w:pPr>
        <w:pStyle w:val="a6"/>
      </w:pPr>
      <w:r>
        <w:t>Проницаемость мембран клеток тканей печени, желудка у 45-дневних цыплят в 3 раза активней по сравнению с проницаемостью тканей этих же органов у цыплят в 5-10 дневном возрасте.</w:t>
      </w:r>
    </w:p>
    <w:p w:rsidR="00F4654E" w:rsidRDefault="00F4654E">
      <w:pPr>
        <w:pStyle w:val="a6"/>
      </w:pPr>
      <w:r>
        <w:t>Сосудисто-мембранная зона бурсы, тимуса, судя по нашим морфол</w:t>
      </w:r>
      <w:r>
        <w:t>о</w:t>
      </w:r>
      <w:r>
        <w:t>гическим исследованиям, имеет железисто-эпителиальную выстилку. Эта мембранная зона ре</w:t>
      </w:r>
      <w:r>
        <w:softHyphen/>
        <w:t>гулирует миграцию клеточных элементов в просвете полости фабрициевой сумки, в кровяное и лимфоидное русло организма. Секрет желез бурсы, тимуса, заполняющий просвет полостей, является о</w:t>
      </w:r>
      <w:r>
        <w:t>с</w:t>
      </w:r>
      <w:r>
        <w:t>новным химическим компонентом и действующим началом</w:t>
      </w:r>
      <w:r>
        <w:rPr>
          <w:b/>
        </w:rPr>
        <w:t xml:space="preserve"> </w:t>
      </w:r>
      <w:r>
        <w:t>для иммунн</w:t>
      </w:r>
      <w:r>
        <w:t>о</w:t>
      </w:r>
      <w:r>
        <w:t>го ответа организма на неблагоприятные условия, болезнь, инфекцию. Секреты же фабрициевой сумки имеют двойную функцию - секреторную и лимфоцитопоэзную. Поэтому применяемые нами с лечебной целью в</w:t>
      </w:r>
      <w:r>
        <w:t>ы</w:t>
      </w:r>
      <w:r>
        <w:t>тяжки из бурсы, тимуса,</w:t>
      </w:r>
      <w:r>
        <w:rPr>
          <w:b/>
        </w:rPr>
        <w:t xml:space="preserve"> </w:t>
      </w:r>
      <w:r>
        <w:t>при болезнях дыхательной и пищеварительной систем оказывают положительный эффект, способствуя выздоровлению телят, ягнят,</w:t>
      </w:r>
      <w:r>
        <w:rPr>
          <w:b/>
        </w:rPr>
        <w:t xml:space="preserve"> </w:t>
      </w:r>
      <w:r>
        <w:t>поросят, цыплят.</w:t>
      </w:r>
    </w:p>
    <w:p w:rsidR="0001153D" w:rsidRDefault="0001153D">
      <w:pPr>
        <w:pStyle w:val="a4"/>
      </w:pPr>
    </w:p>
    <w:p w:rsidR="00F4654E" w:rsidRDefault="00F4654E">
      <w:pPr>
        <w:pStyle w:val="a4"/>
      </w:pPr>
      <w:r>
        <w:lastRenderedPageBreak/>
        <w:t>УДК 619:618:636.4.082.4:615.361.34</w:t>
      </w:r>
    </w:p>
    <w:p w:rsidR="00F4654E" w:rsidRDefault="00F4654E">
      <w:pPr>
        <w:pStyle w:val="1"/>
      </w:pPr>
      <w:bookmarkStart w:id="3580" w:name="_Toc10731454"/>
      <w:bookmarkStart w:id="3581" w:name="_Toc11137895"/>
      <w:bookmarkStart w:id="3582" w:name="_Toc11138313"/>
      <w:bookmarkStart w:id="3583" w:name="_Toc11138731"/>
      <w:bookmarkStart w:id="3584" w:name="_Toc11139149"/>
      <w:bookmarkStart w:id="3585" w:name="_Toc11139567"/>
      <w:bookmarkStart w:id="3586" w:name="_Toc11139985"/>
      <w:bookmarkStart w:id="3587" w:name="_Toc11140403"/>
      <w:bookmarkStart w:id="3588" w:name="_Toc11390511"/>
      <w:bookmarkStart w:id="3589" w:name="_Toc11840198"/>
      <w:bookmarkStart w:id="3590" w:name="_Toc11937732"/>
      <w:r>
        <w:t>ЭФФЕКТИВНОСТЬ ПРИМЕНЕНИЯ ГОНАДОТРОПНЫХ ПРЕПАРАТОВ ДЛЯ КОРРЕКЦИИ ВОСПРОИЗВОДИТЕЛЬНОЙ ФУНКЦИИ И ПОВЫШЕНИЯ МНОГОПЛОДИЯ СВИНОМАТОК</w:t>
      </w:r>
      <w:bookmarkEnd w:id="3580"/>
      <w:bookmarkEnd w:id="3581"/>
      <w:bookmarkEnd w:id="3582"/>
      <w:bookmarkEnd w:id="3583"/>
      <w:bookmarkEnd w:id="3584"/>
      <w:bookmarkEnd w:id="3585"/>
      <w:bookmarkEnd w:id="3586"/>
      <w:bookmarkEnd w:id="3587"/>
      <w:bookmarkEnd w:id="3588"/>
      <w:bookmarkEnd w:id="3589"/>
      <w:bookmarkEnd w:id="3590"/>
    </w:p>
    <w:p w:rsidR="00F4654E" w:rsidRDefault="00F4654E">
      <w:pPr>
        <w:pStyle w:val="2"/>
      </w:pPr>
      <w:bookmarkStart w:id="3591" w:name="_Toc10731455"/>
      <w:bookmarkStart w:id="3592" w:name="_Toc11032310"/>
      <w:bookmarkStart w:id="3593" w:name="_Toc11137896"/>
      <w:bookmarkStart w:id="3594" w:name="_Toc11138314"/>
      <w:bookmarkStart w:id="3595" w:name="_Toc11138732"/>
      <w:bookmarkStart w:id="3596" w:name="_Toc11139150"/>
      <w:bookmarkStart w:id="3597" w:name="_Toc11139568"/>
      <w:bookmarkStart w:id="3598" w:name="_Toc11139986"/>
      <w:bookmarkStart w:id="3599" w:name="_Toc11140404"/>
      <w:bookmarkStart w:id="3600" w:name="_Toc11390512"/>
      <w:bookmarkStart w:id="3601" w:name="_Toc11937733"/>
      <w:r>
        <w:t>Нежданов А.Г., Волвенкин А.В.</w:t>
      </w:r>
      <w:bookmarkEnd w:id="3591"/>
      <w:bookmarkEnd w:id="3592"/>
      <w:bookmarkEnd w:id="3593"/>
      <w:bookmarkEnd w:id="3594"/>
      <w:bookmarkEnd w:id="3595"/>
      <w:bookmarkEnd w:id="3596"/>
      <w:bookmarkEnd w:id="3597"/>
      <w:bookmarkEnd w:id="3598"/>
      <w:bookmarkEnd w:id="3599"/>
      <w:bookmarkEnd w:id="3600"/>
      <w:bookmarkEnd w:id="3601"/>
    </w:p>
    <w:p w:rsidR="00F4654E" w:rsidRDefault="00F4654E">
      <w:pPr>
        <w:pStyle w:val="a5"/>
      </w:pPr>
      <w:r>
        <w:t>Воронежский государственный аграрный университет им. К.Д. Глинки</w:t>
      </w:r>
    </w:p>
    <w:p w:rsidR="00F4654E" w:rsidRPr="0001153D" w:rsidRDefault="00F4654E">
      <w:pPr>
        <w:pStyle w:val="a6"/>
        <w:rPr>
          <w:spacing w:val="-2"/>
        </w:rPr>
      </w:pPr>
      <w:r w:rsidRPr="0001153D">
        <w:rPr>
          <w:spacing w:val="-2"/>
        </w:rPr>
        <w:t>Практика ведения свиноводства и воспроизводства свиней во многих хозяйствах показывает, что потенциальные репродуктивные во</w:t>
      </w:r>
      <w:r w:rsidRPr="0001153D">
        <w:rPr>
          <w:spacing w:val="-2"/>
        </w:rPr>
        <w:t>з</w:t>
      </w:r>
      <w:r w:rsidRPr="0001153D">
        <w:rPr>
          <w:spacing w:val="-2"/>
        </w:rPr>
        <w:t>можности свиноматок реализуются в пределах всего лишь 60-70%. Поэтому сущес</w:t>
      </w:r>
      <w:r w:rsidRPr="0001153D">
        <w:rPr>
          <w:spacing w:val="-2"/>
        </w:rPr>
        <w:t>т</w:t>
      </w:r>
      <w:r w:rsidRPr="0001153D">
        <w:rPr>
          <w:spacing w:val="-2"/>
        </w:rPr>
        <w:t>венная роль в повышении их плодовитости и профилактики бесплодия о</w:t>
      </w:r>
      <w:r w:rsidRPr="0001153D">
        <w:rPr>
          <w:spacing w:val="-2"/>
        </w:rPr>
        <w:t>т</w:t>
      </w:r>
      <w:r w:rsidRPr="0001153D">
        <w:rPr>
          <w:spacing w:val="-2"/>
        </w:rPr>
        <w:t>водится применению гормональных препаратов. Однако многие исследов</w:t>
      </w:r>
      <w:r w:rsidRPr="0001153D">
        <w:rPr>
          <w:spacing w:val="-2"/>
        </w:rPr>
        <w:t>а</w:t>
      </w:r>
      <w:r w:rsidRPr="0001153D">
        <w:rPr>
          <w:spacing w:val="-2"/>
        </w:rPr>
        <w:t>тели считают, что получить хороший эффект от них бывает очень сло</w:t>
      </w:r>
      <w:r w:rsidRPr="0001153D">
        <w:rPr>
          <w:spacing w:val="-2"/>
        </w:rPr>
        <w:t>ж</w:t>
      </w:r>
      <w:r w:rsidRPr="0001153D">
        <w:rPr>
          <w:spacing w:val="-2"/>
        </w:rPr>
        <w:t>но.</w:t>
      </w:r>
    </w:p>
    <w:p w:rsidR="00F4654E" w:rsidRDefault="00F4654E">
      <w:pPr>
        <w:pStyle w:val="a6"/>
      </w:pPr>
      <w:r>
        <w:t>Наши исследования посвящены изучению влияния различных гонад</w:t>
      </w:r>
      <w:r>
        <w:t>о</w:t>
      </w:r>
      <w:r>
        <w:t>тропных препаратов (ПГ-600, ФСГ-супер, ГСЖК, ХГ) на генеративную и гормональную функцию ремонтных свинок и эффективности их примен</w:t>
      </w:r>
      <w:r>
        <w:t>е</w:t>
      </w:r>
      <w:r>
        <w:t>ния для индукции половой цикличности у свиноматок после отъёма пор</w:t>
      </w:r>
      <w:r>
        <w:t>о</w:t>
      </w:r>
      <w:r>
        <w:t>сят и при бесплодии.</w:t>
      </w:r>
    </w:p>
    <w:p w:rsidR="00F4654E" w:rsidRDefault="00F4654E">
      <w:pPr>
        <w:pStyle w:val="a6"/>
      </w:pPr>
      <w:r>
        <w:t>Экспериментальные исследования по решению первой задачи выпо</w:t>
      </w:r>
      <w:r>
        <w:t>л</w:t>
      </w:r>
      <w:r>
        <w:t>нены на 24 свиноматках при средней массе тела 90-120 кг. Препараты вв</w:t>
      </w:r>
      <w:r>
        <w:t>о</w:t>
      </w:r>
      <w:r>
        <w:t>дили однократно в оптимально рекомендуемых дозах. Гормональные и</w:t>
      </w:r>
      <w:r>
        <w:t>с</w:t>
      </w:r>
      <w:r>
        <w:t>следования крови выполнены перед постановкой опыта и через 7 и 14 дней после применения препаратов. Морфологические исследования половых органов выполнены после убоя животных на 7 и 14 день.</w:t>
      </w:r>
    </w:p>
    <w:p w:rsidR="00F4654E" w:rsidRDefault="00F4654E">
      <w:pPr>
        <w:pStyle w:val="a6"/>
      </w:pPr>
      <w:r>
        <w:t>Установлено, что в яичниках каждой интактной свиноматки в среднем содержалось по 13 неразвитых жёлтых тел, 12 фолликулов разного размера и по 5 фолликулярных и лютеиновых кист. Их масса равнялась 11,4 г.</w:t>
      </w:r>
    </w:p>
    <w:p w:rsidR="00F4654E" w:rsidRDefault="00F4654E">
      <w:pPr>
        <w:pStyle w:val="a6"/>
      </w:pPr>
      <w:r>
        <w:t>Яичники свиноматок, которым вводили ПГ-600, содержали по 18 жё</w:t>
      </w:r>
      <w:r>
        <w:t>л</w:t>
      </w:r>
      <w:r>
        <w:t>тых тел и по 4-14 фолликулов. Кисты в них отсутствовали, а масса сост</w:t>
      </w:r>
      <w:r>
        <w:t>а</w:t>
      </w:r>
      <w:r>
        <w:t>вила 14,2-14,3 г. После введения ГСЖК в комплексе с ХГ в яичниках юыло выявлено по 25 жёлтых тел, 19 фолликулов и у одной свиноматки - фолл</w:t>
      </w:r>
      <w:r>
        <w:t>и</w:t>
      </w:r>
      <w:r>
        <w:t>кулярная киста. Яичники весили 15,7 г.</w:t>
      </w:r>
    </w:p>
    <w:p w:rsidR="00F4654E" w:rsidRDefault="00F4654E">
      <w:pPr>
        <w:pStyle w:val="a6"/>
      </w:pPr>
      <w:r>
        <w:t>Гормональные исследования плазмы крови показали, что у всех св</w:t>
      </w:r>
      <w:r>
        <w:t>и</w:t>
      </w:r>
      <w:r>
        <w:t>номаток, включённых в опыт и не проявивших клинических признаков п</w:t>
      </w:r>
      <w:r>
        <w:t>о</w:t>
      </w:r>
      <w:r>
        <w:t>ловой цикличности, содержание прогестерона колебалось от 0,65 до 3,90 нг/мл и в среднем составляло 1,92 нг/мл, а эстрадиола-17</w:t>
      </w:r>
      <w:r>
        <w:sym w:font="Symbol" w:char="F062"/>
      </w:r>
      <w:r>
        <w:t xml:space="preserve"> - от 17,7 до 70,5 пг/мл (в среднем 4,45 пг/мл).</w:t>
      </w:r>
    </w:p>
    <w:p w:rsidR="00F4654E" w:rsidRDefault="00F4654E">
      <w:pPr>
        <w:pStyle w:val="a6"/>
      </w:pPr>
      <w:r>
        <w:t>При назначении ПГ-600 и ГСЖК концентрация прогестерона в крови через семь суток возросла до 5,60-6,73 нг/мл или в 2,9-3,5 раза, через ч</w:t>
      </w:r>
      <w:r>
        <w:t>е</w:t>
      </w:r>
      <w:r>
        <w:t xml:space="preserve">тырнадцать суток она составила 5,40-5,07 нг/мл. Количество эстрадиола в эти сроки возрастало соответственно до 69,9-78,0 пг/мл и 69,1-126,8 пг/мл или на 56,4-29,9%. Сочетанное назначение ГСЖК с ХГ или ФСГ-супер с </w:t>
      </w:r>
      <w:r>
        <w:lastRenderedPageBreak/>
        <w:t>ХГ обеспечивало повышение концентрации прогестерона до 4,70-8,12 нг/мл, а эстрадиола – до 62,3-58,9 пг/мл.</w:t>
      </w:r>
    </w:p>
    <w:p w:rsidR="00F4654E" w:rsidRDefault="00F4654E">
      <w:pPr>
        <w:pStyle w:val="a6"/>
      </w:pPr>
      <w:r>
        <w:t>Полученные данные позволяют заключить, что все использованные гонадотропные препараты, введённые свиноматкам на фоне гипофункции яичников, восстанавливают их генеративную и гормональную функцию, что даёт основание рекомендовать эти препараты для более широкого применения в практике воспроизводства свиней для индукции половой цикличности как у бесплодных свиноматок, так и у свиноматок после от</w:t>
      </w:r>
      <w:r>
        <w:t>ъ</w:t>
      </w:r>
      <w:r>
        <w:t>ёма поросят. При этом препарат ПГ-600, включающий в свой состав ГСЖК и ХГ, а также другие гонадотропные препараты в сочетании с ХГ оказ</w:t>
      </w:r>
      <w:r>
        <w:t>ы</w:t>
      </w:r>
      <w:r>
        <w:t>вают более физиологическое воздействие на функцию половых желёз, чем чистый ГСЖК.</w:t>
      </w:r>
    </w:p>
    <w:p w:rsidR="00F4654E" w:rsidRDefault="00F4654E">
      <w:pPr>
        <w:pStyle w:val="a6"/>
      </w:pPr>
      <w:r>
        <w:t>Научно-производственный опыт по изучению эффективности прим</w:t>
      </w:r>
      <w:r>
        <w:t>е</w:t>
      </w:r>
      <w:r>
        <w:t>нения гонадотропных препаратов после отъёма поросят выполнен на 45 свиноматках, которым однократно парэнтерально вводили или ПГ-600 в дозе 600 ИЕ, или ФСГ-супер в дозе 200 ИЕ, или ГСЖК (сергон) в дозе 600 ИЕ. Контрольным животным препараты не назначали.</w:t>
      </w:r>
    </w:p>
    <w:p w:rsidR="00F4654E" w:rsidRDefault="00F4654E">
      <w:pPr>
        <w:pStyle w:val="a6"/>
      </w:pPr>
      <w:r>
        <w:t>В течение 6 дней после отъёма поросят проявляли половой цикл и б</w:t>
      </w:r>
      <w:r>
        <w:t>ы</w:t>
      </w:r>
      <w:r>
        <w:t>ли естественно осеменены соответственно 70%, 90%, 70% и 66,7%. Опл</w:t>
      </w:r>
      <w:r>
        <w:t>о</w:t>
      </w:r>
      <w:r>
        <w:t>дотворяемость в данный половой цикл составила 100 %, 77,8%, 85,7% и 80%. Беременность из общего числа включенных в опыт животных наст</w:t>
      </w:r>
      <w:r>
        <w:t>у</w:t>
      </w:r>
      <w:r>
        <w:t>пила после назначения ПГ-600 и ФСГ-супер у 70% свиноматок, сергона – 60% и в контроле – у 53,3%. Плодовитость каждой оплодотворенной св</w:t>
      </w:r>
      <w:r>
        <w:t>и</w:t>
      </w:r>
      <w:r>
        <w:t>номатки составила 10,1; 10,2 и 9,6 поросят, а на каждую включенную в опыт свиноматку – соответственно 7,1;. 7,2; 6,1 и 5,1 поросенка.</w:t>
      </w:r>
    </w:p>
    <w:p w:rsidR="00F4654E" w:rsidRDefault="00F4654E">
      <w:pPr>
        <w:pStyle w:val="a6"/>
      </w:pPr>
      <w:r>
        <w:t>Следовательно, назначение гонадотропных препаратов свиноматкам после отъема поросят позволяет увеличить выход приплода на 19,6-41,2%. При этом наилучшая эффективность получена при использовании ПГ-600 и ФСГ-супер.</w:t>
      </w:r>
    </w:p>
    <w:p w:rsidR="00F4654E" w:rsidRDefault="00F4654E">
      <w:pPr>
        <w:pStyle w:val="a6"/>
      </w:pPr>
      <w:r>
        <w:t>Назначение гонадотропных препаратов (ПГ-600 и ФСГ-супер) бе</w:t>
      </w:r>
      <w:r>
        <w:t>с</w:t>
      </w:r>
      <w:r>
        <w:t>плодным свиноматкам (n=38) обеспечило проявление половой цикличн</w:t>
      </w:r>
      <w:r>
        <w:t>о</w:t>
      </w:r>
      <w:r>
        <w:t>сти в течение 10 дней у 83,3-85,7% животных при 33,3% в контроле. Опл</w:t>
      </w:r>
      <w:r>
        <w:t>о</w:t>
      </w:r>
      <w:r>
        <w:t>дотворяемость после естественного осеменения при применении ПГ-600 составила 60,0%, ФСГ-супер – 50,0% и в контроле – 50,0%, многоплодие -  соответственно 9,8; 9.9 и 9,0 поросят. Общие показатели воспроизвод</w:t>
      </w:r>
      <w:r>
        <w:t>и</w:t>
      </w:r>
      <w:r>
        <w:t>тельной способности при назначении ПГ-600 увеличились в сравнении с контрольной группой в 3 раза  и ФСГ-супер – в 2,6 раза.</w:t>
      </w:r>
    </w:p>
    <w:p w:rsidR="00F4654E" w:rsidRDefault="00F4654E">
      <w:pPr>
        <w:pStyle w:val="a6"/>
      </w:pPr>
      <w:r>
        <w:t>Применение гонадотропинов для активизации воспроизводительной функции ремонтных свинок (n=77) способствовало проявлению половой цикличности в течение 10 дней у 78,3-76,0% животных при 55,2% в ко</w:t>
      </w:r>
      <w:r>
        <w:t>н</w:t>
      </w:r>
      <w:r>
        <w:t xml:space="preserve">троле. Оплодотворяемость осемененных свиноматок при назначении ПГ-600 составила 88,9%, ФСГ-супер – 78,9%, в контрольной группе – 81,2%. В данный половой цикл после назначения ПГ-600 оплодотворилось 69,6% </w:t>
      </w:r>
      <w:r>
        <w:lastRenderedPageBreak/>
        <w:t>свинок, ФСГ-супер – 60,0%, в контроле – 44,8%. Плодовитость каждой о</w:t>
      </w:r>
      <w:r>
        <w:t>п</w:t>
      </w:r>
      <w:r>
        <w:t>лодотворенной свиноматки составила соответственно 10,8; 10,6 и 9,9 пор</w:t>
      </w:r>
      <w:r>
        <w:t>о</w:t>
      </w:r>
      <w:r>
        <w:t>сят. На каждую включенную в опыт свиноматку получено по 7,4; 6,4 и 4,4 поросенка, выход приплода увеличился на 68,2-45,4%.</w:t>
      </w:r>
    </w:p>
    <w:p w:rsidR="00F4654E" w:rsidRDefault="00F4654E">
      <w:pPr>
        <w:pStyle w:val="a6"/>
      </w:pPr>
      <w:r>
        <w:t>В итоге, результаты выполненных экспериментальных и научно-производственных исследований позволяют рекомендовать гонадотропные препараты для более широкого применения в свиноводстве с целью акт</w:t>
      </w:r>
      <w:r>
        <w:t>и</w:t>
      </w:r>
      <w:r>
        <w:t>визации воспроизводительной функции и повышения плодовитости св</w:t>
      </w:r>
      <w:r>
        <w:t>и</w:t>
      </w:r>
      <w:r>
        <w:t>номаток. Наибольшая эффективность достигается при назначении спец</w:t>
      </w:r>
      <w:r>
        <w:t>и</w:t>
      </w:r>
      <w:r>
        <w:t>фических гонадотропных препаратов в сочетании с ХГ.</w:t>
      </w:r>
    </w:p>
    <w:p w:rsidR="00F4654E" w:rsidRDefault="00F4654E">
      <w:pPr>
        <w:pStyle w:val="a4"/>
      </w:pPr>
      <w:r>
        <w:t>УДК 636.23:636.082.4.</w:t>
      </w:r>
    </w:p>
    <w:p w:rsidR="00F4654E" w:rsidRDefault="00F4654E">
      <w:pPr>
        <w:pStyle w:val="1"/>
      </w:pPr>
      <w:bookmarkStart w:id="3602" w:name="_Toc10731458"/>
      <w:bookmarkStart w:id="3603" w:name="_Toc11137897"/>
      <w:bookmarkStart w:id="3604" w:name="_Toc11138315"/>
      <w:bookmarkStart w:id="3605" w:name="_Toc11138733"/>
      <w:bookmarkStart w:id="3606" w:name="_Toc11139151"/>
      <w:bookmarkStart w:id="3607" w:name="_Toc11139569"/>
      <w:bookmarkStart w:id="3608" w:name="_Toc11139987"/>
      <w:bookmarkStart w:id="3609" w:name="_Toc11140405"/>
      <w:bookmarkStart w:id="3610" w:name="_Toc11390513"/>
      <w:bookmarkStart w:id="3611" w:name="_Toc11840196"/>
      <w:bookmarkStart w:id="3612" w:name="_Toc11937734"/>
      <w:r>
        <w:t>СРАВНИТЕЛЬНАЯ ОЦЕНКА РЕПРОДУКТИВНОЙ ФУНКЦИИ КОРОВ СИММЕНТАЛЬСКОЙ И КРАСНО-ПЁСТРОЙ ГОЛШТИНСКОЙ ПОРОД РАЗНЫХ ГЕНОТИПОВ</w:t>
      </w:r>
      <w:bookmarkEnd w:id="3602"/>
      <w:bookmarkEnd w:id="3603"/>
      <w:bookmarkEnd w:id="3604"/>
      <w:bookmarkEnd w:id="3605"/>
      <w:bookmarkEnd w:id="3606"/>
      <w:bookmarkEnd w:id="3607"/>
      <w:bookmarkEnd w:id="3608"/>
      <w:bookmarkEnd w:id="3609"/>
      <w:bookmarkEnd w:id="3610"/>
      <w:bookmarkEnd w:id="3611"/>
      <w:bookmarkEnd w:id="3612"/>
    </w:p>
    <w:p w:rsidR="00F4654E" w:rsidRDefault="00F4654E">
      <w:pPr>
        <w:pStyle w:val="2"/>
      </w:pPr>
      <w:bookmarkStart w:id="3613" w:name="_Toc10731459"/>
      <w:bookmarkStart w:id="3614" w:name="_Toc11032311"/>
      <w:bookmarkStart w:id="3615" w:name="_Toc11137898"/>
      <w:bookmarkStart w:id="3616" w:name="_Toc11138316"/>
      <w:bookmarkStart w:id="3617" w:name="_Toc11138734"/>
      <w:bookmarkStart w:id="3618" w:name="_Toc11139152"/>
      <w:bookmarkStart w:id="3619" w:name="_Toc11139570"/>
      <w:bookmarkStart w:id="3620" w:name="_Toc11139988"/>
      <w:bookmarkStart w:id="3621" w:name="_Toc11140406"/>
      <w:bookmarkStart w:id="3622" w:name="_Toc11390514"/>
      <w:bookmarkStart w:id="3623" w:name="_Toc11937735"/>
      <w:r>
        <w:t>Нежданов А.Г., Попов Л. К.*, Попова И.С.*</w:t>
      </w:r>
      <w:bookmarkEnd w:id="3613"/>
      <w:bookmarkEnd w:id="3614"/>
      <w:bookmarkEnd w:id="3615"/>
      <w:bookmarkEnd w:id="3616"/>
      <w:bookmarkEnd w:id="3617"/>
      <w:bookmarkEnd w:id="3618"/>
      <w:bookmarkEnd w:id="3619"/>
      <w:bookmarkEnd w:id="3620"/>
      <w:bookmarkEnd w:id="3621"/>
      <w:bookmarkEnd w:id="3622"/>
      <w:bookmarkEnd w:id="3623"/>
    </w:p>
    <w:p w:rsidR="00F4654E" w:rsidRDefault="00F4654E">
      <w:pPr>
        <w:pStyle w:val="a5"/>
      </w:pPr>
      <w:r>
        <w:t xml:space="preserve">Воронежский государственный аграрный университет им. К.Д. Глинки </w:t>
      </w:r>
      <w:r>
        <w:br/>
        <w:t xml:space="preserve">*Мичуринский государственный аграрный университет  </w:t>
      </w:r>
    </w:p>
    <w:p w:rsidR="00F4654E" w:rsidRDefault="00F4654E">
      <w:pPr>
        <w:pStyle w:val="a6"/>
      </w:pPr>
      <w:r>
        <w:t>Одной из распространенных пород крупного рогатого скота, культ</w:t>
      </w:r>
      <w:r>
        <w:t>и</w:t>
      </w:r>
      <w:r>
        <w:t>вируемых в Центрально-Черноземной зоне, является симментальский скот. Это животные комбинированного направления, имеющие сравнительно высокие привесы и молочную продуктивность (4 тысячи литров за лакт</w:t>
      </w:r>
      <w:r>
        <w:t>а</w:t>
      </w:r>
      <w:r>
        <w:t>цию и более). Однако, в целях повышения молочной продуктивности (без потерь мясных качеств), в ряде хозяйств Центрально-Черноземной зоны было проведено скрещивание симментальского скота с чисто молочным скотом красно-пестрой голштинской породы.</w:t>
      </w:r>
    </w:p>
    <w:p w:rsidR="00F4654E" w:rsidRDefault="00F4654E">
      <w:pPr>
        <w:pStyle w:val="a6"/>
      </w:pPr>
      <w:r>
        <w:t>В печати встречаются противоречивые данные о том, как влияет пр</w:t>
      </w:r>
      <w:r>
        <w:t>о</w:t>
      </w:r>
      <w:r>
        <w:t>ведение голштинизации чистопородных симментальских стад на воспр</w:t>
      </w:r>
      <w:r>
        <w:t>о</w:t>
      </w:r>
      <w:r>
        <w:t>изводительную способность помесных животных. Некоторые источники отмечают снижение репродуктивной функции полученных животных в у</w:t>
      </w:r>
      <w:r>
        <w:t>с</w:t>
      </w:r>
      <w:r>
        <w:t>ловиях РФ, связывая полученные данные со спецификой ведения скот</w:t>
      </w:r>
      <w:r>
        <w:t>о</w:t>
      </w:r>
      <w:r>
        <w:t>водства на территории нашей страны.</w:t>
      </w:r>
    </w:p>
    <w:p w:rsidR="00F4654E" w:rsidRDefault="00F4654E">
      <w:pPr>
        <w:pStyle w:val="a6"/>
      </w:pPr>
      <w:r>
        <w:t>Исходя из этого, были проведены исследования, направленные на сравнительную оценку воспроизводительной функции чистопородного сим-ментальского и красно-пестрого голштинского скота и их помесей разной степени кровности.</w:t>
      </w:r>
    </w:p>
    <w:p w:rsidR="00F4654E" w:rsidRDefault="00F4654E">
      <w:pPr>
        <w:pStyle w:val="a6"/>
      </w:pPr>
      <w:r>
        <w:t>Материалом для проведения исследований служили 488 высокопр</w:t>
      </w:r>
      <w:r>
        <w:t>о</w:t>
      </w:r>
      <w:r>
        <w:t>дуктивных чистопородных коров симментальской породы разных лакт</w:t>
      </w:r>
      <w:r>
        <w:t>а</w:t>
      </w:r>
      <w:r>
        <w:t>ций, принадлежащих учебному хозяйству-племзаводу “Комсомолец” МГАУ Тамбовской области, 244 высокопродуктивных чистопородных к</w:t>
      </w:r>
      <w:r>
        <w:t>о</w:t>
      </w:r>
      <w:r>
        <w:t>ров красно-пестрой голштинской породы (КПГ) канадской и западноге</w:t>
      </w:r>
      <w:r>
        <w:t>р</w:t>
      </w:r>
      <w:r>
        <w:t xml:space="preserve">манской селекции разных лактаций и 545 помесных животных (409 коров </w:t>
      </w:r>
      <w:r>
        <w:lastRenderedPageBreak/>
        <w:t>1/2 КПГ</w:t>
      </w:r>
      <w:r>
        <w:sym w:font="Symbol" w:char="F0B4"/>
      </w:r>
      <w:r>
        <w:t>1/2 симм. и 136 – 3/4 КПГ</w:t>
      </w:r>
      <w:r>
        <w:sym w:font="Symbol" w:char="F0B4"/>
      </w:r>
      <w:r>
        <w:t>1/4 симм.), принадлежащих госпле</w:t>
      </w:r>
      <w:r>
        <w:t>м</w:t>
      </w:r>
      <w:r>
        <w:t>заводу им. Ленина Староюрьевского района Тамбовской области.</w:t>
      </w:r>
    </w:p>
    <w:p w:rsidR="00F4654E" w:rsidRDefault="00F4654E">
      <w:pPr>
        <w:pStyle w:val="a6"/>
      </w:pPr>
      <w:r>
        <w:t>Анализ репродуктивной функции у коров проводили путем изучения записей в племенных книгах и карточках, журналах случек и отелов.</w:t>
      </w:r>
    </w:p>
    <w:p w:rsidR="00F4654E" w:rsidRDefault="00F4654E">
      <w:pPr>
        <w:pStyle w:val="a6"/>
      </w:pPr>
      <w:r>
        <w:t>Результаты исследований показали, что статистически достоверно меньше возраст первого и плодотворного осеменения (P&gt;0,001) у телок красно-пестрой голштинской породы всех степеней кровности (у чистоп</w:t>
      </w:r>
      <w:r>
        <w:t>о</w:t>
      </w:r>
      <w:r>
        <w:t>родных телок симментальской породы составил 22,13±0,28 мес., у чист</w:t>
      </w:r>
      <w:r>
        <w:t>о</w:t>
      </w:r>
      <w:r>
        <w:t>породных телок красно-пестрой голштинской породы – 18,48±0,3 мес., у помесных животных – 18,53±2,00 мес. (1/2 КПГ</w:t>
      </w:r>
      <w:r>
        <w:sym w:font="Symbol" w:char="F0B4"/>
      </w:r>
      <w:r>
        <w:t>1/2 сим.) и 19,03±2,61 мес.  (3/4 КПГ</w:t>
      </w:r>
      <w:r>
        <w:sym w:font="Symbol" w:char="F0B4"/>
      </w:r>
      <w:r>
        <w:t xml:space="preserve">1/4 сим.); возраст плодотворного осеменения у чистопородных телок симментальской породы составил 25,45±0,51 мес., у чистопородных телок КПГ породы – 20,53±0,53 мес., у помесных телок –19,67±0,27 и 21,15±0,68 мес. соответственно). </w:t>
      </w:r>
    </w:p>
    <w:p w:rsidR="00F4654E" w:rsidRDefault="00F4654E">
      <w:pPr>
        <w:pStyle w:val="a6"/>
      </w:pPr>
      <w:r>
        <w:t>Достоверная разница по живой массе при первом осеменении отсутс</w:t>
      </w:r>
      <w:r>
        <w:t>т</w:t>
      </w:r>
      <w:r>
        <w:t>вует только между  чистопородных телками симментальской (383,33±1,26 кг) и красно-пестрой голштинской (385,86 ± 3,38 кг) породы (P&lt;0,95), в о</w:t>
      </w:r>
      <w:r>
        <w:t>с</w:t>
      </w:r>
      <w:r>
        <w:t>тальных случаях (в сравнении с помесными животными) разница стат</w:t>
      </w:r>
      <w:r>
        <w:t>и</w:t>
      </w:r>
      <w:r>
        <w:t>стически достоверна – P&gt;0,05 (368,61±2,65 кг) и P&gt;0,01 (377,27±4,53 кг) соответственно.</w:t>
      </w:r>
    </w:p>
    <w:p w:rsidR="00F4654E" w:rsidRDefault="00F4654E">
      <w:pPr>
        <w:pStyle w:val="a6"/>
      </w:pPr>
      <w:r>
        <w:t>Статистически достоверная разница в продолжительности беременн</w:t>
      </w:r>
      <w:r>
        <w:t>о</w:t>
      </w:r>
      <w:r>
        <w:t>сти установлена: по I лактации между ч/п симменталами и помесными ж</w:t>
      </w:r>
      <w:r>
        <w:t>и</w:t>
      </w:r>
      <w:r>
        <w:t>вотными (P&gt;0,001), по II – между ч/п симментальским и ч/п красно-пестрым голштинским (P&gt;0,05) и полукровным скотом (P&gt;0,01), по III – между симментальским и полукровным скотом (P&gt;0,01, у ч/п симменталов беременность короче), по IV (P&gt;0,01) и V (P&gt;0,05) – между симментал</w:t>
      </w:r>
      <w:r>
        <w:t>ь</w:t>
      </w:r>
      <w:r>
        <w:t>ским и 3/4 КПГ</w:t>
      </w:r>
      <w:r>
        <w:sym w:font="Symbol" w:char="F0B4"/>
      </w:r>
      <w:r>
        <w:t>1/4 сим. скотом (у симменталов – длиннее).</w:t>
      </w:r>
    </w:p>
    <w:p w:rsidR="00F4654E" w:rsidRDefault="00F4654E">
      <w:pPr>
        <w:pStyle w:val="a6"/>
      </w:pPr>
      <w:r>
        <w:t>Статистически достоверная разница в продолжительности периода от отела до первого осеменения есть только по I и II лактациям между ч/п симментальским скотом и полукровными животными (P&gt;0,05 и P&gt;0,01 с</w:t>
      </w:r>
      <w:r>
        <w:t>о</w:t>
      </w:r>
      <w:r>
        <w:t>ответственно), причем этот период меньше именно у полукровных живо</w:t>
      </w:r>
      <w:r>
        <w:t>т</w:t>
      </w:r>
      <w:r>
        <w:t>ных. Продолжительность периода от отела до плодотворного осеменения (и соответственно дни бесплодия) по I и II лактациям статистически дост</w:t>
      </w:r>
      <w:r>
        <w:t>о</w:t>
      </w:r>
      <w:r>
        <w:t>верно ниже у животных красно-пестрой голштинской породы всех степ</w:t>
      </w:r>
      <w:r>
        <w:t>е</w:t>
      </w:r>
      <w:r>
        <w:t xml:space="preserve">ней кровности (P&gt;0,001, только по I лактации между ч/п животными P&gt;0,05). </w:t>
      </w:r>
    </w:p>
    <w:p w:rsidR="00F4654E" w:rsidRDefault="00F4654E">
      <w:pPr>
        <w:pStyle w:val="a6"/>
      </w:pPr>
      <w:r>
        <w:t>Индекс осеменения практически у всех животных был статистически недостоверен (только между чистопородными животными V лактации он лучше у красно-пестрой голштинской породы (P&gt;0,05), и колебался в пр</w:t>
      </w:r>
      <w:r>
        <w:t>е</w:t>
      </w:r>
      <w:r>
        <w:t>делах от 1,30±0,14 (I лактация 3/4 КПГ</w:t>
      </w:r>
      <w:r>
        <w:sym w:font="Symbol" w:char="F0B4"/>
      </w:r>
      <w:r>
        <w:t>1/4 сим.) до 2,19±0,28 (V лактация ч/п симменталов).</w:t>
      </w:r>
    </w:p>
    <w:p w:rsidR="00F4654E" w:rsidRDefault="00F4654E">
      <w:pPr>
        <w:pStyle w:val="a6"/>
      </w:pPr>
      <w:r>
        <w:t xml:space="preserve">Таким образом, как показали результаты исследований в условиях Тамбовской области Центрально-Черноземной зоны, воспроизводительная </w:t>
      </w:r>
      <w:r>
        <w:lastRenderedPageBreak/>
        <w:t>функция высокопродуктивных животных красно-пестрой голштинской п</w:t>
      </w:r>
      <w:r>
        <w:t>о</w:t>
      </w:r>
      <w:r>
        <w:t>роды (чистопородных и помесных с симментальским скотом) не только не хуже, но и даже по некоторым показателям превышает таковую у чистоп</w:t>
      </w:r>
      <w:r>
        <w:t>о</w:t>
      </w:r>
      <w:r>
        <w:t>родных симментальских коров. А так как молочная продуктивность кра</w:t>
      </w:r>
      <w:r>
        <w:t>с</w:t>
      </w:r>
      <w:r>
        <w:t>но-пестрого скота и его помесей выше, чем у симменталов, то имеет смысл улучшать репродуктивные качества разводимой в ЦЧЗ симментальской породы путем прилития крови коров красно-пестрой голштинской породы.</w:t>
      </w:r>
    </w:p>
    <w:p w:rsidR="00F4654E" w:rsidRDefault="00F4654E">
      <w:pPr>
        <w:pStyle w:val="a4"/>
      </w:pPr>
      <w:r>
        <w:t>УДК 619:636.32/.38:591.424</w:t>
      </w:r>
    </w:p>
    <w:p w:rsidR="00F4654E" w:rsidRDefault="00F4654E">
      <w:pPr>
        <w:pStyle w:val="1"/>
      </w:pPr>
      <w:bookmarkStart w:id="3624" w:name="_Toc10731460"/>
      <w:bookmarkStart w:id="3625" w:name="_Toc11137899"/>
      <w:bookmarkStart w:id="3626" w:name="_Toc11138317"/>
      <w:bookmarkStart w:id="3627" w:name="_Toc11138735"/>
      <w:bookmarkStart w:id="3628" w:name="_Toc11139153"/>
      <w:bookmarkStart w:id="3629" w:name="_Toc11139571"/>
      <w:bookmarkStart w:id="3630" w:name="_Toc11139989"/>
      <w:bookmarkStart w:id="3631" w:name="_Toc11140407"/>
      <w:bookmarkStart w:id="3632" w:name="_Toc11390515"/>
      <w:bookmarkStart w:id="3633" w:name="_Toc11840200"/>
      <w:bookmarkStart w:id="3634" w:name="_Toc11937736"/>
      <w:r>
        <w:t xml:space="preserve">ЕСТЕСТВЕННАЯ РЕЗИСТЕНТНОСТЬ ЯГНЯТ </w:t>
      </w:r>
      <w:r>
        <w:br/>
        <w:t>АЛТАЙСКОЙ ТОНКОРУННОЙ ПОРОДЫ</w:t>
      </w:r>
      <w:bookmarkEnd w:id="3624"/>
      <w:bookmarkEnd w:id="3625"/>
      <w:bookmarkEnd w:id="3626"/>
      <w:bookmarkEnd w:id="3627"/>
      <w:bookmarkEnd w:id="3628"/>
      <w:bookmarkEnd w:id="3629"/>
      <w:bookmarkEnd w:id="3630"/>
      <w:bookmarkEnd w:id="3631"/>
      <w:bookmarkEnd w:id="3632"/>
      <w:bookmarkEnd w:id="3633"/>
      <w:bookmarkEnd w:id="3634"/>
    </w:p>
    <w:p w:rsidR="00F4654E" w:rsidRDefault="00F4654E">
      <w:pPr>
        <w:pStyle w:val="2"/>
      </w:pPr>
      <w:bookmarkStart w:id="3635" w:name="_Toc10731461"/>
      <w:bookmarkStart w:id="3636" w:name="_Toc11032312"/>
      <w:bookmarkStart w:id="3637" w:name="_Toc11137900"/>
      <w:bookmarkStart w:id="3638" w:name="_Toc11138318"/>
      <w:bookmarkStart w:id="3639" w:name="_Toc11138736"/>
      <w:bookmarkStart w:id="3640" w:name="_Toc11139154"/>
      <w:bookmarkStart w:id="3641" w:name="_Toc11139572"/>
      <w:bookmarkStart w:id="3642" w:name="_Toc11139990"/>
      <w:bookmarkStart w:id="3643" w:name="_Toc11140408"/>
      <w:bookmarkStart w:id="3644" w:name="_Toc11390516"/>
      <w:bookmarkStart w:id="3645" w:name="_Toc11937737"/>
      <w:r>
        <w:t>Неумывакина Н.А.</w:t>
      </w:r>
      <w:bookmarkEnd w:id="3635"/>
      <w:bookmarkEnd w:id="3636"/>
      <w:bookmarkEnd w:id="3637"/>
      <w:bookmarkEnd w:id="3638"/>
      <w:bookmarkEnd w:id="3639"/>
      <w:bookmarkEnd w:id="3640"/>
      <w:bookmarkEnd w:id="3641"/>
      <w:bookmarkEnd w:id="3642"/>
      <w:bookmarkEnd w:id="3643"/>
      <w:bookmarkEnd w:id="3644"/>
      <w:bookmarkEnd w:id="3645"/>
    </w:p>
    <w:p w:rsidR="00F4654E" w:rsidRDefault="00F4654E">
      <w:pPr>
        <w:pStyle w:val="a5"/>
      </w:pPr>
      <w:r>
        <w:t>Алтайский государственный аграрный университет</w:t>
      </w:r>
    </w:p>
    <w:p w:rsidR="00F4654E" w:rsidRDefault="00F4654E">
      <w:pPr>
        <w:pStyle w:val="a6"/>
      </w:pPr>
      <w:r>
        <w:t>Известно, что развитие плода и сохранность новорожденных во мн</w:t>
      </w:r>
      <w:r>
        <w:t>о</w:t>
      </w:r>
      <w:r>
        <w:t>гом зависят от уровня обмена и состояния здоровья матерей. Поэтому н</w:t>
      </w:r>
      <w:r>
        <w:t>е</w:t>
      </w:r>
      <w:r>
        <w:t>достаточное или неполноценное кормление маток во второй  половине с</w:t>
      </w:r>
      <w:r>
        <w:t>у</w:t>
      </w:r>
      <w:r>
        <w:t>ягности приводит к снижению массы приплода, рождению ягнят с низкой естественной резистентностью (выживаемость ягнят при рождении ниже 2 кг составляет около 10%).</w:t>
      </w:r>
    </w:p>
    <w:p w:rsidR="00F4654E" w:rsidRDefault="00F4654E">
      <w:pPr>
        <w:pStyle w:val="a6"/>
      </w:pPr>
      <w:r>
        <w:t>Поражение органов матери приводит к альтерации одноименного о</w:t>
      </w:r>
      <w:r>
        <w:t>р</w:t>
      </w:r>
      <w:r>
        <w:t>гана плода, что обуславливает в постнатальном периоде функциональную неполноценность и предрасположение к заболеваниям тех органов, кот</w:t>
      </w:r>
      <w:r>
        <w:t>о</w:t>
      </w:r>
      <w:r>
        <w:t xml:space="preserve">рые были поражены у матери в период беременности </w:t>
      </w:r>
    </w:p>
    <w:p w:rsidR="00F4654E" w:rsidRDefault="00F4654E">
      <w:pPr>
        <w:pStyle w:val="a6"/>
      </w:pPr>
      <w:r>
        <w:t>На ранних доклинических, так называемых латентных, скрытых ст</w:t>
      </w:r>
      <w:r>
        <w:t>а</w:t>
      </w:r>
      <w:r>
        <w:t>диях развития патологии обмена веществ, уже снижается интенсивность энергетических и пластических процессов в клетках и тканях, что ведет к снижению продуктивности. Установлено, что даже кратковременное (3-5 дней) переболевание респираторными и другими незаразными болезнями в клинической форме, после излечения не ведет к полному морфофункци</w:t>
      </w:r>
      <w:r>
        <w:t>о</w:t>
      </w:r>
      <w:r>
        <w:t>нальному восстановлению пораженных органов и систем, и клинически здоровые переболевшие животные, особенно молодняк, не полностью пр</w:t>
      </w:r>
      <w:r>
        <w:t>о</w:t>
      </w:r>
      <w:r>
        <w:t>являют потенциал продуктивности в последующем, даже при создании о</w:t>
      </w:r>
      <w:r>
        <w:t>п</w:t>
      </w:r>
      <w:r>
        <w:t>тимальных условий кормления и содержания.</w:t>
      </w:r>
    </w:p>
    <w:p w:rsidR="00F4654E" w:rsidRDefault="00F4654E">
      <w:pPr>
        <w:pStyle w:val="a6"/>
      </w:pPr>
      <w:r>
        <w:t>При нарушении кормления овцематок в случной и суягный периоды могут рождаться ягнята с врожденной пневмопатией. Приобретенная пневмопатия возникает при неполноценном кормлении кормящих овцем</w:t>
      </w:r>
      <w:r>
        <w:t>а</w:t>
      </w:r>
      <w:r>
        <w:t>ток, при заболевании маток и ягнят кетозом.</w:t>
      </w:r>
    </w:p>
    <w:p w:rsidR="00F4654E" w:rsidRDefault="00F4654E">
      <w:pPr>
        <w:pStyle w:val="a6"/>
      </w:pPr>
      <w:r>
        <w:t>В связи с угнетением и блокадой  соответствующих ферментных си</w:t>
      </w:r>
      <w:r>
        <w:t>с</w:t>
      </w:r>
      <w:r>
        <w:t>тем, кетоновые тела не «сгорают», а циркулируют в крови, тканевой жи</w:t>
      </w:r>
      <w:r>
        <w:t>д</w:t>
      </w:r>
      <w:r>
        <w:t xml:space="preserve">кости, выделяются  легкими, печенью, органами пищеварения, почками, обуславливая  в них  развитие зернистой дистрофии, некробиотических процессов, воспалительной реакции, жировой инфильтрации и жировой </w:t>
      </w:r>
      <w:r>
        <w:lastRenderedPageBreak/>
        <w:t>дистрофии; снижение содержания полисахаридных субстанций в повер</w:t>
      </w:r>
      <w:r>
        <w:t>х</w:t>
      </w:r>
      <w:r>
        <w:t>ностном аппарате клеток, в базальных мембранах, почти полным исчезн</w:t>
      </w:r>
      <w:r>
        <w:t>о</w:t>
      </w:r>
      <w:r>
        <w:t>вением гликогена. Этими изменениями обуславливаются микроциркул</w:t>
      </w:r>
      <w:r>
        <w:t>я</w:t>
      </w:r>
      <w:r>
        <w:t>торные расстройства и нарушение функции ферментных систем клеток, ответственных за течение обменных процессов внутри клеток и между их окружением. Развиваются нарушения в системе ауторегуляции. Организм впадает в состояние затяжного стресса и дистресса.</w:t>
      </w:r>
    </w:p>
    <w:p w:rsidR="00F4654E" w:rsidRDefault="00F4654E">
      <w:pPr>
        <w:pStyle w:val="a6"/>
      </w:pPr>
      <w:r>
        <w:t>Предупреждение патологии обмена веществ, своевременная диагн</w:t>
      </w:r>
      <w:r>
        <w:t>о</w:t>
      </w:r>
      <w:r>
        <w:t>стика гипогликемического и субклинического кетоза овцематок и новор</w:t>
      </w:r>
      <w:r>
        <w:t>о</w:t>
      </w:r>
      <w:r>
        <w:t>жденных ягнят  способствуют значительному сокращению заболеваний и повышению сохранности животных и их продуктивности.</w:t>
      </w:r>
    </w:p>
    <w:p w:rsidR="00F4654E" w:rsidRDefault="00F4654E">
      <w:pPr>
        <w:pStyle w:val="a6"/>
      </w:pPr>
      <w:r>
        <w:t>Ягнят с признаками фетопатии (гипотрофики, слабые и др.) и пневм</w:t>
      </w:r>
      <w:r>
        <w:t>о</w:t>
      </w:r>
      <w:r>
        <w:t>патии надо считать животными повышенного риска. Таких животных надо изолировать в отдельные группы и создавать им особые условия кормл</w:t>
      </w:r>
      <w:r>
        <w:t>е</w:t>
      </w:r>
      <w:r>
        <w:t>ния, ухода и содержания. Прежде всего обеспечить полноценным кормл</w:t>
      </w:r>
      <w:r>
        <w:t>е</w:t>
      </w:r>
      <w:r>
        <w:t>нием, обратив внимание на предупреждение гипогликемии и гипотермии. Овц</w:t>
      </w:r>
      <w:r>
        <w:t>е</w:t>
      </w:r>
      <w:r>
        <w:t>матки, кормящие ягнят, должны быть здоровыми. Если они страдают нарушением обмена веществ, то начинать мероприятия следует с их леч</w:t>
      </w:r>
      <w:r>
        <w:t>е</w:t>
      </w:r>
      <w:r>
        <w:t>ния.</w:t>
      </w:r>
    </w:p>
    <w:p w:rsidR="00F4654E" w:rsidRDefault="00F4654E">
      <w:pPr>
        <w:pStyle w:val="a6"/>
      </w:pPr>
      <w:r>
        <w:t>На основании этих данных, вероятно, будет целесообразно рекоме</w:t>
      </w:r>
      <w:r>
        <w:t>н</w:t>
      </w:r>
      <w:r>
        <w:t>довать хозяйствам, где часто нарушается кормление, овец-матерей и пр</w:t>
      </w:r>
      <w:r>
        <w:t>и</w:t>
      </w:r>
      <w:r>
        <w:t>плод с указанной патологией не использовать в качестве материала для воспроизводства.</w:t>
      </w:r>
    </w:p>
    <w:p w:rsidR="00F4654E" w:rsidRDefault="00F4654E">
      <w:pPr>
        <w:pStyle w:val="a4"/>
      </w:pPr>
      <w:r>
        <w:t>УДК 619.616.981.48.036.2.636.5</w:t>
      </w:r>
    </w:p>
    <w:p w:rsidR="00F4654E" w:rsidRDefault="00F4654E">
      <w:pPr>
        <w:pStyle w:val="1"/>
      </w:pPr>
      <w:bookmarkStart w:id="3646" w:name="_Toc10731470"/>
      <w:bookmarkStart w:id="3647" w:name="_Toc11137907"/>
      <w:bookmarkStart w:id="3648" w:name="_Toc11138325"/>
      <w:bookmarkStart w:id="3649" w:name="_Toc11138743"/>
      <w:bookmarkStart w:id="3650" w:name="_Toc11139161"/>
      <w:bookmarkStart w:id="3651" w:name="_Toc11139579"/>
      <w:bookmarkStart w:id="3652" w:name="_Toc11139997"/>
      <w:bookmarkStart w:id="3653" w:name="_Toc11140415"/>
      <w:bookmarkStart w:id="3654" w:name="_Toc11390523"/>
      <w:bookmarkStart w:id="3655" w:name="_Toc11840202"/>
      <w:bookmarkStart w:id="3656" w:name="_Toc11937738"/>
      <w:r>
        <w:t xml:space="preserve">ПРИМЕНЕНИЕ ВАКЦИНЫ ПРОТИВ КОЛИБАКТЕРИОЗА ПТИЦ </w:t>
      </w:r>
      <w:r>
        <w:br/>
        <w:t>С ИММУНОСТИМУЛЯТОРОМ</w:t>
      </w:r>
      <w:bookmarkEnd w:id="3646"/>
      <w:bookmarkEnd w:id="3647"/>
      <w:bookmarkEnd w:id="3648"/>
      <w:bookmarkEnd w:id="3649"/>
      <w:bookmarkEnd w:id="3650"/>
      <w:bookmarkEnd w:id="3651"/>
      <w:bookmarkEnd w:id="3652"/>
      <w:bookmarkEnd w:id="3653"/>
      <w:bookmarkEnd w:id="3654"/>
      <w:bookmarkEnd w:id="3655"/>
      <w:bookmarkEnd w:id="3656"/>
    </w:p>
    <w:p w:rsidR="00F4654E" w:rsidRDefault="00F4654E">
      <w:pPr>
        <w:pStyle w:val="2"/>
      </w:pPr>
      <w:bookmarkStart w:id="3657" w:name="_Toc10731471"/>
      <w:bookmarkStart w:id="3658" w:name="_Toc11032316"/>
      <w:bookmarkStart w:id="3659" w:name="_Toc11137908"/>
      <w:bookmarkStart w:id="3660" w:name="_Toc11138326"/>
      <w:bookmarkStart w:id="3661" w:name="_Toc11138744"/>
      <w:bookmarkStart w:id="3662" w:name="_Toc11139162"/>
      <w:bookmarkStart w:id="3663" w:name="_Toc11139580"/>
      <w:bookmarkStart w:id="3664" w:name="_Toc11139998"/>
      <w:bookmarkStart w:id="3665" w:name="_Toc11140416"/>
      <w:bookmarkStart w:id="3666" w:name="_Toc11390524"/>
      <w:bookmarkStart w:id="3667" w:name="_Toc11937739"/>
      <w:r>
        <w:t>Ниязов Ф. А., Шукуров Ш. М., Маркова С. И.</w:t>
      </w:r>
      <w:bookmarkEnd w:id="3657"/>
      <w:bookmarkEnd w:id="3658"/>
      <w:bookmarkEnd w:id="3659"/>
      <w:bookmarkEnd w:id="3660"/>
      <w:bookmarkEnd w:id="3661"/>
      <w:bookmarkEnd w:id="3662"/>
      <w:bookmarkEnd w:id="3663"/>
      <w:bookmarkEnd w:id="3664"/>
      <w:bookmarkEnd w:id="3665"/>
      <w:bookmarkEnd w:id="3666"/>
      <w:bookmarkEnd w:id="3667"/>
    </w:p>
    <w:p w:rsidR="00F4654E" w:rsidRDefault="00F4654E">
      <w:pPr>
        <w:pStyle w:val="a5"/>
      </w:pPr>
      <w:r>
        <w:t>Узбекский научно-исследовательский институт ветеринарии</w:t>
      </w:r>
    </w:p>
    <w:p w:rsidR="00F4654E" w:rsidRDefault="00F4654E">
      <w:pPr>
        <w:pStyle w:val="a6"/>
      </w:pPr>
      <w:r>
        <w:tab/>
        <w:t>Развитие современного птицеводства с его концентрацией, специф</w:t>
      </w:r>
      <w:r>
        <w:t>и</w:t>
      </w:r>
      <w:r>
        <w:t>кацией и интенсификацией в последние годы, как в Узбекистане так и за его пределами, сопровождается значительными потерями, связанными с заболеваниями птиц. Особое распространение получили массовые забол</w:t>
      </w:r>
      <w:r>
        <w:t>е</w:t>
      </w:r>
      <w:r>
        <w:t>вания желудочно-кишечного тракта. Значительный удельный вес в патол</w:t>
      </w:r>
      <w:r>
        <w:t>о</w:t>
      </w:r>
      <w:r>
        <w:t>гии инфекционных болезней птиц занимает колибактериоз.</w:t>
      </w:r>
    </w:p>
    <w:p w:rsidR="00F4654E" w:rsidRDefault="00F4654E">
      <w:pPr>
        <w:pStyle w:val="a6"/>
      </w:pPr>
      <w:r>
        <w:t>Несмотря на достигнутые успехи в науке, положение с этим заболев</w:t>
      </w:r>
      <w:r>
        <w:t>а</w:t>
      </w:r>
      <w:r>
        <w:t>нием продолжает оставаться тяжелым во многих странах мира, в том числе и в нашей республике. Экономический ущерб, наносимый этой болезнью, складывается из падежа, недополучения продукции в результате отстав</w:t>
      </w:r>
      <w:r>
        <w:t>а</w:t>
      </w:r>
      <w:r>
        <w:t>ния в росте и развитии организма птицы, а также больших расходов на проведение ветеринарно-санитарных мероприятий, применительно к мес</w:t>
      </w:r>
      <w:r>
        <w:t>т</w:t>
      </w:r>
      <w:r>
        <w:t xml:space="preserve">ным условиям и с учетом особенностей ведения птицеводства в нашей </w:t>
      </w:r>
      <w:r>
        <w:lastRenderedPageBreak/>
        <w:t>республике. С целью предупреждения колибактериоза М. А. Артемьев (1972) предлагал для дезинфекции содержимого кишечника применять ацидофильную простоквашу, пропионово-ацидофильную культуру, а для снижения воспаления слизистой оболочки периодически необходимо вв</w:t>
      </w:r>
      <w:r>
        <w:t>о</w:t>
      </w:r>
      <w:r>
        <w:t>дить в питье азотнокислое серебро из расчета 0,25 г препарата серебра на 10 л воды в течение десяти дней подряд.</w:t>
      </w:r>
    </w:p>
    <w:p w:rsidR="00F4654E" w:rsidRDefault="00F4654E">
      <w:pPr>
        <w:pStyle w:val="a6"/>
      </w:pPr>
      <w:r>
        <w:t>По данным С. А. Артемьевой (1977) эффективными при колибакт</w:t>
      </w:r>
      <w:r>
        <w:t>е</w:t>
      </w:r>
      <w:r>
        <w:t>риозе были препараты нитрофуранового ряда, которые применялись из расчета 2-3 мг в течение 7-10 дней, начиная с суточного возраста. Высокий лечебный эффект она получала от совестного применения нитрофуран</w:t>
      </w:r>
      <w:r>
        <w:t>о</w:t>
      </w:r>
      <w:r>
        <w:t>вых препаратов с сульфаниламидами и полимиксином: суточная доза на одну голову нитрофуранов – 2 мг, полимиксина М – 0,4 мг, сульфанилам</w:t>
      </w:r>
      <w:r>
        <w:t>и</w:t>
      </w:r>
      <w:r>
        <w:t>дов – 1 мг. Препараты задавали с 1-го по 10-й день утром и вечером: ни</w:t>
      </w:r>
      <w:r>
        <w:t>т</w:t>
      </w:r>
      <w:r>
        <w:t>рофурановые и сульфаниламидные препараты в корм, полимиксин М – в питье с интервалом в 2 дня в течение 6-7 дней.</w:t>
      </w:r>
    </w:p>
    <w:p w:rsidR="00F4654E" w:rsidRDefault="00F4654E">
      <w:pPr>
        <w:pStyle w:val="a6"/>
      </w:pPr>
      <w:r>
        <w:t>Для лечения колибактериоза 3-х дневных цыплят А. Г. Ахмедова (1968) успешно применяла фуразолидон. Однако, перечисленные авторы получали частичный эффект. В связи с этим, нами были предприняты п</w:t>
      </w:r>
      <w:r>
        <w:t>о</w:t>
      </w:r>
      <w:r>
        <w:t>пытки изготовления жидкой инактивированной гидроокись – алюмини</w:t>
      </w:r>
      <w:r>
        <w:t>е</w:t>
      </w:r>
      <w:r>
        <w:t>вой (ГОА) - формолвакцины против колибактериоза птиц из наиболее ча</w:t>
      </w:r>
      <w:r>
        <w:t>с</w:t>
      </w:r>
      <w:r>
        <w:t>то встречающихся штаммов эшерихий.</w:t>
      </w:r>
    </w:p>
    <w:p w:rsidR="00F4654E" w:rsidRDefault="00F4654E">
      <w:pPr>
        <w:pStyle w:val="a6"/>
      </w:pPr>
      <w:r>
        <w:t>С этой целью нами были выбраны серогруппы 0,26, 055, 078 и 0111.</w:t>
      </w:r>
    </w:p>
    <w:p w:rsidR="00F4654E" w:rsidRDefault="00F4654E">
      <w:pPr>
        <w:pStyle w:val="a6"/>
      </w:pPr>
      <w:r>
        <w:t>Предварительно были детально изучены биологические свойства ук</w:t>
      </w:r>
      <w:r>
        <w:t>а</w:t>
      </w:r>
      <w:r>
        <w:t>занных штаммов. Все изученные штаммы по культурально-морфологичес-ким и биохимическим свойствам были типичными представителями энт</w:t>
      </w:r>
      <w:r>
        <w:t>е</w:t>
      </w:r>
      <w:r>
        <w:t>робактерий. Хорошо росли на простых питательных средах, среде Эндо. Были грамотрицательными, спор и капсул не образовывали, неподвижные и подвижные. Не росли на среде Симмонса, давали отрицательную реа</w:t>
      </w:r>
      <w:r>
        <w:t>к</w:t>
      </w:r>
      <w:r>
        <w:t>цию Фогес-Проскауэра и пробу с метилротом, часть штаммов выделяли сероводород и образовывали индол. Ферментировали с образованием к</w:t>
      </w:r>
      <w:r>
        <w:t>и</w:t>
      </w:r>
      <w:r>
        <w:t>слоты и газа глюкозу, мальтозу, непостоянно – сахарозу, дульцит, лактозу.</w:t>
      </w:r>
    </w:p>
    <w:p w:rsidR="00F4654E" w:rsidRDefault="00F4654E">
      <w:pPr>
        <w:pStyle w:val="a6"/>
      </w:pPr>
      <w:r>
        <w:t>Для изготовления опытной серии вакцины отбирали штаммы, обл</w:t>
      </w:r>
      <w:r>
        <w:t>а</w:t>
      </w:r>
      <w:r>
        <w:t>дающие хорошо выраженными агглютинирующими свойствами. Серот</w:t>
      </w:r>
      <w:r>
        <w:t>и</w:t>
      </w:r>
      <w:r>
        <w:t>пизацию проводили в реакции агглютинации (РА) на стекле, используя п</w:t>
      </w:r>
      <w:r>
        <w:t>о</w:t>
      </w:r>
      <w:r>
        <w:t>ливалентные типоспецифические ОК – сыворотки и живую культуру. З</w:t>
      </w:r>
      <w:r>
        <w:t>а</w:t>
      </w:r>
      <w:r>
        <w:t>тем ставили реакцию с типоспецифическими сыворотками и двумя антиг</w:t>
      </w:r>
      <w:r>
        <w:t>е</w:t>
      </w:r>
      <w:r>
        <w:t>нами – О-прогретым и К-живым. Патогенность всех штаммов проверяли на белых мышах и цыплятах, использовали для изготовления вакцины только патогенные штаммы, не давшие самоагглютинации. Вакцину гот</w:t>
      </w:r>
      <w:r>
        <w:t>о</w:t>
      </w:r>
      <w:r>
        <w:t>вили путем посева каждого штамма отдельно на МПА, через трое суток проводили смыв культур эшерихий стерильным физиологическим раств</w:t>
      </w:r>
      <w:r>
        <w:t>о</w:t>
      </w:r>
      <w:r>
        <w:t>ром. После определения в смыве бактериальной плотности по оптическому стандарту для кишечных палочек и разведения до необходимой конце</w:t>
      </w:r>
      <w:r>
        <w:t>н</w:t>
      </w:r>
      <w:r>
        <w:lastRenderedPageBreak/>
        <w:t>трации, проводили инактивацию формалином (в течение 10 суток) и деп</w:t>
      </w:r>
      <w:r>
        <w:t>о</w:t>
      </w:r>
      <w:r>
        <w:t>нировали гидроокисью алюминия. Каждую серию вакцины проверяли на безвредность – введением по 0,5 мл готового материала белым мышам, стерильность – посевом на питательные среды – МПА, МПБ и среды под вазелиновым маслом для исключения контаминации анаэробной микр</w:t>
      </w:r>
      <w:r>
        <w:t>о</w:t>
      </w:r>
      <w:r>
        <w:t>флоры. Проверяли и активность вакцины, с этой целью ее вводили цыпл</w:t>
      </w:r>
      <w:r>
        <w:t>я</w:t>
      </w:r>
      <w:r>
        <w:t xml:space="preserve">там и затем их заражали патогенным штаммом эшерихий. </w:t>
      </w:r>
    </w:p>
    <w:p w:rsidR="00F4654E" w:rsidRDefault="00F4654E">
      <w:pPr>
        <w:pStyle w:val="a6"/>
      </w:pPr>
      <w:r>
        <w:t>Для изучения иммуностимулирующего действия ковилона на орг</w:t>
      </w:r>
      <w:r>
        <w:t>а</w:t>
      </w:r>
      <w:r>
        <w:t>низм цыплят, привитых жидкой инактивированной ГОА – формол вакц</w:t>
      </w:r>
      <w:r>
        <w:t>и</w:t>
      </w:r>
      <w:r>
        <w:t>ной против колибактериоза птиц был поставлен опыт на одной из птиц</w:t>
      </w:r>
      <w:r>
        <w:t>е</w:t>
      </w:r>
      <w:r>
        <w:t>фабрик яичного направления продуктивности.</w:t>
      </w:r>
    </w:p>
    <w:p w:rsidR="00F4654E" w:rsidRDefault="00F4654E">
      <w:pPr>
        <w:pStyle w:val="a6"/>
      </w:pPr>
      <w:r>
        <w:t>Ковилон разработан Институтом химии и физики полимеров АН РУз, является плазмозаменителем – дезинтоксикатором со стимуляцией кров</w:t>
      </w:r>
      <w:r>
        <w:t>е</w:t>
      </w:r>
      <w:r>
        <w:t>творных органов и иммуногенеза. Это высокоэффективное средство для лечения и профилактики при ожоговых заболеваниях, кровопотерях и ос</w:t>
      </w:r>
      <w:r>
        <w:t>т</w:t>
      </w:r>
      <w:r>
        <w:t>рых желудочно-кишечных заболеваниях. Препарат ковилон является ус</w:t>
      </w:r>
      <w:r>
        <w:t>о</w:t>
      </w:r>
      <w:r>
        <w:t>вершенствованным аналогом препарата гемодез, включает микроэлемен</w:t>
      </w:r>
      <w:r>
        <w:t>т</w:t>
      </w:r>
      <w:r>
        <w:t>ные, ант</w:t>
      </w:r>
      <w:r>
        <w:t>и</w:t>
      </w:r>
      <w:r>
        <w:t>септические и противобродильные добавки. Ковилон повышает общую резистентность организма, стимулирует кроветворение и иммун</w:t>
      </w:r>
      <w:r>
        <w:t>о</w:t>
      </w:r>
      <w:r>
        <w:t>генез.</w:t>
      </w:r>
    </w:p>
    <w:p w:rsidR="00F4654E" w:rsidRDefault="00F4654E">
      <w:pPr>
        <w:pStyle w:val="a6"/>
      </w:pPr>
      <w:r>
        <w:t>В опыт было взято 4,0 тысяч голов цыплят 15-дневного возраста, ра</w:t>
      </w:r>
      <w:r>
        <w:t>з</w:t>
      </w:r>
      <w:r>
        <w:t>деленных на две группы. Первая (опытная) группа цыплят в количестве 3,0 тысяч голов была вакцинирована перорально в дозе 0,2 мл указанной ва</w:t>
      </w:r>
      <w:r>
        <w:t>к</w:t>
      </w:r>
      <w:r>
        <w:t>циной, одновременно этим же цыплятам задавали ковилон в дозе 0,3 мл/кг живой массы. Вторая (контрольная) группа цыплят в количестве 1,0 тысяч голов была привита аналогичной вакциной, но препарат не получала. За опытными и контрольными цыплятами вели клинические наблюдения в течение трех месяцев. В этот период у них ежемесячно брали кровь для и</w:t>
      </w:r>
      <w:r>
        <w:t>с</w:t>
      </w:r>
      <w:r>
        <w:t>следования сывороток в РА для определения продолжительности и напр</w:t>
      </w:r>
      <w:r>
        <w:t>я</w:t>
      </w:r>
      <w:r>
        <w:t>женности поствакцинального иммунитета.</w:t>
      </w:r>
    </w:p>
    <w:p w:rsidR="00F4654E" w:rsidRDefault="00F4654E">
      <w:pPr>
        <w:pStyle w:val="a6"/>
      </w:pPr>
      <w:r>
        <w:t>Проведенный опыт показал, что титры агглютининов у цыплят опы</w:t>
      </w:r>
      <w:r>
        <w:t>т</w:t>
      </w:r>
      <w:r>
        <w:t>ной группы были равны через один месяц – 1:3200, два – 1:1600, три – 1:800, в то время как титры агглютининов у цыплят контрольной группы равнялись – 1:1600, 1:800 и 1:400 соответственно.</w:t>
      </w:r>
    </w:p>
    <w:p w:rsidR="00F4654E" w:rsidRDefault="00F4654E">
      <w:pPr>
        <w:pStyle w:val="a6"/>
      </w:pPr>
      <w:r>
        <w:t>Таким образом, титры агглютининов в сыворотках опытных цыплят были в два раза выше таковых у контрольных, что свидетельствовало об иммуностимулирующем действии ковилона на организм цыплят, вакцин</w:t>
      </w:r>
      <w:r>
        <w:t>и</w:t>
      </w:r>
      <w:r>
        <w:t>рованных жидкой инактивированной ГОА – формолвакциной против к</w:t>
      </w:r>
      <w:r>
        <w:t>о</w:t>
      </w:r>
      <w:r>
        <w:t xml:space="preserve">либактериоза птиц.  </w:t>
      </w:r>
    </w:p>
    <w:p w:rsidR="0001153D" w:rsidRDefault="0001153D">
      <w:pPr>
        <w:pStyle w:val="a4"/>
      </w:pPr>
    </w:p>
    <w:p w:rsidR="0001153D" w:rsidRDefault="0001153D">
      <w:pPr>
        <w:pStyle w:val="a4"/>
      </w:pPr>
    </w:p>
    <w:p w:rsidR="00F4654E" w:rsidRDefault="00F4654E">
      <w:pPr>
        <w:pStyle w:val="a4"/>
      </w:pPr>
      <w:r>
        <w:lastRenderedPageBreak/>
        <w:t>УДК 619:616.993.192.1</w:t>
      </w:r>
    </w:p>
    <w:p w:rsidR="00F4654E" w:rsidRDefault="00F4654E">
      <w:pPr>
        <w:pStyle w:val="1"/>
      </w:pPr>
      <w:bookmarkStart w:id="3668" w:name="_Toc10731462"/>
      <w:bookmarkStart w:id="3669" w:name="_Toc11137905"/>
      <w:bookmarkStart w:id="3670" w:name="_Toc11138323"/>
      <w:bookmarkStart w:id="3671" w:name="_Toc11138741"/>
      <w:bookmarkStart w:id="3672" w:name="_Toc11139159"/>
      <w:bookmarkStart w:id="3673" w:name="_Toc11139577"/>
      <w:bookmarkStart w:id="3674" w:name="_Toc11139995"/>
      <w:bookmarkStart w:id="3675" w:name="_Toc11140413"/>
      <w:bookmarkStart w:id="3676" w:name="_Toc11390521"/>
      <w:bookmarkStart w:id="3677" w:name="_Toc11840204"/>
      <w:bookmarkStart w:id="3678" w:name="_Toc11937740"/>
      <w:r>
        <w:t>Криптоспоридии – опасные патогены для телят</w:t>
      </w:r>
      <w:bookmarkEnd w:id="3668"/>
      <w:bookmarkEnd w:id="3669"/>
      <w:bookmarkEnd w:id="3670"/>
      <w:bookmarkEnd w:id="3671"/>
      <w:bookmarkEnd w:id="3672"/>
      <w:bookmarkEnd w:id="3673"/>
      <w:bookmarkEnd w:id="3674"/>
      <w:bookmarkEnd w:id="3675"/>
      <w:bookmarkEnd w:id="3676"/>
      <w:bookmarkEnd w:id="3677"/>
      <w:bookmarkEnd w:id="3678"/>
    </w:p>
    <w:p w:rsidR="00F4654E" w:rsidRDefault="00F4654E">
      <w:pPr>
        <w:pStyle w:val="2"/>
      </w:pPr>
      <w:bookmarkStart w:id="3679" w:name="_Toc10731463"/>
      <w:bookmarkStart w:id="3680" w:name="_Toc11032315"/>
      <w:bookmarkStart w:id="3681" w:name="_Toc11137906"/>
      <w:bookmarkStart w:id="3682" w:name="_Toc11138324"/>
      <w:bookmarkStart w:id="3683" w:name="_Toc11138742"/>
      <w:bookmarkStart w:id="3684" w:name="_Toc11139160"/>
      <w:bookmarkStart w:id="3685" w:name="_Toc11139578"/>
      <w:bookmarkStart w:id="3686" w:name="_Toc11139996"/>
      <w:bookmarkStart w:id="3687" w:name="_Toc11140414"/>
      <w:bookmarkStart w:id="3688" w:name="_Toc11390522"/>
      <w:bookmarkStart w:id="3689" w:name="_Toc11937741"/>
      <w:r>
        <w:t>Никитин В.Ф.</w:t>
      </w:r>
      <w:bookmarkEnd w:id="3679"/>
      <w:bookmarkEnd w:id="3680"/>
      <w:bookmarkEnd w:id="3681"/>
      <w:bookmarkEnd w:id="3682"/>
      <w:bookmarkEnd w:id="3683"/>
      <w:bookmarkEnd w:id="3684"/>
      <w:bookmarkEnd w:id="3685"/>
      <w:bookmarkEnd w:id="3686"/>
      <w:bookmarkEnd w:id="3687"/>
      <w:bookmarkEnd w:id="3688"/>
      <w:bookmarkEnd w:id="3689"/>
    </w:p>
    <w:p w:rsidR="00F4654E" w:rsidRDefault="00F4654E">
      <w:pPr>
        <w:pStyle w:val="a5"/>
      </w:pPr>
      <w:r>
        <w:t>Всероссийский НИИ гельминтологии им. К.И. Скрябина</w:t>
      </w:r>
    </w:p>
    <w:p w:rsidR="00F4654E" w:rsidRDefault="00F4654E">
      <w:pPr>
        <w:pStyle w:val="a6"/>
      </w:pPr>
      <w:r>
        <w:t>У телят раннего возраста наиболее часто регистрируются заболевания с симптомокомплексом патологии желудочно-кишечного тракта. По да</w:t>
      </w:r>
      <w:r>
        <w:t>н</w:t>
      </w:r>
      <w:r>
        <w:t>ным ветотчетности они составляют 42,1-56,4% к приплоду. Однако, как показали наши наблюдения, практически каждый теленок переболевает с признаками расстройства пищеварения с наличием диареи. Причины вес</w:t>
      </w:r>
      <w:r>
        <w:t>ь</w:t>
      </w:r>
      <w:r>
        <w:t xml:space="preserve">ма разнообразные и многофакторные: наследственные, алиментарные, техногенные и санитарно-гигиенические, инфекционного и инвазионного происхождения.  </w:t>
      </w:r>
    </w:p>
    <w:p w:rsidR="00F4654E" w:rsidRDefault="00F4654E">
      <w:pPr>
        <w:pStyle w:val="a6"/>
      </w:pPr>
      <w:r>
        <w:t>Ряд авторов к ведущим причинам гастроэнтеритов новорожденных телят относят инфекций – вирусов (рота-, корона-, парвовирусы и др.), бактерий (эшерихии, пастереллы, салмонеллы, протей, кокковые и др.) и лишь очень редко простейших (криптоспоридии и эймерии) и гельминтов. При этом первенство в настоящее время стало отводиться вирусам.</w:t>
      </w:r>
    </w:p>
    <w:p w:rsidR="00F4654E" w:rsidRDefault="00F4654E">
      <w:pPr>
        <w:pStyle w:val="a6"/>
      </w:pPr>
      <w:r>
        <w:t>В последние десятилетия с развитием паразитоценологии как науки, все чаще появляются работы, указывающие, что причиной болезни часто являются одновременно разные, смешанные инфекции и инвазии (В.М. Апатенко, 2001; В.А. Мищенко, Н.А. Яременко и др., 2001; О.Г. Глотов, О.Г. Петрова и др., 2002). Осуществляются поиски поливалентных вакцин, сывороток, иммунокорректирующих средств и внедрение их в практику (П.Н. Щербаков, А.Г. Гусев, 2002 и др.) Несмотря на это заболеваемость новорожденных телят с признаками расстройства пищеварения при вид</w:t>
      </w:r>
      <w:r>
        <w:t>и</w:t>
      </w:r>
      <w:r>
        <w:t>мых нормальных условиях их содержания от начала рождения остается высокой и проблемной. Вероятно, что названные выше средства нередко применяются не по назначению, без установления возбудителя (…лей) среди сочленов формирующегося желудочно-кишечного биоценоза нов</w:t>
      </w:r>
      <w:r>
        <w:t>о</w:t>
      </w:r>
      <w:r>
        <w:t>рожденного животного.</w:t>
      </w:r>
    </w:p>
    <w:p w:rsidR="00F4654E" w:rsidRDefault="00F4654E">
      <w:pPr>
        <w:pStyle w:val="a6"/>
      </w:pPr>
      <w:r>
        <w:t>К числу неучитываемых в ветеринарной практике России относятся кокцидии рода Cryptosporidium Tyzzer, 1910. У телят паразитируют Cr. porvum и Cr. muris. Размеры выделяемых с экскрементами животных инв</w:t>
      </w:r>
      <w:r>
        <w:t>а</w:t>
      </w:r>
      <w:r>
        <w:t xml:space="preserve">зионных ооцист криптоспоридий составляют 4,5-5,2 </w:t>
      </w:r>
      <w:r>
        <w:sym w:font="Symbol" w:char="F0B4"/>
      </w:r>
      <w:r>
        <w:t xml:space="preserve"> 4,5-4,8 мкм, что почти не превышает таковых микобактерий туберкулеза. Вызываемое криптоспоридиями в форме моно- или смешанной инвазии и инфекции з</w:t>
      </w:r>
      <w:r>
        <w:t>а</w:t>
      </w:r>
      <w:r>
        <w:t>болевание телят с поражением, прежде всего, тонкого кишечника описано в разных странах многими зарубежными учеными начиная с 1971 г. (К. Panciera et al.) и в нашей стране с 1983 г. (В.Ф. Никитин, И. Павласек). Криптоспоридии чрезвычайно распространены. Они обнаружены у 170 в</w:t>
      </w:r>
      <w:r>
        <w:t>и</w:t>
      </w:r>
      <w:r>
        <w:lastRenderedPageBreak/>
        <w:t>дов животных преимущественно у млекопитающихся и птиц (P.J. O’Donoghue, 1995).</w:t>
      </w:r>
    </w:p>
    <w:p w:rsidR="00F4654E" w:rsidRDefault="00F4654E">
      <w:pPr>
        <w:pStyle w:val="a6"/>
      </w:pPr>
      <w:r>
        <w:t>У телят с 4-х дневного возраста криптоспоридии установлены в х</w:t>
      </w:r>
      <w:r>
        <w:t>о</w:t>
      </w:r>
      <w:r>
        <w:t>зяйствах многих областей страны. Наши обследования показали, что их ооцисты встречаются обычно в фекалиях животных с видимой клиникой гастроэнтерита с наличием диареи. О том же сообщают и многие зарубе</w:t>
      </w:r>
      <w:r>
        <w:t>ж</w:t>
      </w:r>
      <w:r>
        <w:t>ные исследователи. J. Pavlusek (1999) пишет о почти 100%-ной инвазир</w:t>
      </w:r>
      <w:r>
        <w:t>о</w:t>
      </w:r>
      <w:r>
        <w:t>ванности телят 7-20-дневного возраста и 35%-ной ягнят в Чехии. При о</w:t>
      </w:r>
      <w:r>
        <w:t>б</w:t>
      </w:r>
      <w:r>
        <w:t>следовании нами в 2001 г. 175 телят с диареей до месячного возраста на пяти отделениях подмосковного коллективного хозяйства “Барыбинский” зараженность их криптоспоридиями колебалась от 40 до 71,4%.</w:t>
      </w:r>
    </w:p>
    <w:p w:rsidR="00F4654E" w:rsidRDefault="00F4654E">
      <w:pPr>
        <w:pStyle w:val="a6"/>
      </w:pPr>
      <w:r>
        <w:t>Криптоспоридиями в высоких процентах инвазированы мыши и кр</w:t>
      </w:r>
      <w:r>
        <w:t>ы</w:t>
      </w:r>
      <w:r>
        <w:t>сы. Они установлены у кошек, собак, голубей. По данным, например, У.Г. Тайчинова (1996), в хозяйствах Башкирии мыши на фермах заражены до 31,4%, крысы на 17,4%, кошки на 30,3% Т.В. Новикова (1999) при обсл</w:t>
      </w:r>
      <w:r>
        <w:t>е</w:t>
      </w:r>
      <w:r>
        <w:t>довании 239 телят в трех хозяйствах ТОО крупного рогатого скота в Вол</w:t>
      </w:r>
      <w:r>
        <w:t>о</w:t>
      </w:r>
      <w:r>
        <w:t>годской области криптоспоридиоз диагностировала в пределах 85,7-94,9%. В числе зараженных от 76,6% до 91,0% были с диареей. Зараженность мышей из 28 исследованных составила 35,2%, крыс – 30,7% из 19. При о</w:t>
      </w:r>
      <w:r>
        <w:t>б</w:t>
      </w:r>
      <w:r>
        <w:t>следовании нами 15 мышей, отловленных на отделении подмосковного х</w:t>
      </w:r>
      <w:r>
        <w:t>о</w:t>
      </w:r>
      <w:r>
        <w:t>зяйства, 3(20%) были зараженными. Следовательно грызуны, кошки, гол</w:t>
      </w:r>
      <w:r>
        <w:t>у</w:t>
      </w:r>
      <w:r>
        <w:t>би и, возможно, другие обитатели ферм, являются или могут быть, как и больные телята, источниками возбудителя криптоспоридиоза.</w:t>
      </w:r>
    </w:p>
    <w:p w:rsidR="00F4654E" w:rsidRDefault="00F4654E">
      <w:pPr>
        <w:pStyle w:val="a6"/>
      </w:pPr>
      <w:r>
        <w:t>Профилактические мероприятия, в т.ч. и борьба с грызунами в теч</w:t>
      </w:r>
      <w:r>
        <w:t>е</w:t>
      </w:r>
      <w:r>
        <w:t>нии года на отделении К.П. ”Барыбинский”, снизили заболеваемость ж</w:t>
      </w:r>
      <w:r>
        <w:t>е</w:t>
      </w:r>
      <w:r>
        <w:t>лудочно-кишечными болезнями и падеж телят раннего возраста до отдел</w:t>
      </w:r>
      <w:r>
        <w:t>ь</w:t>
      </w:r>
      <w:r>
        <w:t>ных случаев, а зараженность криптоспоридиями с 60% до 20%.</w:t>
      </w:r>
    </w:p>
    <w:p w:rsidR="00F4654E" w:rsidRDefault="00F4654E">
      <w:pPr>
        <w:pStyle w:val="a6"/>
      </w:pPr>
      <w:r>
        <w:t>Вышесказанное позволяет считать кокцидий рода Cryptosporidium сравнимыми по патогенности с некоторыми известными болезнетворными вирусами и бактериями.</w:t>
      </w:r>
    </w:p>
    <w:p w:rsidR="00F4654E" w:rsidRDefault="00F4654E">
      <w:pPr>
        <w:pStyle w:val="a4"/>
      </w:pPr>
      <w:r>
        <w:t>УДК 619:615.373.3:616.995.132:636.7</w:t>
      </w:r>
    </w:p>
    <w:p w:rsidR="00F4654E" w:rsidRDefault="00F4654E">
      <w:pPr>
        <w:pStyle w:val="1"/>
      </w:pPr>
      <w:bookmarkStart w:id="3690" w:name="_Toc10731464"/>
      <w:bookmarkStart w:id="3691" w:name="_Toc11137901"/>
      <w:bookmarkStart w:id="3692" w:name="_Toc11138319"/>
      <w:bookmarkStart w:id="3693" w:name="_Toc11138737"/>
      <w:bookmarkStart w:id="3694" w:name="_Toc11139155"/>
      <w:bookmarkStart w:id="3695" w:name="_Toc11139573"/>
      <w:bookmarkStart w:id="3696" w:name="_Toc11139991"/>
      <w:bookmarkStart w:id="3697" w:name="_Toc11140409"/>
      <w:bookmarkStart w:id="3698" w:name="_Toc11390517"/>
      <w:bookmarkStart w:id="3699" w:name="_Toc11840206"/>
      <w:bookmarkStart w:id="3700" w:name="_Toc11937742"/>
      <w:r>
        <w:t>Изменение некоторых факторов естественной резистентности при токсокарозе собак</w:t>
      </w:r>
      <w:bookmarkEnd w:id="3690"/>
      <w:bookmarkEnd w:id="3691"/>
      <w:bookmarkEnd w:id="3692"/>
      <w:bookmarkEnd w:id="3693"/>
      <w:bookmarkEnd w:id="3694"/>
      <w:bookmarkEnd w:id="3695"/>
      <w:bookmarkEnd w:id="3696"/>
      <w:bookmarkEnd w:id="3697"/>
      <w:bookmarkEnd w:id="3698"/>
      <w:bookmarkEnd w:id="3699"/>
      <w:bookmarkEnd w:id="3700"/>
    </w:p>
    <w:p w:rsidR="00F4654E" w:rsidRDefault="00F4654E">
      <w:pPr>
        <w:pStyle w:val="2"/>
      </w:pPr>
      <w:bookmarkStart w:id="3701" w:name="_Toc10731465"/>
      <w:bookmarkStart w:id="3702" w:name="_Toc11032313"/>
      <w:bookmarkStart w:id="3703" w:name="_Toc11137902"/>
      <w:bookmarkStart w:id="3704" w:name="_Toc11138320"/>
      <w:bookmarkStart w:id="3705" w:name="_Toc11138738"/>
      <w:bookmarkStart w:id="3706" w:name="_Toc11139156"/>
      <w:bookmarkStart w:id="3707" w:name="_Toc11139574"/>
      <w:bookmarkStart w:id="3708" w:name="_Toc11139992"/>
      <w:bookmarkStart w:id="3709" w:name="_Toc11140410"/>
      <w:bookmarkStart w:id="3710" w:name="_Toc11390518"/>
      <w:bookmarkStart w:id="3711" w:name="_Toc11937743"/>
      <w:r>
        <w:t>Никитина Е.А., Беспалова Н.С.</w:t>
      </w:r>
      <w:bookmarkEnd w:id="3701"/>
      <w:bookmarkEnd w:id="3702"/>
      <w:bookmarkEnd w:id="3703"/>
      <w:bookmarkEnd w:id="3704"/>
      <w:bookmarkEnd w:id="3705"/>
      <w:bookmarkEnd w:id="3706"/>
      <w:bookmarkEnd w:id="3707"/>
      <w:bookmarkEnd w:id="3708"/>
      <w:bookmarkEnd w:id="3709"/>
      <w:bookmarkEnd w:id="3710"/>
      <w:bookmarkEnd w:id="3711"/>
    </w:p>
    <w:p w:rsidR="00F4654E" w:rsidRDefault="00F4654E">
      <w:pPr>
        <w:pStyle w:val="a5"/>
      </w:pPr>
      <w:r>
        <w:t>Воронежский государственный аграрный университет имени К.Д. Глинки</w:t>
      </w:r>
    </w:p>
    <w:p w:rsidR="00F4654E" w:rsidRDefault="00F4654E">
      <w:pPr>
        <w:pStyle w:val="a6"/>
      </w:pPr>
      <w:r>
        <w:t>Исследовали сыворотку крови беспородных щенков 2-2,5 месяцев, спонтанно зараженных токсокарозом. Кровь брали 5 раз с недельным и</w:t>
      </w:r>
      <w:r>
        <w:t>н</w:t>
      </w:r>
      <w:r>
        <w:t>тервалом. Исследования факторов естественной резистентности включали в себя определение в сыворотке крови бактерицидной, лизоцимной и ф</w:t>
      </w:r>
      <w:r>
        <w:t>а</w:t>
      </w:r>
      <w:r>
        <w:t>гоцитарной активности лейкоцитов.</w:t>
      </w:r>
    </w:p>
    <w:p w:rsidR="00F4654E" w:rsidRDefault="00F4654E">
      <w:pPr>
        <w:pStyle w:val="a6"/>
      </w:pPr>
      <w:r>
        <w:lastRenderedPageBreak/>
        <w:t>Установлено, что бактерицидная активность лейкоцитов при первом исследовании  сыворотки крови составила – 60,63±0,01%  в среднем по группе. При повторном исследовании данный показатель практически не изменился – 63,2±1,5%. В дальнейшем отмечено незначительное снижение этого показателя до -59,6±0,8%. Лизоцимная активность лейкоцитов при первом исследовании составляла-4,86±0,02 мкг/мл. Второе и третье иссл</w:t>
      </w:r>
      <w:r>
        <w:t>е</w:t>
      </w:r>
      <w:r>
        <w:t>дование сыворотки крови выявило незначительное изменение этого пок</w:t>
      </w:r>
      <w:r>
        <w:t>а</w:t>
      </w:r>
      <w:r>
        <w:t>зателя-4,88±0,01 мкг/мл, а затем наблюдалось увеличение лизоцимной а</w:t>
      </w:r>
      <w:r>
        <w:t>к</w:t>
      </w:r>
      <w:r>
        <w:t>тивности до 5,04±0,04 мкг/мл в четвертом исследовании, и снижение до 3,4±0,3 мкг/мл в контроле. Фагоцитарная активность лейкоцитов при пе</w:t>
      </w:r>
      <w:r>
        <w:t>р</w:t>
      </w:r>
      <w:r>
        <w:t>вом исследование сыворотки крови составляла-67,96±0,05%. В дальне</w:t>
      </w:r>
      <w:r>
        <w:t>й</w:t>
      </w:r>
      <w:r>
        <w:t>шем этот показатель практически не изменялся и составлял через 6 дней- 67,1±0,3%,  через 12 и 18 дней- 69,7±0,2% и 68,7±0,5% соответственно. Контрольное исследование показало, что уровень фагоцитарной активн</w:t>
      </w:r>
      <w:r>
        <w:t>о</w:t>
      </w:r>
      <w:r>
        <w:t>сти не претерпел особых изменений-68,5±0,13%.</w:t>
      </w:r>
    </w:p>
    <w:p w:rsidR="00F4654E" w:rsidRDefault="00F4654E">
      <w:pPr>
        <w:pStyle w:val="a6"/>
      </w:pPr>
      <w:r>
        <w:t>Таким образом, нами было установлено, что у беспородных щенков, спонтанно зараженных токсокарозом,  бактерицидная активность лейкоц</w:t>
      </w:r>
      <w:r>
        <w:t>и</w:t>
      </w:r>
      <w:r>
        <w:t xml:space="preserve">тов колеблется от 58,36±0,33% до 63,2±1,5%, лизоцимная активность от  3,4±0,3 мкг/мл до 5,04±0,04  мкг/мл и фагоцитарная активность лейкоцитов от 67,1±0,3% до  69,7±0,2%. </w:t>
      </w:r>
    </w:p>
    <w:p w:rsidR="00F4654E" w:rsidRDefault="00F4654E">
      <w:pPr>
        <w:pStyle w:val="a4"/>
      </w:pPr>
      <w:r>
        <w:t>УДК 619:615.373.3:616.995.132:636.7</w:t>
      </w:r>
    </w:p>
    <w:p w:rsidR="00F4654E" w:rsidRDefault="00F4654E">
      <w:pPr>
        <w:pStyle w:val="1"/>
      </w:pPr>
      <w:bookmarkStart w:id="3712" w:name="_Toc10731466"/>
      <w:bookmarkStart w:id="3713" w:name="_Toc11137903"/>
      <w:bookmarkStart w:id="3714" w:name="_Toc11138321"/>
      <w:bookmarkStart w:id="3715" w:name="_Toc11138739"/>
      <w:bookmarkStart w:id="3716" w:name="_Toc11139157"/>
      <w:bookmarkStart w:id="3717" w:name="_Toc11139575"/>
      <w:bookmarkStart w:id="3718" w:name="_Toc11139993"/>
      <w:bookmarkStart w:id="3719" w:name="_Toc11140411"/>
      <w:bookmarkStart w:id="3720" w:name="_Toc11390519"/>
      <w:bookmarkStart w:id="3721" w:name="_Toc11840208"/>
      <w:bookmarkStart w:id="3722" w:name="_Toc11937744"/>
      <w:r>
        <w:t>Изменение комплементарной активности лейкоцитов сыворотки крови при лечении токсокароза собак</w:t>
      </w:r>
      <w:bookmarkEnd w:id="3712"/>
      <w:bookmarkEnd w:id="3713"/>
      <w:bookmarkEnd w:id="3714"/>
      <w:bookmarkEnd w:id="3715"/>
      <w:bookmarkEnd w:id="3716"/>
      <w:bookmarkEnd w:id="3717"/>
      <w:bookmarkEnd w:id="3718"/>
      <w:bookmarkEnd w:id="3719"/>
      <w:bookmarkEnd w:id="3720"/>
      <w:bookmarkEnd w:id="3721"/>
      <w:bookmarkEnd w:id="3722"/>
    </w:p>
    <w:p w:rsidR="00F4654E" w:rsidRDefault="00F4654E">
      <w:pPr>
        <w:pStyle w:val="2"/>
      </w:pPr>
      <w:bookmarkStart w:id="3723" w:name="_Toc10731467"/>
      <w:bookmarkStart w:id="3724" w:name="_Toc11032314"/>
      <w:bookmarkStart w:id="3725" w:name="_Toc11137904"/>
      <w:bookmarkStart w:id="3726" w:name="_Toc11138322"/>
      <w:bookmarkStart w:id="3727" w:name="_Toc11138740"/>
      <w:bookmarkStart w:id="3728" w:name="_Toc11139158"/>
      <w:bookmarkStart w:id="3729" w:name="_Toc11139576"/>
      <w:bookmarkStart w:id="3730" w:name="_Toc11139994"/>
      <w:bookmarkStart w:id="3731" w:name="_Toc11140412"/>
      <w:bookmarkStart w:id="3732" w:name="_Toc11390520"/>
      <w:bookmarkStart w:id="3733" w:name="_Toc11937745"/>
      <w:r>
        <w:t>Никитина Е.А., Беспалова Н.С.</w:t>
      </w:r>
      <w:bookmarkEnd w:id="3723"/>
      <w:bookmarkEnd w:id="3724"/>
      <w:bookmarkEnd w:id="3725"/>
      <w:bookmarkEnd w:id="3726"/>
      <w:bookmarkEnd w:id="3727"/>
      <w:bookmarkEnd w:id="3728"/>
      <w:bookmarkEnd w:id="3729"/>
      <w:bookmarkEnd w:id="3730"/>
      <w:bookmarkEnd w:id="3731"/>
      <w:bookmarkEnd w:id="3732"/>
      <w:bookmarkEnd w:id="3733"/>
    </w:p>
    <w:p w:rsidR="00F4654E" w:rsidRDefault="00F4654E">
      <w:pPr>
        <w:pStyle w:val="a5"/>
      </w:pPr>
      <w:r>
        <w:t>Воронежский государственный аграрный университет имени К.Д. Глинки</w:t>
      </w:r>
    </w:p>
    <w:p w:rsidR="00F4654E" w:rsidRDefault="00F4654E">
      <w:pPr>
        <w:pStyle w:val="a6"/>
      </w:pPr>
      <w:r>
        <w:t>Материалом наших исследований служила сыворотка крови от бесп</w:t>
      </w:r>
      <w:r>
        <w:t>о</w:t>
      </w:r>
      <w:r>
        <w:t>родных щенков в возрасте 2,5-3 месяца, спонтанно зараженных токсокар</w:t>
      </w:r>
      <w:r>
        <w:t>о</w:t>
      </w:r>
      <w:r>
        <w:t>зом. Были сформированы две группы животных: опытная и контрольная, по пять собак в каждой. Собакам опытной группы вводили нилверм одн</w:t>
      </w:r>
      <w:r>
        <w:t>о</w:t>
      </w:r>
      <w:r>
        <w:t>кратно внутримышечно в дозе 1 мл на 10 кг веса. Собакам контрольной группы препараты не вводили.</w:t>
      </w:r>
    </w:p>
    <w:p w:rsidR="00F4654E" w:rsidRDefault="00F4654E">
      <w:pPr>
        <w:pStyle w:val="a6"/>
      </w:pPr>
      <w:r>
        <w:t>Предварительные фоновые гельминтокопрологические исследования показали, что уровень интенсивности инвазии ( И.И.) составил в опытной группе-51,1±5,6 экз. яиц Т.canis, в контрольной группе 18,6±3,8 экз. Эк</w:t>
      </w:r>
      <w:r>
        <w:t>с</w:t>
      </w:r>
      <w:r>
        <w:t>тенсивность инвазии (Э.И)  в обеих группах составила 100%.</w:t>
      </w:r>
    </w:p>
    <w:p w:rsidR="00F4654E" w:rsidRDefault="00F4654E">
      <w:pPr>
        <w:pStyle w:val="a6"/>
      </w:pPr>
      <w:r>
        <w:t>Комплементарная активность лейкоцитов в сыворотке крови до вв</w:t>
      </w:r>
      <w:r>
        <w:t>е</w:t>
      </w:r>
      <w:r>
        <w:t>дения препарата в опытной группе в среднем составила- 5,46±0,003%, в контрольной группе-12,34±0,02%.Через 6 дней после введения нилверма произошло резкое увеличение показателя до 39,5±1,1%, или в 7,2 раза в</w:t>
      </w:r>
      <w:r>
        <w:t>ы</w:t>
      </w:r>
      <w:r>
        <w:t>ше по сравнению с фоном, а по сравнению с зараженным контролем выше в 3 раза. В контрольной группе этот показатель практически не изменился-</w:t>
      </w:r>
      <w:r>
        <w:lastRenderedPageBreak/>
        <w:t>13,24±0,3%. Четвертое исследование сыворотки крови через 30 дней после введения нилверма установило, что уровень комплементарной активности лейкоцитов снизился до 20,28±0,24%, что превышает фоновые показатели в 3,7 раза. В контрольной  группе этот показатель не претерпел особых и</w:t>
      </w:r>
      <w:r>
        <w:t>з</w:t>
      </w:r>
      <w:r>
        <w:t>менений-12,14±0,14%.</w:t>
      </w:r>
    </w:p>
    <w:p w:rsidR="00F4654E" w:rsidRDefault="00F4654E">
      <w:pPr>
        <w:pStyle w:val="a6"/>
      </w:pPr>
      <w:r>
        <w:t>Таким образом, нилверм оказывает влияние на один из факторов ест</w:t>
      </w:r>
      <w:r>
        <w:t>е</w:t>
      </w:r>
      <w:r>
        <w:t>ственной резистентности, вызывая резкое увеличение уровня комплеме</w:t>
      </w:r>
      <w:r>
        <w:t>н</w:t>
      </w:r>
      <w:r>
        <w:t>тарной активности лейкоцитов в сыворотке крови.</w:t>
      </w:r>
    </w:p>
    <w:p w:rsidR="00F4654E" w:rsidRDefault="00F4654E">
      <w:pPr>
        <w:pStyle w:val="a4"/>
      </w:pPr>
      <w:r>
        <w:t>УДК 619:616-653.31-084</w:t>
      </w:r>
    </w:p>
    <w:p w:rsidR="00F4654E" w:rsidRDefault="00F4654E">
      <w:pPr>
        <w:pStyle w:val="1"/>
      </w:pPr>
      <w:bookmarkStart w:id="3734" w:name="_Toc10731472"/>
      <w:bookmarkStart w:id="3735" w:name="_Toc11137909"/>
      <w:bookmarkStart w:id="3736" w:name="_Toc11138327"/>
      <w:bookmarkStart w:id="3737" w:name="_Toc11138745"/>
      <w:bookmarkStart w:id="3738" w:name="_Toc11139163"/>
      <w:bookmarkStart w:id="3739" w:name="_Toc11139581"/>
      <w:bookmarkStart w:id="3740" w:name="_Toc11139999"/>
      <w:bookmarkStart w:id="3741" w:name="_Toc11140417"/>
      <w:bookmarkStart w:id="3742" w:name="_Toc11390525"/>
      <w:bookmarkStart w:id="3743" w:name="_Toc11840210"/>
      <w:bookmarkStart w:id="3744" w:name="_Toc11937746"/>
      <w:r>
        <w:t xml:space="preserve">КОМПЛЕКСНАЯ ПРОФИЛАКТИКА ДИАРЕЙ И РЕСПИРАТОРНЫХ </w:t>
      </w:r>
      <w:r>
        <w:br/>
        <w:t>БОЛЕЗНЕЙ ТЕЛЯТ</w:t>
      </w:r>
      <w:bookmarkEnd w:id="3734"/>
      <w:bookmarkEnd w:id="3735"/>
      <w:bookmarkEnd w:id="3736"/>
      <w:bookmarkEnd w:id="3737"/>
      <w:bookmarkEnd w:id="3738"/>
      <w:bookmarkEnd w:id="3739"/>
      <w:bookmarkEnd w:id="3740"/>
      <w:bookmarkEnd w:id="3741"/>
      <w:bookmarkEnd w:id="3742"/>
      <w:bookmarkEnd w:id="3743"/>
      <w:bookmarkEnd w:id="3744"/>
    </w:p>
    <w:p w:rsidR="00F4654E" w:rsidRDefault="00F4654E">
      <w:pPr>
        <w:pStyle w:val="2"/>
      </w:pPr>
      <w:bookmarkStart w:id="3745" w:name="_Toc10731473"/>
      <w:bookmarkStart w:id="3746" w:name="_Toc11032317"/>
      <w:bookmarkStart w:id="3747" w:name="_Toc11137910"/>
      <w:bookmarkStart w:id="3748" w:name="_Toc11138328"/>
      <w:bookmarkStart w:id="3749" w:name="_Toc11138746"/>
      <w:bookmarkStart w:id="3750" w:name="_Toc11139164"/>
      <w:bookmarkStart w:id="3751" w:name="_Toc11139582"/>
      <w:bookmarkStart w:id="3752" w:name="_Toc11140000"/>
      <w:bookmarkStart w:id="3753" w:name="_Toc11140418"/>
      <w:bookmarkStart w:id="3754" w:name="_Toc11390526"/>
      <w:bookmarkStart w:id="3755" w:name="_Toc11937747"/>
      <w:r>
        <w:t>Овод А.С.</w:t>
      </w:r>
      <w:bookmarkEnd w:id="3745"/>
      <w:bookmarkEnd w:id="3746"/>
      <w:bookmarkEnd w:id="3747"/>
      <w:bookmarkEnd w:id="3748"/>
      <w:bookmarkEnd w:id="3749"/>
      <w:bookmarkEnd w:id="3750"/>
      <w:bookmarkEnd w:id="3751"/>
      <w:bookmarkEnd w:id="3752"/>
      <w:bookmarkEnd w:id="3753"/>
      <w:bookmarkEnd w:id="3754"/>
      <w:bookmarkEnd w:id="3755"/>
    </w:p>
    <w:p w:rsidR="00F4654E" w:rsidRDefault="00F4654E">
      <w:pPr>
        <w:pStyle w:val="a5"/>
      </w:pPr>
      <w:r>
        <w:t>Северо-Кавказский зональный научно-исследовательский ветеринарный институт</w:t>
      </w:r>
    </w:p>
    <w:p w:rsidR="00F4654E" w:rsidRDefault="00F4654E">
      <w:pPr>
        <w:pStyle w:val="a6"/>
      </w:pPr>
      <w:r>
        <w:t>Желудочно-кишечные (диареи) и респираторные болезни телят – на</w:t>
      </w:r>
      <w:r>
        <w:t>и</w:t>
      </w:r>
      <w:r>
        <w:t>более распространенные болезни молодняка. Они и сейчас, несмотря на значительное сокращение маточного поголовья, наносят в ряде хозяйств ощутимый экономический ущерб и сдерживают расширенное воспрои</w:t>
      </w:r>
      <w:r>
        <w:t>з</w:t>
      </w:r>
      <w:r>
        <w:t>водство скота. Этиология большинства из этих болезней достаточно из</w:t>
      </w:r>
      <w:r>
        <w:t>у</w:t>
      </w:r>
      <w:r>
        <w:t xml:space="preserve">чена, разработаны также и способы борьбы с ними. </w:t>
      </w:r>
    </w:p>
    <w:p w:rsidR="00F4654E" w:rsidRDefault="00F4654E">
      <w:pPr>
        <w:pStyle w:val="a6"/>
      </w:pPr>
      <w:r>
        <w:t>Наиболее часто массовые диареи или респираторные заболевания т</w:t>
      </w:r>
      <w:r>
        <w:t>е</w:t>
      </w:r>
      <w:r>
        <w:t>лят обусловлены разнообразными вирусами, бактериями или их разли</w:t>
      </w:r>
      <w:r>
        <w:t>ч</w:t>
      </w:r>
      <w:r>
        <w:t>ными ассоциациями. На основе углубленного изучения этиологии отечес</w:t>
      </w:r>
      <w:r>
        <w:t>т</w:t>
      </w:r>
      <w:r>
        <w:t>венной науки сформулированы алгоритмы возникновения диарей и респ</w:t>
      </w:r>
      <w:r>
        <w:t>и</w:t>
      </w:r>
      <w:r>
        <w:t>раторных заболеваний телят, обусловленные в первом случае иммунод</w:t>
      </w:r>
      <w:r>
        <w:t>е</w:t>
      </w:r>
      <w:r>
        <w:t>фицитом В-системы и воздействием бактерий и вирусов, а во втором – со стрессами, иммунодефицитом Т-системы и воздействием вирусов и бакт</w:t>
      </w:r>
      <w:r>
        <w:t>е</w:t>
      </w:r>
      <w:r>
        <w:t>рией. Однако, несмотря на очевидный прогресс познаний в этиологии б</w:t>
      </w:r>
      <w:r>
        <w:t>о</w:t>
      </w:r>
      <w:r>
        <w:t>лезней молодняка и разработку средств и способов профилактики и леч</w:t>
      </w:r>
      <w:r>
        <w:t>е</w:t>
      </w:r>
      <w:r>
        <w:t>ния болезней, в производстве далеко не всегда достигают желаемых р</w:t>
      </w:r>
      <w:r>
        <w:t>е</w:t>
      </w:r>
      <w:r>
        <w:t>зультатов. Причины подобного состояния довольно многообразны. Среди них можно выделить только лишь две наиболее распространенных и сущ</w:t>
      </w:r>
      <w:r>
        <w:t>е</w:t>
      </w:r>
      <w:r>
        <w:t xml:space="preserve">ственных. </w:t>
      </w:r>
    </w:p>
    <w:p w:rsidR="00F4654E" w:rsidRDefault="00F4654E">
      <w:pPr>
        <w:pStyle w:val="a6"/>
      </w:pPr>
      <w:r>
        <w:t>Первая из них – это неспособность хозяйств из-за неудовлетворител</w:t>
      </w:r>
      <w:r>
        <w:t>ь</w:t>
      </w:r>
      <w:r>
        <w:t>ного финансово-экономического положения обеспечить необходимый ур</w:t>
      </w:r>
      <w:r>
        <w:t>о</w:t>
      </w:r>
      <w:r>
        <w:t xml:space="preserve">вень кормления, а также санитарные и технологические требования при получении и выращивании молодняка. </w:t>
      </w:r>
    </w:p>
    <w:p w:rsidR="00F4654E" w:rsidRDefault="00F4654E">
      <w:pPr>
        <w:pStyle w:val="a6"/>
      </w:pPr>
      <w:r>
        <w:t>Вторая обусловлена отсутствием комплексного системного подхода при организации мер борьбы с диареями и респираторными заболеваниями телят. Крайне негативное влияние на их результаты оказывают переоценка одних и недооценка других этиологических факторов, что приводит к н</w:t>
      </w:r>
      <w:r>
        <w:t>е</w:t>
      </w:r>
      <w:r>
        <w:t>правильным принципиальным решениям. Яркий пример того – против</w:t>
      </w:r>
      <w:r>
        <w:t>о</w:t>
      </w:r>
      <w:r>
        <w:lastRenderedPageBreak/>
        <w:t>поставление алиментарного фактора инфекционному при рассмотрении этиологии диарей, когда нарушения обмена веществ, связанные с дефиц</w:t>
      </w:r>
      <w:r>
        <w:t>и</w:t>
      </w:r>
      <w:r>
        <w:t>том белка, витаминов и углеводов, регистрируемые в большинстве х</w:t>
      </w:r>
      <w:r>
        <w:t>о</w:t>
      </w:r>
      <w:r>
        <w:t>зяйств, рассматривают как первопричину болезни, а микробный фактор как вторичный, осложняющий болезненный процесс. Зачастую же только простое изменение технологии выращивания (санитарные перерывы, с</w:t>
      </w:r>
      <w:r>
        <w:t>о</w:t>
      </w:r>
      <w:r>
        <w:t>держание в индивидуальных клетках вместо групповых, изоляция новор</w:t>
      </w:r>
      <w:r>
        <w:t>о</w:t>
      </w:r>
      <w:r>
        <w:t>жденных от телят старшего возраста и т.д.) приводят к прекращению ма</w:t>
      </w:r>
      <w:r>
        <w:t>с</w:t>
      </w:r>
      <w:r>
        <w:t>совых желудочно-кишечных расстройств. Сами же они могут вновь во</w:t>
      </w:r>
      <w:r>
        <w:t>з</w:t>
      </w:r>
      <w:r>
        <w:t>никнуть по истечению некоторого времени. В иных случаях проводимые противоэпизоотические мероприятия не оказывают существенного вли</w:t>
      </w:r>
      <w:r>
        <w:t>я</w:t>
      </w:r>
      <w:r>
        <w:t>ния на заболеваемость и сохранность приплода, что требует значительного внимания диспансеризации маточного поголовья, оценки качества кормов и устранения выявленных нарушений.</w:t>
      </w:r>
    </w:p>
    <w:p w:rsidR="00F4654E" w:rsidRDefault="00F4654E">
      <w:pPr>
        <w:pStyle w:val="a6"/>
      </w:pPr>
      <w:r>
        <w:t>Поэтому нами для выяснения этиологии диарей молодняка наряду с диагностическими исследованиями рекомендуется проведение санитарных перерывов, смена мест получения и содержания новорожденных. Это п</w:t>
      </w:r>
      <w:r>
        <w:t>о</w:t>
      </w:r>
      <w:r>
        <w:t>зволит определить природу желудочно-кишечных расстройств, а следов</w:t>
      </w:r>
      <w:r>
        <w:t>а</w:t>
      </w:r>
      <w:r>
        <w:t>тельно,  и принципы борьбы с ними. Сама же профилактика окажется в</w:t>
      </w:r>
      <w:r>
        <w:t>ы</w:t>
      </w:r>
      <w:r>
        <w:t>сокоэффективной только при комплексном выполнении санитарных, г</w:t>
      </w:r>
      <w:r>
        <w:t>и</w:t>
      </w:r>
      <w:r>
        <w:t>гиенических, технологических, противоэпизоотических мероприятий и обеспечении полноценного кормления маточного поголовья и приплода. Недовыполнение одного из этих требований может свести на нет всю пр</w:t>
      </w:r>
      <w:r>
        <w:t>о</w:t>
      </w:r>
      <w:r>
        <w:t>водимую работу по улучшению сохранности телят. Особенно важно с</w:t>
      </w:r>
      <w:r>
        <w:t>о</w:t>
      </w:r>
      <w:r>
        <w:t>блюдение единства оздоровительных мероприятий при борьбе с респир</w:t>
      </w:r>
      <w:r>
        <w:t>а</w:t>
      </w:r>
      <w:r>
        <w:t xml:space="preserve">торными болезнями молодняка. </w:t>
      </w:r>
    </w:p>
    <w:p w:rsidR="00F4654E" w:rsidRDefault="00F4654E">
      <w:pPr>
        <w:pStyle w:val="a6"/>
      </w:pPr>
      <w:r>
        <w:t>Применение сыворотки реконвалесцентов, гипериммунных сывор</w:t>
      </w:r>
      <w:r>
        <w:t>о</w:t>
      </w:r>
      <w:r>
        <w:t>ток, активных антибактериальных средств и аэрозолей, иммунизация телят при смешанном течении ПГ-3 и ИРТ сами по себе еще не обеспечивают профилактику заболевания без решения вопросов, касающихся содержания и кормления молодняка. Устойчивого (в течение трех лет) благополучия по острым респираторным заболеваниям телят мы добились в двух хозя</w:t>
      </w:r>
      <w:r>
        <w:t>й</w:t>
      </w:r>
      <w:r>
        <w:t>ствах только лишь при комплексном подходе к оздоровительным мер</w:t>
      </w:r>
      <w:r>
        <w:t>о</w:t>
      </w:r>
      <w:r>
        <w:t>приятиям. Они предусматривали активную иммунизацию маточного пог</w:t>
      </w:r>
      <w:r>
        <w:t>о</w:t>
      </w:r>
      <w:r>
        <w:t>ловья и телят ассоциированной вакциной ВИЭВ против ПГ-3  и ИРТ, пр</w:t>
      </w:r>
      <w:r>
        <w:t>е</w:t>
      </w:r>
      <w:r>
        <w:t>кращение перемещения поголовья между фермами, санацию телятников в летний период и определенную последовательность в их использовании. Уровень кормления молодняка был доведен до нормативного, а нагрузка на одну телятницу не превысила 45-50 голов,  вместо 90-110. В итоге в</w:t>
      </w:r>
      <w:r>
        <w:t>ы</w:t>
      </w:r>
      <w:r>
        <w:t>полнения указанных мер выбытие молодняка было сокращено с 20-25 до 5-6%, а среднесуточные привесы достигли 650-720 грамм вместо 210-230.</w:t>
      </w:r>
    </w:p>
    <w:p w:rsidR="0001153D" w:rsidRDefault="0001153D">
      <w:pPr>
        <w:pStyle w:val="a4"/>
      </w:pPr>
    </w:p>
    <w:p w:rsidR="00F4654E" w:rsidRDefault="00F4654E">
      <w:pPr>
        <w:pStyle w:val="a4"/>
      </w:pPr>
      <w:r>
        <w:lastRenderedPageBreak/>
        <w:t>УДК 619:615.31+636.5</w:t>
      </w:r>
    </w:p>
    <w:p w:rsidR="00F4654E" w:rsidRDefault="00F4654E">
      <w:pPr>
        <w:pStyle w:val="1"/>
      </w:pPr>
      <w:bookmarkStart w:id="3756" w:name="_Toc10731480"/>
      <w:bookmarkStart w:id="3757" w:name="_Toc11137911"/>
      <w:bookmarkStart w:id="3758" w:name="_Toc11138329"/>
      <w:bookmarkStart w:id="3759" w:name="_Toc11138747"/>
      <w:bookmarkStart w:id="3760" w:name="_Toc11139165"/>
      <w:bookmarkStart w:id="3761" w:name="_Toc11139583"/>
      <w:bookmarkStart w:id="3762" w:name="_Toc11140001"/>
      <w:bookmarkStart w:id="3763" w:name="_Toc11140419"/>
      <w:bookmarkStart w:id="3764" w:name="_Toc11390527"/>
      <w:bookmarkStart w:id="3765" w:name="_Toc11840212"/>
      <w:bookmarkStart w:id="3766" w:name="_Toc11937748"/>
      <w:r>
        <w:t>Динамика концентрации сульфомонометоксина в крови цыплят при однократном применении в разных дозах</w:t>
      </w:r>
      <w:bookmarkEnd w:id="3756"/>
      <w:bookmarkEnd w:id="3757"/>
      <w:bookmarkEnd w:id="3758"/>
      <w:bookmarkEnd w:id="3759"/>
      <w:bookmarkEnd w:id="3760"/>
      <w:bookmarkEnd w:id="3761"/>
      <w:bookmarkEnd w:id="3762"/>
      <w:bookmarkEnd w:id="3763"/>
      <w:bookmarkEnd w:id="3764"/>
      <w:bookmarkEnd w:id="3765"/>
      <w:bookmarkEnd w:id="3766"/>
    </w:p>
    <w:p w:rsidR="00F4654E" w:rsidRDefault="00F4654E">
      <w:pPr>
        <w:pStyle w:val="2"/>
      </w:pPr>
      <w:bookmarkStart w:id="3767" w:name="_Toc10731481"/>
      <w:bookmarkStart w:id="3768" w:name="_Toc11032318"/>
      <w:bookmarkStart w:id="3769" w:name="_Toc11137912"/>
      <w:bookmarkStart w:id="3770" w:name="_Toc11138330"/>
      <w:bookmarkStart w:id="3771" w:name="_Toc11138748"/>
      <w:bookmarkStart w:id="3772" w:name="_Toc11139166"/>
      <w:bookmarkStart w:id="3773" w:name="_Toc11139584"/>
      <w:bookmarkStart w:id="3774" w:name="_Toc11140002"/>
      <w:bookmarkStart w:id="3775" w:name="_Toc11140420"/>
      <w:bookmarkStart w:id="3776" w:name="_Toc11390528"/>
      <w:bookmarkStart w:id="3777" w:name="_Toc11937749"/>
      <w:r>
        <w:t>Ортман О.Р.</w:t>
      </w:r>
      <w:bookmarkEnd w:id="3767"/>
      <w:bookmarkEnd w:id="3768"/>
      <w:bookmarkEnd w:id="3769"/>
      <w:bookmarkEnd w:id="3770"/>
      <w:bookmarkEnd w:id="3771"/>
      <w:bookmarkEnd w:id="3772"/>
      <w:bookmarkEnd w:id="3773"/>
      <w:bookmarkEnd w:id="3774"/>
      <w:bookmarkEnd w:id="3775"/>
      <w:bookmarkEnd w:id="3776"/>
      <w:bookmarkEnd w:id="3777"/>
    </w:p>
    <w:p w:rsidR="00F4654E" w:rsidRDefault="00F4654E">
      <w:pPr>
        <w:pStyle w:val="a5"/>
      </w:pPr>
      <w:r>
        <w:t>Оренбургский государственный аграрный университет</w:t>
      </w:r>
    </w:p>
    <w:p w:rsidR="00F4654E" w:rsidRDefault="00F4654E">
      <w:pPr>
        <w:pStyle w:val="a6"/>
      </w:pPr>
      <w:r>
        <w:t>Анализ полученных результатов показал, что сульфамонометоксин после однократного применения в дозе 0,05 г/кг быстро всасывается из ж</w:t>
      </w:r>
      <w:r>
        <w:t>е</w:t>
      </w:r>
      <w:r>
        <w:t>лудочно-кишечного тракта и, попадая в кровяное русло, уже через 30 м</w:t>
      </w:r>
      <w:r>
        <w:t>и</w:t>
      </w:r>
      <w:r>
        <w:t>нут находится там в концентрации 39,9</w:t>
      </w:r>
      <w:r>
        <w:sym w:font="Symbol" w:char="F0B1"/>
      </w:r>
      <w:r>
        <w:t>2,34 мкг/мл.</w:t>
      </w:r>
    </w:p>
    <w:p w:rsidR="00F4654E" w:rsidRDefault="00F4654E">
      <w:pPr>
        <w:pStyle w:val="a6"/>
      </w:pPr>
      <w:r>
        <w:t>В дальнейшем, содержание препарата в крови быстро нарастает и уже ко второму часу у 60% подопытных птиц, а к третьему у 40% - достигает максимального значения (58,0</w:t>
      </w:r>
      <w:r>
        <w:sym w:font="Symbol" w:char="F0B1"/>
      </w:r>
      <w:r>
        <w:t>4,02 мкг/мл (р</w:t>
      </w:r>
      <w:r>
        <w:sym w:font="Symbol" w:char="F03C"/>
      </w:r>
      <w:r>
        <w:t>0,01)). Затем, происходит плавное снижение свободной формы сульфамонометоксина и по прошес</w:t>
      </w:r>
      <w:r>
        <w:t>т</w:t>
      </w:r>
      <w:r>
        <w:t>вии 5-8 часов с момента введения его уровень у цыплят составил 46,9</w:t>
      </w:r>
      <w:r>
        <w:sym w:font="Symbol" w:char="F0B1"/>
      </w:r>
      <w:r>
        <w:t>2,47 (р</w:t>
      </w:r>
      <w:r>
        <w:sym w:font="Symbol" w:char="F03C"/>
      </w:r>
      <w:r>
        <w:t>0,05) и 42,0</w:t>
      </w:r>
      <w:r>
        <w:sym w:font="Symbol" w:char="F0B1"/>
      </w:r>
      <w:r>
        <w:t>1,82 мкг/мл (р</w:t>
      </w:r>
      <w:r>
        <w:sym w:font="Symbol" w:char="F03C"/>
      </w:r>
      <w:r>
        <w:t>0,01) соответственно. Именно эта конце</w:t>
      </w:r>
      <w:r>
        <w:t>н</w:t>
      </w:r>
      <w:r>
        <w:t>трация сульфаниламида в крови обладает терапевтическим действием.</w:t>
      </w:r>
    </w:p>
    <w:p w:rsidR="00F4654E" w:rsidRDefault="00F4654E">
      <w:pPr>
        <w:pStyle w:val="a6"/>
      </w:pPr>
      <w:r>
        <w:t>Последующие исследования показали, что количество сульфамоном</w:t>
      </w:r>
      <w:r>
        <w:t>е</w:t>
      </w:r>
      <w:r>
        <w:t>токсина продолжало снижаться и спустя 12 часов определялось в конце</w:t>
      </w:r>
      <w:r>
        <w:t>н</w:t>
      </w:r>
      <w:r>
        <w:t>трации 26,2</w:t>
      </w:r>
      <w:r>
        <w:sym w:font="Symbol" w:char="F0B1"/>
      </w:r>
      <w:r>
        <w:t>2,03 мкг/мл, через 24 часа – 16,6</w:t>
      </w:r>
      <w:r>
        <w:sym w:font="Symbol" w:char="F0B1"/>
      </w:r>
      <w:r>
        <w:t>1,36, через двое суток – 11,8</w:t>
      </w:r>
      <w:r>
        <w:sym w:font="Symbol" w:char="F0B1"/>
      </w:r>
      <w:r>
        <w:t>1,52, через трое – у 60% цыплят препарат в крови уже не обнаруж</w:t>
      </w:r>
      <w:r>
        <w:t>и</w:t>
      </w:r>
      <w:r>
        <w:t>вался, в то время как у 40% - отмечалось ничтожное количество сульфам</w:t>
      </w:r>
      <w:r>
        <w:t>о</w:t>
      </w:r>
      <w:r>
        <w:t>нометоксина.</w:t>
      </w:r>
    </w:p>
    <w:p w:rsidR="00F4654E" w:rsidRDefault="00F4654E">
      <w:pPr>
        <w:pStyle w:val="a6"/>
      </w:pPr>
      <w:r>
        <w:t>У цыплят второй группы, которым был задан препарат в дозе 0,1 г/кг, как и в предыдущем опыте, сульфамонометоксин быстро всасывался из желудочно-кишечного тракта и содержание его составило 74,1</w:t>
      </w:r>
      <w:r>
        <w:sym w:font="Symbol" w:char="F0B1"/>
      </w:r>
      <w:r>
        <w:t>5,51 мкг/мл, что в 1,8 раза превышает уровень испытуемого сульфаниламида в 1-ой группе (р</w:t>
      </w:r>
      <w:r>
        <w:sym w:font="Symbol" w:char="F03C"/>
      </w:r>
      <w:r>
        <w:t>0,001). Затем, концентрация препарата в крови цыплят пр</w:t>
      </w:r>
      <w:r>
        <w:t>о</w:t>
      </w:r>
      <w:r>
        <w:t>должала нарастать, однако в ближайшие 30 минут эти данные были недо</w:t>
      </w:r>
      <w:r>
        <w:t>с</w:t>
      </w:r>
      <w:r>
        <w:t>товерны. Существенные же изменения рассматриваемой концентрации о</w:t>
      </w:r>
      <w:r>
        <w:t>т</w:t>
      </w:r>
      <w:r>
        <w:t>мечались только к концу второго часа (96,9</w:t>
      </w:r>
      <w:r>
        <w:sym w:font="Symbol" w:char="F0B1"/>
      </w:r>
      <w:r>
        <w:t>1,45 мкг/мл), а к 5 часу до</w:t>
      </w:r>
      <w:r>
        <w:t>с</w:t>
      </w:r>
      <w:r>
        <w:t>тигли максимального значения в этой опытной группе при индивидуал</w:t>
      </w:r>
      <w:r>
        <w:t>ь</w:t>
      </w:r>
      <w:r>
        <w:t>ных колебаниях от 110,6 мкг/мл до 124,5 мкг/мл. В последующие часы концентрация сульфамонометоксина равномерно убывала и к 12 часам с</w:t>
      </w:r>
      <w:r>
        <w:t>о</w:t>
      </w:r>
      <w:r>
        <w:t>ставила 94,4</w:t>
      </w:r>
      <w:r>
        <w:sym w:font="Symbol" w:char="F0B1"/>
      </w:r>
      <w:r>
        <w:t>2,16 мкг/мл, спустя сутки – 67,0</w:t>
      </w:r>
      <w:r>
        <w:sym w:font="Symbol" w:char="F0B1"/>
      </w:r>
      <w:r>
        <w:t>4,59 (р</w:t>
      </w:r>
      <w:r>
        <w:sym w:font="Symbol" w:char="F03C"/>
      </w:r>
      <w:r>
        <w:t>0,001), двое – 21,0</w:t>
      </w:r>
      <w:r>
        <w:sym w:font="Symbol" w:char="F0B1"/>
      </w:r>
      <w:r>
        <w:t>4,17 мкг/мл, по истечении 72 часов – 4,4</w:t>
      </w:r>
      <w:r>
        <w:sym w:font="Symbol" w:char="F0B1"/>
      </w:r>
      <w:r>
        <w:t>1,01, а к четвертым суткам реакция на содержание препарата в крови было отрицательной у всех по</w:t>
      </w:r>
      <w:r>
        <w:t>д</w:t>
      </w:r>
      <w:r>
        <w:t>опытных цыплят.</w:t>
      </w:r>
    </w:p>
    <w:p w:rsidR="00F4654E" w:rsidRDefault="00F4654E">
      <w:pPr>
        <w:pStyle w:val="a6"/>
      </w:pPr>
      <w:r>
        <w:t>Что же касается третьей опытной группы, то у птиц, при однократном применении сульфамонометоксина в дозе 0,2 г/кг, динамика концентрации препарата в крови во многом схожа с таковой у цыплят 2-ой группы, но имеют место и некоторые особенности. В частности, в первые 3 часа с м</w:t>
      </w:r>
      <w:r>
        <w:t>о</w:t>
      </w:r>
      <w:r>
        <w:lastRenderedPageBreak/>
        <w:t>мента поступления препарата в организм подопытных птиц нарастание уровня лекарственного средства происходило более равномерно и дости</w:t>
      </w:r>
      <w:r>
        <w:t>г</w:t>
      </w:r>
      <w:r>
        <w:t>ло 128,1</w:t>
      </w:r>
      <w:r>
        <w:sym w:font="Symbol" w:char="F0B1"/>
      </w:r>
      <w:r>
        <w:t>2,00 мкг/мл. Затем, на протяжении 9 часов концентрация преп</w:t>
      </w:r>
      <w:r>
        <w:t>а</w:t>
      </w:r>
      <w:r>
        <w:t>рата удерживалась на уровне, близком к максимальному (8 часов – 140,7</w:t>
      </w:r>
      <w:r>
        <w:sym w:font="Symbol" w:char="F0B1"/>
      </w:r>
      <w:r>
        <w:t>5,91 мкг/мл) и лишь к 24-часовому рубежу количество сульфанил</w:t>
      </w:r>
      <w:r>
        <w:t>а</w:t>
      </w:r>
      <w:r>
        <w:t>мида достоверно (р</w:t>
      </w:r>
      <w:r>
        <w:sym w:font="Symbol" w:char="F03C"/>
      </w:r>
      <w:r>
        <w:t>0,001) понизилось до 93,6</w:t>
      </w:r>
      <w:r>
        <w:sym w:font="Symbol" w:char="F0B1"/>
      </w:r>
      <w:r>
        <w:t>6,74 мкг/мл. В последу</w:t>
      </w:r>
      <w:r>
        <w:t>ю</w:t>
      </w:r>
      <w:r>
        <w:t>щие сутки содержание препарата в крови уменьшилось в 2,2 раза, а к 3-дневному сроку составило 19,6</w:t>
      </w:r>
      <w:r>
        <w:sym w:font="Symbol" w:char="F0B1"/>
      </w:r>
      <w:r>
        <w:t>1,77 мкг/мл и только спустя 5 суток сул</w:t>
      </w:r>
      <w:r>
        <w:t>ь</w:t>
      </w:r>
      <w:r>
        <w:t>фамонометоксин в крови подопытных цыплят или совсем не обнаружива</w:t>
      </w:r>
      <w:r>
        <w:t>л</w:t>
      </w:r>
      <w:r>
        <w:t>ся, или присутствовал в виде следов.</w:t>
      </w:r>
    </w:p>
    <w:p w:rsidR="00F4654E" w:rsidRDefault="00F4654E">
      <w:pPr>
        <w:pStyle w:val="a6"/>
      </w:pPr>
      <w:r>
        <w:t>На основании полученных данных можно сделать вывод, что сульф</w:t>
      </w:r>
      <w:r>
        <w:t>а</w:t>
      </w:r>
      <w:r>
        <w:t>монометоксин при однократном применении независимо от дозы быстро всасывается из желудочно-кишечного тракта цыплят благодаря, с одной стороны, высокому уровню обмена веществ у молодняка птицы в период ювенальной линьки, а с другой – способности сульфамонометоксина до</w:t>
      </w:r>
      <w:r>
        <w:t>с</w:t>
      </w:r>
      <w:r>
        <w:t>таточно быстро растворяться в кислой среде желудка и щелочной среде кишечника. При этом отмечается закономерность, что с увеличением дозы несколько замедляется всасывание препарата и время достижения его ма</w:t>
      </w:r>
      <w:r>
        <w:t>к</w:t>
      </w:r>
      <w:r>
        <w:t>симального уровня в крови, что, возможно, связано с угнетающим дейс</w:t>
      </w:r>
      <w:r>
        <w:t>т</w:t>
      </w:r>
      <w:r>
        <w:t>вием больших доз сульфамонометоксина на моторную функцию желудо</w:t>
      </w:r>
      <w:r>
        <w:t>ч</w:t>
      </w:r>
      <w:r>
        <w:t>но-кишечного тракта.</w:t>
      </w:r>
    </w:p>
    <w:p w:rsidR="00F4654E" w:rsidRDefault="00F4654E">
      <w:pPr>
        <w:pStyle w:val="a6"/>
      </w:pPr>
      <w:r>
        <w:t>В ходе анализа продолжительности циркуляции сульфамонометокс</w:t>
      </w:r>
      <w:r>
        <w:t>и</w:t>
      </w:r>
      <w:r>
        <w:t>на в крови установлено, что при назначении препарата в дозе 0,05 г/кг она колеблется от 48 до 72 часов, в дозе 0,1 г/кг – от 72 до 96 часов и в дозе 0,2 г/кг – от 120 до 144 часов.</w:t>
      </w:r>
    </w:p>
    <w:p w:rsidR="00F4654E" w:rsidRDefault="00F4654E">
      <w:pPr>
        <w:pStyle w:val="a6"/>
      </w:pPr>
      <w:r>
        <w:t>Таким образом, сульфамонометоксин в дозе 0,05 г/кг способен созд</w:t>
      </w:r>
      <w:r>
        <w:t>а</w:t>
      </w:r>
      <w:r>
        <w:t>вать в организме цыплят терапевтическую концентрацию и удерживать ее в течение 8-10 часов, в дозе 0,1 г/кг – 24-36 часов, в дозе 0,2 г/кг – в теч</w:t>
      </w:r>
      <w:r>
        <w:t>е</w:t>
      </w:r>
      <w:r>
        <w:t>ние 48 часов с момента введения.</w:t>
      </w:r>
    </w:p>
    <w:p w:rsidR="00F4654E" w:rsidRDefault="00F4654E">
      <w:pPr>
        <w:pStyle w:val="a4"/>
      </w:pPr>
      <w:r>
        <w:t>УДК 619:615.31-636.5</w:t>
      </w:r>
    </w:p>
    <w:p w:rsidR="00F4654E" w:rsidRDefault="00F4654E">
      <w:pPr>
        <w:pStyle w:val="1"/>
      </w:pPr>
      <w:bookmarkStart w:id="3778" w:name="_Toc10731474"/>
      <w:bookmarkStart w:id="3779" w:name="_Toc11137913"/>
      <w:bookmarkStart w:id="3780" w:name="_Toc11138331"/>
      <w:bookmarkStart w:id="3781" w:name="_Toc11138749"/>
      <w:bookmarkStart w:id="3782" w:name="_Toc11139167"/>
      <w:bookmarkStart w:id="3783" w:name="_Toc11139585"/>
      <w:bookmarkStart w:id="3784" w:name="_Toc11140003"/>
      <w:bookmarkStart w:id="3785" w:name="_Toc11140421"/>
      <w:bookmarkStart w:id="3786" w:name="_Toc11390529"/>
      <w:bookmarkStart w:id="3787" w:name="_Toc11840214"/>
      <w:bookmarkStart w:id="3788" w:name="_Toc11937750"/>
      <w:r>
        <w:t>Гуморальные факторы защиты при неспецифических гастроэнтеритах цыплят на фоне курсового применения сульфамонометоксина и эраконда</w:t>
      </w:r>
      <w:bookmarkEnd w:id="3778"/>
      <w:bookmarkEnd w:id="3779"/>
      <w:bookmarkEnd w:id="3780"/>
      <w:bookmarkEnd w:id="3781"/>
      <w:bookmarkEnd w:id="3782"/>
      <w:bookmarkEnd w:id="3783"/>
      <w:bookmarkEnd w:id="3784"/>
      <w:bookmarkEnd w:id="3785"/>
      <w:bookmarkEnd w:id="3786"/>
      <w:bookmarkEnd w:id="3787"/>
      <w:bookmarkEnd w:id="3788"/>
    </w:p>
    <w:p w:rsidR="00F4654E" w:rsidRDefault="00F4654E">
      <w:pPr>
        <w:pStyle w:val="2"/>
      </w:pPr>
      <w:bookmarkStart w:id="3789" w:name="_Toc10731475"/>
      <w:bookmarkStart w:id="3790" w:name="_Toc11032319"/>
      <w:bookmarkStart w:id="3791" w:name="_Toc11137914"/>
      <w:bookmarkStart w:id="3792" w:name="_Toc11138332"/>
      <w:bookmarkStart w:id="3793" w:name="_Toc11138750"/>
      <w:bookmarkStart w:id="3794" w:name="_Toc11139168"/>
      <w:bookmarkStart w:id="3795" w:name="_Toc11139586"/>
      <w:bookmarkStart w:id="3796" w:name="_Toc11140004"/>
      <w:bookmarkStart w:id="3797" w:name="_Toc11140422"/>
      <w:bookmarkStart w:id="3798" w:name="_Toc11390530"/>
      <w:bookmarkStart w:id="3799" w:name="_Toc11937751"/>
      <w:r>
        <w:t>Ортман О.Р., Мешков В.М., Ортман Р.А.</w:t>
      </w:r>
      <w:bookmarkEnd w:id="3789"/>
      <w:bookmarkEnd w:id="3790"/>
      <w:bookmarkEnd w:id="3791"/>
      <w:bookmarkEnd w:id="3792"/>
      <w:bookmarkEnd w:id="3793"/>
      <w:bookmarkEnd w:id="3794"/>
      <w:bookmarkEnd w:id="3795"/>
      <w:bookmarkEnd w:id="3796"/>
      <w:bookmarkEnd w:id="3797"/>
      <w:bookmarkEnd w:id="3798"/>
      <w:bookmarkEnd w:id="3799"/>
    </w:p>
    <w:p w:rsidR="00F4654E" w:rsidRDefault="00F4654E">
      <w:pPr>
        <w:pStyle w:val="a5"/>
      </w:pPr>
      <w:r>
        <w:t>Оренбургский государственный аграрный университет</w:t>
      </w:r>
    </w:p>
    <w:p w:rsidR="00F4654E" w:rsidRDefault="00F4654E">
      <w:pPr>
        <w:pStyle w:val="a6"/>
      </w:pPr>
      <w:r>
        <w:t>В настоящее время особое место занимают патологии, вызванные а</w:t>
      </w:r>
      <w:r>
        <w:t>с</w:t>
      </w:r>
      <w:r>
        <w:t>социацией условно-патогенных микроорганизмов. Эта проблема весьма актуальна в промышленном птицеводстве, имеющем издержки в технол</w:t>
      </w:r>
      <w:r>
        <w:t>о</w:t>
      </w:r>
      <w:r>
        <w:t>гии кормления и содержания птицы. Особенно подвержены заболеваниям смешанной этиологии отстающие в росте цыплята с низкой иммунобиол</w:t>
      </w:r>
      <w:r>
        <w:t>о</w:t>
      </w:r>
      <w:r>
        <w:t>гической реактивностью. Исходя из этого</w:t>
      </w:r>
      <w:r w:rsidR="00012E5D">
        <w:t>,</w:t>
      </w:r>
      <w:r>
        <w:t xml:space="preserve"> мы задались целью изучить </w:t>
      </w:r>
      <w:r>
        <w:lastRenderedPageBreak/>
        <w:t>влияние сульфамонометоксина и эраконда при сочетанном их назначении на показатели естественной резистентности здоровых и ослабленных цы</w:t>
      </w:r>
      <w:r>
        <w:t>п</w:t>
      </w:r>
      <w:r>
        <w:t xml:space="preserve">лят с признаками расклева и неспецифического гастроэнтерита. </w:t>
      </w:r>
    </w:p>
    <w:p w:rsidR="00F4654E" w:rsidRDefault="00F4654E">
      <w:pPr>
        <w:pStyle w:val="a6"/>
      </w:pPr>
      <w:r>
        <w:t>Под опытом находились цыплята 3-месячного возраста породы л</w:t>
      </w:r>
      <w:r>
        <w:t>о</w:t>
      </w:r>
      <w:r>
        <w:t>манн-браун. Их них были сформированы 4 группы птиц по 50 голов в ка</w:t>
      </w:r>
      <w:r>
        <w:t>ж</w:t>
      </w:r>
      <w:r>
        <w:t>дой. Первая и вторая группы состояли из ослабленных цыплят с признак</w:t>
      </w:r>
      <w:r>
        <w:t>а</w:t>
      </w:r>
      <w:r>
        <w:t>ми расклева и неспецифического гастроэнтерита. Отвес больной птицы с</w:t>
      </w:r>
      <w:r>
        <w:t>о</w:t>
      </w:r>
      <w:r>
        <w:t>ставлял в среднем 220 г. Третья и четвертая группы - из клинически здор</w:t>
      </w:r>
      <w:r>
        <w:t>о</w:t>
      </w:r>
      <w:r>
        <w:t>вых цыплят с массой тела, соответствующей стандарту породы. Птицы первой и третьей групп получали групповым методом сульфамономето</w:t>
      </w:r>
      <w:r>
        <w:t>к</w:t>
      </w:r>
      <w:r>
        <w:t>син в начальной дозе 0,1 г/кг и поддерживающей – 0,075 г/кг с кормом и эраконд в дозе 50 мг/кг внутрь с водой в течение 5 дней, а цыплятам вт</w:t>
      </w:r>
      <w:r>
        <w:t>о</w:t>
      </w:r>
      <w:r>
        <w:t>рой и четвертой групп препараты не назначали и они служили контролем.</w:t>
      </w:r>
    </w:p>
    <w:p w:rsidR="00F4654E" w:rsidRDefault="00F4654E">
      <w:pPr>
        <w:pStyle w:val="a6"/>
      </w:pPr>
      <w:r>
        <w:t>Нами установлено, что сыворотка крови цыплят, больных гастроэнт</w:t>
      </w:r>
      <w:r>
        <w:t>е</w:t>
      </w:r>
      <w:r>
        <w:t>ритом, в начале опыта обладала относительно слабыми бактерицидными свойствами по отношению к грамотрицательным микроорганизмам (3,8</w:t>
      </w:r>
      <w:r>
        <w:sym w:font="Symbol" w:char="F0B1"/>
      </w:r>
      <w:r>
        <w:t xml:space="preserve"> 1,27%). Назначение испытуемых препаратов способствовало коррекции этого показателя. В частности, уже к третьим суткам исследований этот гуморальный фактор защиты у птиц первой группы в 2,2 раза превышал уровень бактерицидной активности сыворотки крови птиц второй группы, но наиболее сильной сдерживающей способностью к размножению гр</w:t>
      </w:r>
      <w:r>
        <w:t>а</w:t>
      </w:r>
      <w:r>
        <w:t>мотрицательных микроогранизмов обладала сыворотка крови здоровых птиц, получавших препараты (38,0</w:t>
      </w:r>
      <w:r>
        <w:sym w:font="Symbol" w:char="F0B1"/>
      </w:r>
      <w:r>
        <w:t xml:space="preserve">7,90%) </w:t>
      </w:r>
    </w:p>
    <w:p w:rsidR="00F4654E" w:rsidRDefault="00F4654E">
      <w:pPr>
        <w:pStyle w:val="a6"/>
      </w:pPr>
      <w:r>
        <w:t xml:space="preserve">Активность </w:t>
      </w:r>
      <w:r>
        <w:sym w:font="Symbol" w:char="F062"/>
      </w:r>
      <w:r>
        <w:t>-лизинов, напротив, у больных цыплят была достоверно выше (р</w:t>
      </w:r>
      <w:r>
        <w:sym w:font="Symbol" w:char="F03C"/>
      </w:r>
      <w:r>
        <w:t>0,05), чем у здоровых особей, что, по-видимому, связано с дес</w:t>
      </w:r>
      <w:r>
        <w:t>т</w:t>
      </w:r>
      <w:r>
        <w:t xml:space="preserve">руктивными процессами в органах и тканях, а потому организм нуждался в больших количествах стабилизирующих факторов, к которым и относятся </w:t>
      </w:r>
      <w:r>
        <w:sym w:font="Symbol" w:char="F062"/>
      </w:r>
      <w:r>
        <w:t xml:space="preserve">-лизины. Так, к третьим суткам исследований </w:t>
      </w:r>
      <w:r>
        <w:sym w:font="Symbol" w:char="F062"/>
      </w:r>
      <w:r>
        <w:t>-литическая активность сыворотки крови составила в первой и второй группах птиц 31,6</w:t>
      </w:r>
      <w:r>
        <w:sym w:font="Symbol" w:char="F0B1"/>
      </w:r>
      <w:r>
        <w:t>1,86 и 32,6</w:t>
      </w:r>
      <w:r>
        <w:sym w:font="Symbol" w:char="F0B1"/>
      </w:r>
      <w:r>
        <w:t>1,39 % соответственно, тогда как в третьей и четвертой – не прев</w:t>
      </w:r>
      <w:r>
        <w:t>ы</w:t>
      </w:r>
      <w:r>
        <w:t>шала 24,3</w:t>
      </w:r>
      <w:r>
        <w:sym w:font="Symbol" w:char="F0B1"/>
      </w:r>
      <w:r>
        <w:t xml:space="preserve">1,80  %.          </w:t>
      </w:r>
    </w:p>
    <w:p w:rsidR="00F4654E" w:rsidRDefault="00F4654E">
      <w:pPr>
        <w:pStyle w:val="a6"/>
      </w:pPr>
      <w:r>
        <w:t>Несколько по иному происходили изменения лизоцимной активности сыворотки крови. Так, в первые трое суток у цыплят с расстройствами ж</w:t>
      </w:r>
      <w:r>
        <w:t>е</w:t>
      </w:r>
      <w:r>
        <w:t>лудочно-кишечного тракта лизоцимная активность сыворотки крови была меньше, чем в остальных группах (31,8</w:t>
      </w:r>
      <w:r>
        <w:sym w:font="Symbol" w:char="F0B1"/>
      </w:r>
      <w:r>
        <w:t>2,89%), а к недельному сроку и</w:t>
      </w:r>
      <w:r>
        <w:t>с</w:t>
      </w:r>
      <w:r>
        <w:t>следований упала до 22,4</w:t>
      </w:r>
      <w:r>
        <w:sym w:font="Symbol" w:char="F0B1"/>
      </w:r>
      <w:r>
        <w:t>3,58%. Можно предположить, что это связано с интоксикацией, развивающейся на фоне болезни, и сенсибилизацией орг</w:t>
      </w:r>
      <w:r>
        <w:t>а</w:t>
      </w:r>
      <w:r>
        <w:t>низма цыплят чужеродными агентами. Все это в совокупности приводит к угнетению активности мурамидазы сыворотки крови. Чего нельзя сказать о цыплятах второй группы, получавших препараты, где уровень лизоцимной активности составил 41,1</w:t>
      </w:r>
      <w:r>
        <w:sym w:font="Symbol" w:char="F0B1"/>
      </w:r>
      <w:r>
        <w:t xml:space="preserve">3,50%. </w:t>
      </w:r>
    </w:p>
    <w:p w:rsidR="00F4654E" w:rsidRDefault="00F4654E">
      <w:pPr>
        <w:pStyle w:val="a6"/>
      </w:pPr>
      <w:r>
        <w:lastRenderedPageBreak/>
        <w:t>В заключительной стадии эксперимента лизоцимная активность у больных цыплят, испытавших действие курсового назначения препаратов, достоверно возросла до 46,2</w:t>
      </w:r>
      <w:r>
        <w:sym w:font="Symbol" w:char="F0B1"/>
      </w:r>
      <w:r>
        <w:t>4,76 % (р</w:t>
      </w:r>
      <w:r>
        <w:sym w:font="Symbol" w:char="F03C"/>
      </w:r>
      <w:r>
        <w:t>0,05) и оказалась выше этого пок</w:t>
      </w:r>
      <w:r>
        <w:t>а</w:t>
      </w:r>
      <w:r>
        <w:t>зателя у цыплят второй и третьей групп. В то же время, в группе клинич</w:t>
      </w:r>
      <w:r>
        <w:t>е</w:t>
      </w:r>
      <w:r>
        <w:t>ски здоровых птиц, получавших препараты, уровень лизоцимной активн</w:t>
      </w:r>
      <w:r>
        <w:t>о</w:t>
      </w:r>
      <w:r>
        <w:t>сти существенно снизился в 1,3 раза по отношению к первоначальным зн</w:t>
      </w:r>
      <w:r>
        <w:t>а</w:t>
      </w:r>
      <w:r>
        <w:t>чениям (р</w:t>
      </w:r>
      <w:r>
        <w:sym w:font="Symbol" w:char="F03C"/>
      </w:r>
      <w:r>
        <w:t>0,01), но остался выше фоновых показателей.</w:t>
      </w:r>
    </w:p>
    <w:p w:rsidR="00F4654E" w:rsidRDefault="00F4654E">
      <w:pPr>
        <w:pStyle w:val="a6"/>
      </w:pPr>
      <w:r>
        <w:t>Таким образом, назначение цыплятам с признаками расклева и несп</w:t>
      </w:r>
      <w:r>
        <w:t>е</w:t>
      </w:r>
      <w:r>
        <w:t>цифического гастроэнтерита сульфамонометоксина, обладающего прот</w:t>
      </w:r>
      <w:r>
        <w:t>и</w:t>
      </w:r>
      <w:r>
        <w:t>вомикробным и бактериостатическим действим на условно-патогенную микрофлору кишечника, в сочетании с эракондом – препаратом растител</w:t>
      </w:r>
      <w:r>
        <w:t>ь</w:t>
      </w:r>
      <w:r>
        <w:t xml:space="preserve">ного происхождения, обогащенным микроэлементами, позволяет быстрее вывести бактерицидную и </w:t>
      </w:r>
      <w:r>
        <w:sym w:font="Symbol" w:char="F062"/>
      </w:r>
      <w:r>
        <w:t xml:space="preserve">-литическую активности сыворотки крови на генетически детерминированный уровень и стимулирует поступление в сыворотку крови лизоцима, особенно в разгар болезни и спустя пять суток после окончания дачи препаратов. </w:t>
      </w:r>
    </w:p>
    <w:p w:rsidR="00F4654E" w:rsidRDefault="00F4654E">
      <w:pPr>
        <w:pStyle w:val="a4"/>
      </w:pPr>
      <w:r>
        <w:t>УДК 619:615.31+636.5</w:t>
      </w:r>
    </w:p>
    <w:p w:rsidR="00F4654E" w:rsidRDefault="00F4654E">
      <w:pPr>
        <w:pStyle w:val="1"/>
      </w:pPr>
      <w:bookmarkStart w:id="3800" w:name="_Toc10731476"/>
      <w:bookmarkStart w:id="3801" w:name="_Toc11137915"/>
      <w:bookmarkStart w:id="3802" w:name="_Toc11138333"/>
      <w:bookmarkStart w:id="3803" w:name="_Toc11138751"/>
      <w:bookmarkStart w:id="3804" w:name="_Toc11139169"/>
      <w:bookmarkStart w:id="3805" w:name="_Toc11139587"/>
      <w:bookmarkStart w:id="3806" w:name="_Toc11140005"/>
      <w:bookmarkStart w:id="3807" w:name="_Toc11140423"/>
      <w:bookmarkStart w:id="3808" w:name="_Toc11390531"/>
      <w:bookmarkStart w:id="3809" w:name="_Toc11840216"/>
      <w:bookmarkStart w:id="3810" w:name="_Toc11937752"/>
      <w:r>
        <w:t>Изменения гематологических показателей у цыплят при назначении сульфамонометоксина</w:t>
      </w:r>
      <w:bookmarkEnd w:id="3800"/>
      <w:bookmarkEnd w:id="3801"/>
      <w:bookmarkEnd w:id="3802"/>
      <w:bookmarkEnd w:id="3803"/>
      <w:bookmarkEnd w:id="3804"/>
      <w:bookmarkEnd w:id="3805"/>
      <w:bookmarkEnd w:id="3806"/>
      <w:bookmarkEnd w:id="3807"/>
      <w:bookmarkEnd w:id="3808"/>
      <w:bookmarkEnd w:id="3809"/>
      <w:bookmarkEnd w:id="3810"/>
    </w:p>
    <w:p w:rsidR="00F4654E" w:rsidRDefault="00F4654E">
      <w:pPr>
        <w:pStyle w:val="2"/>
      </w:pPr>
      <w:bookmarkStart w:id="3811" w:name="_Toc10731477"/>
      <w:bookmarkStart w:id="3812" w:name="_Toc11032320"/>
      <w:bookmarkStart w:id="3813" w:name="_Toc11137916"/>
      <w:bookmarkStart w:id="3814" w:name="_Toc11138334"/>
      <w:bookmarkStart w:id="3815" w:name="_Toc11138752"/>
      <w:bookmarkStart w:id="3816" w:name="_Toc11139170"/>
      <w:bookmarkStart w:id="3817" w:name="_Toc11139588"/>
      <w:bookmarkStart w:id="3818" w:name="_Toc11140006"/>
      <w:bookmarkStart w:id="3819" w:name="_Toc11140424"/>
      <w:bookmarkStart w:id="3820" w:name="_Toc11390532"/>
      <w:bookmarkStart w:id="3821" w:name="_Toc11937753"/>
      <w:r>
        <w:t>Ортман О.Р., Мешков В.М., Ортман Р.А.</w:t>
      </w:r>
      <w:bookmarkEnd w:id="3811"/>
      <w:bookmarkEnd w:id="3812"/>
      <w:bookmarkEnd w:id="3813"/>
      <w:bookmarkEnd w:id="3814"/>
      <w:bookmarkEnd w:id="3815"/>
      <w:bookmarkEnd w:id="3816"/>
      <w:bookmarkEnd w:id="3817"/>
      <w:bookmarkEnd w:id="3818"/>
      <w:bookmarkEnd w:id="3819"/>
      <w:bookmarkEnd w:id="3820"/>
      <w:bookmarkEnd w:id="3821"/>
    </w:p>
    <w:p w:rsidR="00F4654E" w:rsidRDefault="00F4654E">
      <w:pPr>
        <w:pStyle w:val="a5"/>
      </w:pPr>
      <w:r>
        <w:t>Оренбургский государственный аграрный университет</w:t>
      </w:r>
    </w:p>
    <w:p w:rsidR="00F4654E" w:rsidRDefault="00F4654E">
      <w:pPr>
        <w:pStyle w:val="a6"/>
      </w:pPr>
      <w:r>
        <w:t>Количественные изменения численности эритроцитов за время опыта регистрировались в основном в первые 120 часов. Так, в начале экспер</w:t>
      </w:r>
      <w:r>
        <w:t>и</w:t>
      </w:r>
      <w:r>
        <w:t>мента содержание эритроцитов в первой группе цыплят, получавших сульфамонометоксин в дозе 0,075 г/кг, не превышало 1,98</w:t>
      </w:r>
      <w:r>
        <w:sym w:font="Symbol" w:char="F0B1"/>
      </w:r>
      <w:r>
        <w:t>0,032 Т/л, а во второй группе – 2,15</w:t>
      </w:r>
      <w:r>
        <w:sym w:font="Symbol" w:char="F0B1"/>
      </w:r>
      <w:r>
        <w:t>0,086 Т/л. В последующие 48 часов этот показатель достоверно повысился до 2,33</w:t>
      </w:r>
      <w:r>
        <w:sym w:font="Symbol" w:char="F0B1"/>
      </w:r>
      <w:r>
        <w:t>0,051 и 2,35</w:t>
      </w:r>
      <w:r>
        <w:sym w:font="Symbol" w:char="F0B1"/>
      </w:r>
      <w:r>
        <w:t>0,034 Т/л соответственно (р</w:t>
      </w:r>
      <w:r>
        <w:sym w:font="Symbol" w:char="F03C"/>
      </w:r>
      <w:r>
        <w:t>0,001) против 2,00</w:t>
      </w:r>
      <w:r>
        <w:sym w:font="Symbol" w:char="F0B1"/>
      </w:r>
      <w:r>
        <w:t>0,084 Т/л (контроль). В дальнейшем, в обеих опы</w:t>
      </w:r>
      <w:r>
        <w:t>т</w:t>
      </w:r>
      <w:r>
        <w:t>ных группах наметилось постепенное снижение исследуемого показателя, хотя и недостоверное вплоть до пятидневного срока. Но к седьмым суткам численность эритроцитов существенно уменьшалась до уровня этого пок</w:t>
      </w:r>
      <w:r>
        <w:t>а</w:t>
      </w:r>
      <w:r>
        <w:t>зателя в контрольной группе.</w:t>
      </w:r>
    </w:p>
    <w:p w:rsidR="00F4654E" w:rsidRDefault="00F4654E">
      <w:pPr>
        <w:pStyle w:val="a6"/>
      </w:pPr>
      <w:r>
        <w:t>Аналогичные изменения у подопытных цыплят мы наблюдали и при анализе данных по динамике гемоглобина у подопытных животных. Так, после назначения сульфамонометоксина в дозах 0,075 г/кг и 0,1 г/кг в пе</w:t>
      </w:r>
      <w:r>
        <w:t>р</w:t>
      </w:r>
      <w:r>
        <w:t>вые сутки исследований уровень гемоглобина не отличался от такового контрольной группы и составил 84,8</w:t>
      </w:r>
      <w:r>
        <w:sym w:font="Symbol" w:char="F0B1"/>
      </w:r>
      <w:r>
        <w:t>2,44 и 85,2</w:t>
      </w:r>
      <w:r>
        <w:sym w:font="Symbol" w:char="F0B1"/>
      </w:r>
      <w:r>
        <w:t>1,46 г/л соответственно. Но спустя двое суток его количество достоверно возросло в обеих опы</w:t>
      </w:r>
      <w:r>
        <w:t>т</w:t>
      </w:r>
      <w:r>
        <w:t>ных группах цыплят. В частности, в первой группе содержание гемоглоб</w:t>
      </w:r>
      <w:r>
        <w:t>и</w:t>
      </w:r>
      <w:r>
        <w:t>на достигло отметки 94,8</w:t>
      </w:r>
      <w:r>
        <w:sym w:font="Symbol" w:char="F0B1"/>
      </w:r>
      <w:r>
        <w:t>2,06 г/л (р</w:t>
      </w:r>
      <w:r>
        <w:sym w:font="Symbol" w:char="F03C"/>
      </w:r>
      <w:r>
        <w:t>0,02), а во второй – 100,6</w:t>
      </w:r>
      <w:r>
        <w:sym w:font="Symbol" w:char="F0B1"/>
      </w:r>
      <w:r>
        <w:t xml:space="preserve">1,60 г/л </w:t>
      </w:r>
      <w:r>
        <w:lastRenderedPageBreak/>
        <w:t>(р</w:t>
      </w:r>
      <w:r>
        <w:sym w:font="Symbol" w:char="F03C"/>
      </w:r>
      <w:r>
        <w:t>0,001). В последующий промежуток времени отмечалось постепенное снижение количества гемоглобина. А именно, к пятым суткам исследу</w:t>
      </w:r>
      <w:r>
        <w:t>е</w:t>
      </w:r>
      <w:r>
        <w:t>мый показатель крови достиг 88,4</w:t>
      </w:r>
      <w:r>
        <w:sym w:font="Symbol" w:char="F0B1"/>
      </w:r>
      <w:r>
        <w:t>1,29 г/л (р</w:t>
      </w:r>
      <w:r>
        <w:sym w:font="Symbol" w:char="F03C"/>
      </w:r>
      <w:r>
        <w:t>0,05), но все-таки был выше значений контрольной группы (р</w:t>
      </w:r>
      <w:r>
        <w:sym w:font="Symbol" w:char="F03C"/>
      </w:r>
      <w:r>
        <w:t>0,02). Дальнейшие изменения уровня г</w:t>
      </w:r>
      <w:r>
        <w:t>е</w:t>
      </w:r>
      <w:r>
        <w:t>моглобина в этой группе были не существенны и не выходили за рамки ошибки средней арифметической группы интактных цыплят.</w:t>
      </w:r>
    </w:p>
    <w:p w:rsidR="00F4654E" w:rsidRDefault="00F4654E">
      <w:pPr>
        <w:pStyle w:val="a6"/>
      </w:pPr>
      <w:r>
        <w:t>Несколько иначе происходило изменение количества гемоглобина у цыплят, получавших сульфамонометоксин в дозе 0,1 г/кг. Так, его макс</w:t>
      </w:r>
      <w:r>
        <w:t>и</w:t>
      </w:r>
      <w:r>
        <w:t>мальный уровень в данной группе удерживался на протяжении 48 часов и составил при индивидуальных колебаниях от 96,0 г/л до 108,0 г/л. Затем, произошло понижение этого показателя (р</w:t>
      </w:r>
      <w:r>
        <w:sym w:font="Symbol" w:char="F03C"/>
      </w:r>
      <w:r>
        <w:t>0,01) до уровня контрольной группы (87,8</w:t>
      </w:r>
      <w:r>
        <w:sym w:font="Symbol" w:char="F0B1"/>
      </w:r>
      <w:r>
        <w:t>2,78 г/л).</w:t>
      </w:r>
    </w:p>
    <w:p w:rsidR="00F4654E" w:rsidRDefault="00F4654E">
      <w:pPr>
        <w:pStyle w:val="a6"/>
      </w:pPr>
      <w:r>
        <w:t>Таким образом, увеличение численности эритроцитов и гемоглобина в первые пять суток эксперимента говорит об активизации эритропоэза и увеличении степени насыщения форменных элементов гемоглобином, что позитивно влияет на все физиологические функции растущего организма.</w:t>
      </w:r>
    </w:p>
    <w:p w:rsidR="00F4654E" w:rsidRDefault="00F4654E">
      <w:pPr>
        <w:pStyle w:val="a6"/>
      </w:pPr>
      <w:r>
        <w:t>Динамика изменений гематокритного числа у подопытных цыплят было схожей у всех групп. К тому же следует заметить, что колебания г</w:t>
      </w:r>
      <w:r>
        <w:t>е</w:t>
      </w:r>
      <w:r>
        <w:t>матокритного числа за все время эксперимента были в пределах естестве</w:t>
      </w:r>
      <w:r>
        <w:t>н</w:t>
      </w:r>
      <w:r>
        <w:t>ных колебаний этого показателя у цыплят контрольной группы. Таким о</w:t>
      </w:r>
      <w:r>
        <w:t>б</w:t>
      </w:r>
      <w:r>
        <w:t>разом, сульфамонометоксин в оптимальных дозах не оказывает сущес</w:t>
      </w:r>
      <w:r>
        <w:t>т</w:t>
      </w:r>
      <w:r>
        <w:t>венного влияния на соотношение форменных элементов крови и плазмы.</w:t>
      </w:r>
    </w:p>
    <w:p w:rsidR="00F4654E" w:rsidRDefault="00F4654E">
      <w:pPr>
        <w:pStyle w:val="a6"/>
      </w:pPr>
      <w:r>
        <w:t>Анализ динамики количества лейкоцитов показал, что применение сульфамонометоксина стимулирует поступление лейкоцитов в кровяное русло. В частности, уже через сутки после введения препарата количество лейкоцитов возросло в обеих опытных группах, однако лишь во второй это увеличение было достоверным (р</w:t>
      </w:r>
      <w:r>
        <w:sym w:font="Symbol" w:char="F03C"/>
      </w:r>
      <w:r>
        <w:t>0,02) и составило 35,1</w:t>
      </w:r>
      <w:r>
        <w:sym w:font="Symbol" w:char="F0B1"/>
      </w:r>
      <w:r>
        <w:t>1,62 Г/л. В п</w:t>
      </w:r>
      <w:r>
        <w:t>о</w:t>
      </w:r>
      <w:r>
        <w:t>следующие двое суток численность белых клеток крови продолжало н</w:t>
      </w:r>
      <w:r>
        <w:t>а</w:t>
      </w:r>
      <w:r>
        <w:t>растать и спустя 72 часа после назначения сульфамонометоксина достигла максимального значения. А именно, в первой группе она выражалась ци</w:t>
      </w:r>
      <w:r>
        <w:t>ф</w:t>
      </w:r>
      <w:r>
        <w:t>рой 47,8</w:t>
      </w:r>
      <w:r>
        <w:sym w:font="Symbol" w:char="F0B1"/>
      </w:r>
      <w:r>
        <w:t>2,78 Г/л, а во второй – 41,0</w:t>
      </w:r>
      <w:r>
        <w:sym w:font="Symbol" w:char="F0B1"/>
      </w:r>
      <w:r>
        <w:t>1,29 Г/л при значении в контроле 30,3</w:t>
      </w:r>
      <w:r>
        <w:sym w:font="Symbol" w:char="F0B1"/>
      </w:r>
      <w:r>
        <w:t>1,35 Г/л. К пятому дню исследований содержание лейкоцитов сущ</w:t>
      </w:r>
      <w:r>
        <w:t>е</w:t>
      </w:r>
      <w:r>
        <w:t>ственно снизилось и составило 38,6</w:t>
      </w:r>
      <w:r>
        <w:sym w:font="Symbol" w:char="F0B1"/>
      </w:r>
      <w:r>
        <w:t>0,87 Г/л (первая группа) и 34,3</w:t>
      </w:r>
      <w:r>
        <w:sym w:font="Symbol" w:char="F0B1"/>
      </w:r>
      <w:r>
        <w:t>1,44 Г/л (вторая группа). В дальнейшем, колебания исследуемого показателя в первой группе были незначительными, хотя абсолютные значения и ост</w:t>
      </w:r>
      <w:r>
        <w:t>а</w:t>
      </w:r>
      <w:r>
        <w:t>вались выше таковых контрольной группы, тогда как у цыплят, получа</w:t>
      </w:r>
      <w:r>
        <w:t>в</w:t>
      </w:r>
      <w:r>
        <w:t>ших сульфамонометоксин в дозе 0,1 г/кг, к недельному сроку численность лейкоцитов вновь возросло до 41,2</w:t>
      </w:r>
      <w:r>
        <w:sym w:font="Symbol" w:char="F0B1"/>
      </w:r>
      <w:r>
        <w:t>1,47 Г/л (р</w:t>
      </w:r>
      <w:r>
        <w:sym w:font="Symbol" w:char="F03C"/>
      </w:r>
      <w:r>
        <w:t>0,02), а затем снизилась до 34,2</w:t>
      </w:r>
      <w:r>
        <w:sym w:font="Symbol" w:char="F0B1"/>
      </w:r>
      <w:r>
        <w:t>0,83 Г/л, что несущественно выше показателей интактных цыплят.</w:t>
      </w:r>
    </w:p>
    <w:p w:rsidR="00F4654E" w:rsidRDefault="00F4654E">
      <w:pPr>
        <w:pStyle w:val="a6"/>
      </w:pPr>
      <w:r>
        <w:t xml:space="preserve">Следовательно, назначение сульфамонометоксина в средних дозах повышает защитные способности организма и стимулирует мобилизацию </w:t>
      </w:r>
      <w:r>
        <w:lastRenderedPageBreak/>
        <w:t>лейкоцитов в периферическую кровь особенно в первые сутки применения препарата.</w:t>
      </w:r>
    </w:p>
    <w:p w:rsidR="00F4654E" w:rsidRDefault="00F4654E">
      <w:pPr>
        <w:pStyle w:val="a4"/>
      </w:pPr>
      <w:r>
        <w:t>УДК 619:615.31+636.5</w:t>
      </w:r>
    </w:p>
    <w:p w:rsidR="00F4654E" w:rsidRDefault="00F4654E">
      <w:pPr>
        <w:pStyle w:val="1"/>
      </w:pPr>
      <w:bookmarkStart w:id="3822" w:name="_Toc10731478"/>
      <w:bookmarkStart w:id="3823" w:name="_Toc11137917"/>
      <w:bookmarkStart w:id="3824" w:name="_Toc11138335"/>
      <w:bookmarkStart w:id="3825" w:name="_Toc11138753"/>
      <w:bookmarkStart w:id="3826" w:name="_Toc11139171"/>
      <w:bookmarkStart w:id="3827" w:name="_Toc11139589"/>
      <w:bookmarkStart w:id="3828" w:name="_Toc11140007"/>
      <w:bookmarkStart w:id="3829" w:name="_Toc11140425"/>
      <w:bookmarkStart w:id="3830" w:name="_Toc11390533"/>
      <w:bookmarkStart w:id="3831" w:name="_Toc11840218"/>
      <w:bookmarkStart w:id="3832" w:name="_Toc11937754"/>
      <w:r>
        <w:t>Распределение сульфомонометоксина в органах и тканях цыплят</w:t>
      </w:r>
      <w:bookmarkEnd w:id="3822"/>
      <w:bookmarkEnd w:id="3823"/>
      <w:bookmarkEnd w:id="3824"/>
      <w:bookmarkEnd w:id="3825"/>
      <w:bookmarkEnd w:id="3826"/>
      <w:bookmarkEnd w:id="3827"/>
      <w:bookmarkEnd w:id="3828"/>
      <w:bookmarkEnd w:id="3829"/>
      <w:bookmarkEnd w:id="3830"/>
      <w:bookmarkEnd w:id="3831"/>
      <w:bookmarkEnd w:id="3832"/>
    </w:p>
    <w:p w:rsidR="00F4654E" w:rsidRDefault="00F4654E">
      <w:pPr>
        <w:pStyle w:val="2"/>
      </w:pPr>
      <w:bookmarkStart w:id="3833" w:name="_Toc10731479"/>
      <w:bookmarkStart w:id="3834" w:name="_Toc11032321"/>
      <w:bookmarkStart w:id="3835" w:name="_Toc11137918"/>
      <w:bookmarkStart w:id="3836" w:name="_Toc11138336"/>
      <w:bookmarkStart w:id="3837" w:name="_Toc11138754"/>
      <w:bookmarkStart w:id="3838" w:name="_Toc11139172"/>
      <w:bookmarkStart w:id="3839" w:name="_Toc11139590"/>
      <w:bookmarkStart w:id="3840" w:name="_Toc11140008"/>
      <w:bookmarkStart w:id="3841" w:name="_Toc11140426"/>
      <w:bookmarkStart w:id="3842" w:name="_Toc11390534"/>
      <w:bookmarkStart w:id="3843" w:name="_Toc11937755"/>
      <w:r>
        <w:t>Ортман О.Р., Ортман Р.А.</w:t>
      </w:r>
      <w:bookmarkEnd w:id="3833"/>
      <w:bookmarkEnd w:id="3834"/>
      <w:bookmarkEnd w:id="3835"/>
      <w:bookmarkEnd w:id="3836"/>
      <w:bookmarkEnd w:id="3837"/>
      <w:bookmarkEnd w:id="3838"/>
      <w:bookmarkEnd w:id="3839"/>
      <w:bookmarkEnd w:id="3840"/>
      <w:bookmarkEnd w:id="3841"/>
      <w:bookmarkEnd w:id="3842"/>
      <w:bookmarkEnd w:id="3843"/>
    </w:p>
    <w:p w:rsidR="00F4654E" w:rsidRDefault="00F4654E">
      <w:pPr>
        <w:pStyle w:val="a5"/>
      </w:pPr>
      <w:r>
        <w:t>Оренбургский государственный аграрный университет</w:t>
      </w:r>
    </w:p>
    <w:p w:rsidR="00F4654E" w:rsidRDefault="00F4654E">
      <w:pPr>
        <w:pStyle w:val="a6"/>
      </w:pPr>
      <w:r>
        <w:t>Нашими исследованиями установлено, что сульфамонометоксин, вв</w:t>
      </w:r>
      <w:r>
        <w:t>о</w:t>
      </w:r>
      <w:r>
        <w:t>димый внутрь в дозе 0,2 г/кг, после всасывания в кровь быстро проникал во все исследуемые органы и ткани. Характер распределения в них зависел не только от индивидуальных особенностей цыплят, степени функци</w:t>
      </w:r>
      <w:r>
        <w:t>о</w:t>
      </w:r>
      <w:r>
        <w:t>нальной нагрузки на их органы и ткани, но и от времени присутствия пр</w:t>
      </w:r>
      <w:r>
        <w:t>е</w:t>
      </w:r>
      <w:r>
        <w:t>парата в организме птиц. Так, например, уже через один час после введ</w:t>
      </w:r>
      <w:r>
        <w:t>е</w:t>
      </w:r>
      <w:r>
        <w:t>ния препарата концентрация его в различных органах и тканях колебалась от 11,6</w:t>
      </w:r>
      <w:r>
        <w:sym w:font="Symbol" w:char="F0B1"/>
      </w:r>
      <w:r>
        <w:t>1,30 мкг/мл (ткани головного мозга) до 123,9</w:t>
      </w:r>
      <w:r>
        <w:sym w:font="Symbol" w:char="F0B1"/>
      </w:r>
      <w:r>
        <w:t>3,19 мкг/мл (стенка зоба). При этом, содержание препарата в головном мозге, мышцах, сел</w:t>
      </w:r>
      <w:r>
        <w:t>е</w:t>
      </w:r>
      <w:r>
        <w:t>зенке, печени и железистом желудке оказалось ниже бактериостатической концентрации, а в крови, сердце, легких, почках, стенке зоба, тонком отд</w:t>
      </w:r>
      <w:r>
        <w:t>е</w:t>
      </w:r>
      <w:r>
        <w:t>ле кишечника и в мускульном желудке, напротив, превышало 40 мкг/мл.</w:t>
      </w:r>
    </w:p>
    <w:p w:rsidR="00F4654E" w:rsidRDefault="00F4654E">
      <w:pPr>
        <w:pStyle w:val="a6"/>
      </w:pPr>
      <w:r>
        <w:t>В дальнейшем, наблюдалось увеличение концентрации препарата почти во всех органах и тканях. В частности, спустя два часа содержание сульфамонометоксина в сердце, печени, мышцах, головном мозге, селезе</w:t>
      </w:r>
      <w:r>
        <w:t>н</w:t>
      </w:r>
      <w:r>
        <w:t>ке и му</w:t>
      </w:r>
      <w:r>
        <w:t>с</w:t>
      </w:r>
      <w:r>
        <w:t>кульном желудке увеличилось в 2-5 раз, а в стенке зоба количество препарата удерживалось на том же уровне (124,9</w:t>
      </w:r>
      <w:r>
        <w:sym w:font="Symbol" w:char="F0B1"/>
      </w:r>
      <w:r>
        <w:t>3,30 мкг/мл). Исключ</w:t>
      </w:r>
      <w:r>
        <w:t>е</w:t>
      </w:r>
      <w:r>
        <w:t>ние составляет лишь тонкий отдел кишечника, где именно ко второму часу произошло вр</w:t>
      </w:r>
      <w:r>
        <w:t>е</w:t>
      </w:r>
      <w:r>
        <w:t>менное снижение содержания сульфамонометоксина на 20% (р</w:t>
      </w:r>
      <w:r>
        <w:sym w:font="Symbol" w:char="F03C"/>
      </w:r>
      <w:r>
        <w:t>0,01), однако, уже час спустя вновь возросло до 88,4</w:t>
      </w:r>
      <w:r>
        <w:sym w:font="Symbol" w:char="F0B1"/>
      </w:r>
      <w:r>
        <w:t>3,32 мкг/мл (р</w:t>
      </w:r>
      <w:r>
        <w:sym w:font="Symbol" w:char="F03C"/>
      </w:r>
      <w:r>
        <w:t>0,001).</w:t>
      </w:r>
    </w:p>
    <w:p w:rsidR="00F4654E" w:rsidRDefault="00F4654E">
      <w:pPr>
        <w:pStyle w:val="a6"/>
      </w:pPr>
      <w:r>
        <w:t>Максимальный уровень концентрации сульфамонометоксина во всех органах и тканях регистрировался в промежутке между 3-м и 12-м часом с момента введения препарата. Причем, в крови, легких, печени, селезенке и стенке тонкого отдела кишечника изменения количества препарата в в</w:t>
      </w:r>
      <w:r>
        <w:t>ы</w:t>
      </w:r>
      <w:r>
        <w:t>шеуказанный период были недостоверными и удерживались близко к ма</w:t>
      </w:r>
      <w:r>
        <w:t>к</w:t>
      </w:r>
      <w:r>
        <w:t>симальному уровню: 138,1</w:t>
      </w:r>
      <w:r>
        <w:sym w:font="Symbol" w:char="F0B1"/>
      </w:r>
      <w:r>
        <w:t>4,46, 94,5</w:t>
      </w:r>
      <w:r>
        <w:sym w:font="Symbol" w:char="F0B1"/>
      </w:r>
      <w:r>
        <w:t>2,10, 134,5</w:t>
      </w:r>
      <w:r>
        <w:sym w:font="Symbol" w:char="F0B1"/>
      </w:r>
      <w:r>
        <w:t>2,45, 89,2</w:t>
      </w:r>
      <w:r>
        <w:sym w:font="Symbol" w:char="F0B1"/>
      </w:r>
      <w:r>
        <w:t>3,82 и 93,5</w:t>
      </w:r>
      <w:r>
        <w:sym w:font="Symbol" w:char="F0B1"/>
      </w:r>
      <w:r>
        <w:t>4,59 мкг/мл соответственно.</w:t>
      </w:r>
    </w:p>
    <w:p w:rsidR="00F4654E" w:rsidRDefault="00F4654E">
      <w:pPr>
        <w:pStyle w:val="a6"/>
      </w:pPr>
      <w:r>
        <w:t>В мускульном и железистом желудках максимальное содержание сульфамонометоксина отмечалось к 5-8 часу и составляло в первом из них – 113,5</w:t>
      </w:r>
      <w:r>
        <w:sym w:font="Symbol" w:char="F0B1"/>
      </w:r>
      <w:r>
        <w:t>2,42 мкг/мл (р</w:t>
      </w:r>
      <w:r>
        <w:sym w:font="Symbol" w:char="F03C"/>
      </w:r>
      <w:r>
        <w:t>0,001), а во втором – 105,4</w:t>
      </w:r>
      <w:r>
        <w:sym w:font="Symbol" w:char="F0B1"/>
      </w:r>
      <w:r>
        <w:t>3,59 мкг/мл (р</w:t>
      </w:r>
      <w:r>
        <w:sym w:font="Symbol" w:char="F03C"/>
      </w:r>
      <w:r>
        <w:t>0,01).</w:t>
      </w:r>
    </w:p>
    <w:p w:rsidR="00F4654E" w:rsidRDefault="00F4654E">
      <w:pPr>
        <w:pStyle w:val="a6"/>
      </w:pPr>
      <w:r>
        <w:t>В мышцах и сердце наибольшее количество препарата приходилось на 5 часов, когда оно определялось в концентрации 93,8</w:t>
      </w:r>
      <w:r>
        <w:sym w:font="Symbol" w:char="F0B1"/>
      </w:r>
      <w:r>
        <w:t xml:space="preserve">2,62 мкг/мл </w:t>
      </w:r>
      <w:r>
        <w:lastRenderedPageBreak/>
        <w:t>(р</w:t>
      </w:r>
      <w:r>
        <w:sym w:font="Symbol" w:char="F03C"/>
      </w:r>
      <w:r>
        <w:t>0,001) и 128,1</w:t>
      </w:r>
      <w:r>
        <w:sym w:font="Symbol" w:char="F0B1"/>
      </w:r>
      <w:r>
        <w:t>3,09 мкг/мл соответственно, а в тканях головного мозга – к концу 8 часа (75,1</w:t>
      </w:r>
      <w:r>
        <w:sym w:font="Symbol" w:char="F0B1"/>
      </w:r>
      <w:r>
        <w:t>0,68 мкг/мл), (р</w:t>
      </w:r>
      <w:r>
        <w:sym w:font="Symbol" w:char="F03C"/>
      </w:r>
      <w:r>
        <w:t>0,001).</w:t>
      </w:r>
    </w:p>
    <w:p w:rsidR="00F4654E" w:rsidRDefault="00F4654E">
      <w:pPr>
        <w:pStyle w:val="a6"/>
      </w:pPr>
      <w:r>
        <w:t>В почках максимальная концентрация удерживалась на протяжении четырех часов в промежутке между 8-м и 12-м часом с момента введения препарата и обнаруживалась в количестве 251,8</w:t>
      </w:r>
      <w:r>
        <w:sym w:font="Symbol" w:char="F0B1"/>
      </w:r>
      <w:r>
        <w:t>3,97 мкг/мл.</w:t>
      </w:r>
    </w:p>
    <w:p w:rsidR="00F4654E" w:rsidRDefault="00F4654E">
      <w:pPr>
        <w:pStyle w:val="a6"/>
      </w:pPr>
      <w:r>
        <w:t>Результаты наших исследований свидетельствуют о том, что сульф</w:t>
      </w:r>
      <w:r>
        <w:t>а</w:t>
      </w:r>
      <w:r>
        <w:t>монометоксин проникает через гематоэнцефалический барьер и распред</w:t>
      </w:r>
      <w:r>
        <w:t>е</w:t>
      </w:r>
      <w:r>
        <w:t>ляется в различных органах и тканях цыплят неравномерно. В наименьшем количестве препарат обнаруживается в тканях головного мозга, мышцах и селезенке и составляет по отношению к концентрации препарата в крови всего 55,1%, 65,3% и 60% соответственно. Содержание сульфамономето</w:t>
      </w:r>
      <w:r>
        <w:t>к</w:t>
      </w:r>
      <w:r>
        <w:t>сина в железистом и мускульном желудках, тонком отделе кишечника и легких колеблется от 66,5% до 83,1%, а в сердце, печени, зобе и почках – от 94,9 до 184,3% от концентрации в крови в данный срок исследований. Такое распределение препарата, по-нашему мнению, обусловлено особе</w:t>
      </w:r>
      <w:r>
        <w:t>н</w:t>
      </w:r>
      <w:r>
        <w:t>ностями функционального назначения и барьерными способностями ра</w:t>
      </w:r>
      <w:r>
        <w:t>з</w:t>
      </w:r>
      <w:r>
        <w:t>личных органов и тканей. Так, низкое содержание сульфамонометоксина в тканях головного мозга объясняется работой гематоэнцефалического бар</w:t>
      </w:r>
      <w:r>
        <w:t>ь</w:t>
      </w:r>
      <w:r>
        <w:t>ера, который препятствует проникновению не только болезнетворных агентов, но и различных веществ, несвойственных организму. Высокий уровень насыщения сульфамонометоксином органов желудочно-кишечно-го тракта свидетельствуют о том, что препарат легко и быстро всасывается органами пищеварения птиц, затем, попадая в кровь, разносится к наиб</w:t>
      </w:r>
      <w:r>
        <w:t>о</w:t>
      </w:r>
      <w:r>
        <w:t>лее кровоснабжаемым органам.</w:t>
      </w:r>
    </w:p>
    <w:p w:rsidR="00F4654E" w:rsidRDefault="00F4654E">
      <w:pPr>
        <w:pStyle w:val="a6"/>
      </w:pPr>
      <w:r>
        <w:t>К концу первых суток содержание сульфамонометоксина достоверно снизилось во всех органах и тканях, но все-таки оставалось выше 40 мкг/мл. Колебания в этот период исследований составляли от 41,5</w:t>
      </w:r>
      <w:r>
        <w:sym w:font="Symbol" w:char="F0B1"/>
      </w:r>
      <w:r>
        <w:t>1,75 (селезенка) до 149,6</w:t>
      </w:r>
      <w:r>
        <w:sym w:font="Symbol" w:char="F0B1"/>
      </w:r>
      <w:r>
        <w:t>1,74 мкг/мл (почки).</w:t>
      </w:r>
    </w:p>
    <w:p w:rsidR="00F4654E" w:rsidRDefault="00F4654E">
      <w:pPr>
        <w:pStyle w:val="a6"/>
      </w:pPr>
      <w:r>
        <w:t>При убое птиц через 48 часов концентрация испытуемого сульфан</w:t>
      </w:r>
      <w:r>
        <w:t>и</w:t>
      </w:r>
      <w:r>
        <w:t>ламидов во всех органах и тканях резко снизилась и варьировала от 10,3</w:t>
      </w:r>
      <w:r>
        <w:sym w:font="Symbol" w:char="F0B1"/>
      </w:r>
      <w:r>
        <w:t>0,86 (головной мозг) до 35,9</w:t>
      </w:r>
      <w:r>
        <w:sym w:font="Symbol" w:char="F0B1"/>
      </w:r>
      <w:r>
        <w:t>1,81 мкг/мл (кровь). В частности, в по</w:t>
      </w:r>
      <w:r>
        <w:t>ч</w:t>
      </w:r>
      <w:r>
        <w:t>ках, мышцах, тканях головного мозга, селезенке и стенке зоба его колич</w:t>
      </w:r>
      <w:r>
        <w:t>е</w:t>
      </w:r>
      <w:r>
        <w:t>ство уменьшилось в 4-5,4 раза по сравнению с содержанием сульфамон</w:t>
      </w:r>
      <w:r>
        <w:t>о</w:t>
      </w:r>
      <w:r>
        <w:t>метоксина через сутки. В остальных органах и тканях снижение препарата не превышало 2,5 -3,8 раза (р</w:t>
      </w:r>
      <w:r>
        <w:sym w:font="Symbol" w:char="F03C"/>
      </w:r>
      <w:r>
        <w:t>0,001).</w:t>
      </w:r>
    </w:p>
    <w:p w:rsidR="00F4654E" w:rsidRDefault="00F4654E">
      <w:pPr>
        <w:pStyle w:val="a6"/>
      </w:pPr>
      <w:r>
        <w:t>Через 72 часа после введения препарата концентрация его в крови, легких, печени и почках колебалась от 9,7</w:t>
      </w:r>
      <w:r>
        <w:sym w:font="Symbol" w:char="F0B1"/>
      </w:r>
      <w:r>
        <w:t>0,33 мкг/мл до 18,4</w:t>
      </w:r>
      <w:r>
        <w:sym w:font="Symbol" w:char="F0B1"/>
      </w:r>
      <w:r>
        <w:t>0,73 мкг/мл (р</w:t>
      </w:r>
      <w:r>
        <w:sym w:font="Symbol" w:char="F03C"/>
      </w:r>
      <w:r>
        <w:t>0,001), в то время как в большинстве органов и тканей препарат обн</w:t>
      </w:r>
      <w:r>
        <w:t>а</w:t>
      </w:r>
      <w:r>
        <w:t>руживался в виде следов.</w:t>
      </w:r>
    </w:p>
    <w:p w:rsidR="00F4654E" w:rsidRDefault="00F4654E">
      <w:pPr>
        <w:pStyle w:val="a6"/>
      </w:pPr>
      <w:r>
        <w:t>Через четверо суток реакция на сульфамонометоксин во всех иссл</w:t>
      </w:r>
      <w:r>
        <w:t>е</w:t>
      </w:r>
      <w:r>
        <w:t>дуемых структурных образованиях организма была отрицательной, за и</w:t>
      </w:r>
      <w:r>
        <w:t>с</w:t>
      </w:r>
      <w:r>
        <w:lastRenderedPageBreak/>
        <w:t>ключением почек и крови, где препарат находился в ничтожно малом к</w:t>
      </w:r>
      <w:r>
        <w:t>о</w:t>
      </w:r>
      <w:r>
        <w:t>личестве и составлял 10,0</w:t>
      </w:r>
      <w:r>
        <w:sym w:font="Symbol" w:char="F0B1"/>
      </w:r>
      <w:r>
        <w:t>1,12 и 6,9</w:t>
      </w:r>
      <w:r>
        <w:sym w:font="Symbol" w:char="F0B1"/>
      </w:r>
      <w:r>
        <w:t>0,91 мкг/мл соответственно.</w:t>
      </w:r>
    </w:p>
    <w:p w:rsidR="00F4654E" w:rsidRDefault="00F4654E">
      <w:pPr>
        <w:pStyle w:val="a6"/>
      </w:pPr>
      <w:r>
        <w:t>Выводится препарат из организма птиц почками. Полное выведение сульфамонометоксина из организма цыплят отмечалось на 5-6 сутки с м</w:t>
      </w:r>
      <w:r>
        <w:t>о</w:t>
      </w:r>
      <w:r>
        <w:t>мента назначения, что необходимо учитывать при убое птиц на мясо.</w:t>
      </w:r>
    </w:p>
    <w:p w:rsidR="00F4654E" w:rsidRDefault="00F4654E">
      <w:pPr>
        <w:pStyle w:val="a6"/>
      </w:pPr>
      <w:r>
        <w:t>Суммируя полученные данные, можно утверждать, что сульфамон</w:t>
      </w:r>
      <w:r>
        <w:t>о</w:t>
      </w:r>
      <w:r>
        <w:t>метоксин в организме цыплят распределяется неравномерно. Наибольшее его количество отмечается в органах желудочно-кишечного тракта, почках, крови и сердце, а наименьшее – в тканях головного мозга и селезенке. Применение испытуемого сульфаниламида в дозе 0,2 г/кг обеспечивает создание в крови, органах и тканях цыплят высоких концентраций преп</w:t>
      </w:r>
      <w:r>
        <w:t>а</w:t>
      </w:r>
      <w:r>
        <w:t>рата, превышающих максимально допустимый терапевтический уровень, и это может оказывать неблагоприятное влияние на организм цыплят.</w:t>
      </w:r>
    </w:p>
    <w:p w:rsidR="00F4654E" w:rsidRDefault="00F4654E">
      <w:pPr>
        <w:pStyle w:val="a4"/>
      </w:pPr>
      <w:r>
        <w:t>УДК 619:615.31:636.39</w:t>
      </w:r>
    </w:p>
    <w:p w:rsidR="00F4654E" w:rsidRDefault="00F4654E">
      <w:pPr>
        <w:pStyle w:val="1"/>
      </w:pPr>
      <w:bookmarkStart w:id="3844" w:name="_Toc10731482"/>
      <w:bookmarkStart w:id="3845" w:name="_Toc11137919"/>
      <w:bookmarkStart w:id="3846" w:name="_Toc11138337"/>
      <w:bookmarkStart w:id="3847" w:name="_Toc11138755"/>
      <w:bookmarkStart w:id="3848" w:name="_Toc11139173"/>
      <w:bookmarkStart w:id="3849" w:name="_Toc11139591"/>
      <w:bookmarkStart w:id="3850" w:name="_Toc11140009"/>
      <w:bookmarkStart w:id="3851" w:name="_Toc11140427"/>
      <w:bookmarkStart w:id="3852" w:name="_Toc11390535"/>
      <w:bookmarkStart w:id="3853" w:name="_Toc11840220"/>
      <w:bookmarkStart w:id="3854" w:name="_Toc11937756"/>
      <w:r>
        <w:t>Изучение динамики концентрации сульфадиметоксина в крови и эффективности его при бронхопневмонии коз</w:t>
      </w:r>
      <w:bookmarkEnd w:id="3844"/>
      <w:bookmarkEnd w:id="3845"/>
      <w:bookmarkEnd w:id="3846"/>
      <w:bookmarkEnd w:id="3847"/>
      <w:bookmarkEnd w:id="3848"/>
      <w:bookmarkEnd w:id="3849"/>
      <w:bookmarkEnd w:id="3850"/>
      <w:bookmarkEnd w:id="3851"/>
      <w:bookmarkEnd w:id="3852"/>
      <w:bookmarkEnd w:id="3853"/>
      <w:bookmarkEnd w:id="3854"/>
    </w:p>
    <w:p w:rsidR="00F4654E" w:rsidRDefault="00F4654E">
      <w:pPr>
        <w:pStyle w:val="2"/>
      </w:pPr>
      <w:bookmarkStart w:id="3855" w:name="_Toc10731483"/>
      <w:bookmarkStart w:id="3856" w:name="_Toc11032322"/>
      <w:bookmarkStart w:id="3857" w:name="_Toc11137920"/>
      <w:bookmarkStart w:id="3858" w:name="_Toc11138338"/>
      <w:bookmarkStart w:id="3859" w:name="_Toc11138756"/>
      <w:bookmarkStart w:id="3860" w:name="_Toc11139174"/>
      <w:bookmarkStart w:id="3861" w:name="_Toc11139592"/>
      <w:bookmarkStart w:id="3862" w:name="_Toc11140010"/>
      <w:bookmarkStart w:id="3863" w:name="_Toc11140428"/>
      <w:bookmarkStart w:id="3864" w:name="_Toc11390536"/>
      <w:bookmarkStart w:id="3865" w:name="_Toc11937757"/>
      <w:r>
        <w:t>Осипова О.П.</w:t>
      </w:r>
      <w:bookmarkEnd w:id="3855"/>
      <w:bookmarkEnd w:id="3856"/>
      <w:bookmarkEnd w:id="3857"/>
      <w:bookmarkEnd w:id="3858"/>
      <w:bookmarkEnd w:id="3859"/>
      <w:bookmarkEnd w:id="3860"/>
      <w:bookmarkEnd w:id="3861"/>
      <w:bookmarkEnd w:id="3862"/>
      <w:bookmarkEnd w:id="3863"/>
      <w:bookmarkEnd w:id="3864"/>
      <w:bookmarkEnd w:id="3865"/>
    </w:p>
    <w:p w:rsidR="00F4654E" w:rsidRDefault="00F4654E">
      <w:pPr>
        <w:pStyle w:val="a5"/>
      </w:pPr>
      <w:r>
        <w:t>Оренбургский государственный аграрный университет</w:t>
      </w:r>
    </w:p>
    <w:p w:rsidR="00F4654E" w:rsidRDefault="00F4654E">
      <w:pPr>
        <w:pStyle w:val="a6"/>
      </w:pPr>
      <w:r>
        <w:t>Сульфадиметоксин – сульфаниламидный препарат длительного де</w:t>
      </w:r>
      <w:r>
        <w:t>й</w:t>
      </w:r>
      <w:r>
        <w:t>ствия, который широко применяется в медицинской и ветеринарной пра</w:t>
      </w:r>
      <w:r>
        <w:t>к</w:t>
      </w:r>
      <w:r>
        <w:t>тике при различных бактериальных инфекциях. Однако, фармакокинетика и химиотерапевтическая эффективность этого препарата при болезнях коз почти не изучена и это, в известной степени сдерживает его применение в козоводстве. В связи с этим мы в своей работе поставили целью изучить концентрацию препарата в крови, определить оптимальные дозы и раци</w:t>
      </w:r>
      <w:r>
        <w:t>о</w:t>
      </w:r>
      <w:r>
        <w:t>нальные схемы курсового назначения для коз.</w:t>
      </w:r>
    </w:p>
    <w:p w:rsidR="00F4654E" w:rsidRDefault="00F4654E">
      <w:pPr>
        <w:pStyle w:val="a6"/>
      </w:pPr>
      <w:r>
        <w:t>Под опыт были взяты козы оренбургской пуховой породы в возрасте 1-1,5 года, подобранные по принципу аналогов.</w:t>
      </w:r>
    </w:p>
    <w:p w:rsidR="00F4654E" w:rsidRDefault="00F4654E">
      <w:pPr>
        <w:pStyle w:val="a6"/>
      </w:pPr>
      <w:r>
        <w:t>В результате проведенных исследований было установлено, что сул</w:t>
      </w:r>
      <w:r>
        <w:t>ь</w:t>
      </w:r>
      <w:r>
        <w:t>фадиметоксин быстро всасывается из желудочно-кишечного тракта коз. Так, например, через один час после введения концентрация препарата достигает 6,0-22,0 мкг/мл. В дальнейшем содержание сульфадиметоксина быстро нарастает и достигает максимального уровня 2-3 часа – при дозе 50 мг/кг; через 3-5 часов – при дозе 100 мг/кг и  8-12 часов с момента введ</w:t>
      </w:r>
      <w:r>
        <w:t>е</w:t>
      </w:r>
      <w:r>
        <w:t>ния -–при дозе 200 мг/кг.</w:t>
      </w:r>
    </w:p>
    <w:p w:rsidR="00F4654E" w:rsidRDefault="00F4654E">
      <w:pPr>
        <w:pStyle w:val="a6"/>
      </w:pPr>
      <w:r>
        <w:t>Проанализировав данные динамики концентрации сульфадиметоксина в крови, мы пришли к выводу, что наиболее оптимальной схемой назнач</w:t>
      </w:r>
      <w:r>
        <w:t>е</w:t>
      </w:r>
      <w:r>
        <w:t>ния препарата является: первоначальная доза 100 мг/кг и поддерживающая – 50 мг/кг с 24-часовыми интервалами между введениями. Эта схема обе</w:t>
      </w:r>
      <w:r>
        <w:t>с</w:t>
      </w:r>
      <w:r>
        <w:t>печивает создание и поддержание терапевтических концентраций на пр</w:t>
      </w:r>
      <w:r>
        <w:t>о</w:t>
      </w:r>
      <w:r>
        <w:t>тяжении всего курса назначения.</w:t>
      </w:r>
    </w:p>
    <w:p w:rsidR="00F4654E" w:rsidRDefault="00F4654E">
      <w:pPr>
        <w:pStyle w:val="a6"/>
      </w:pPr>
      <w:r>
        <w:lastRenderedPageBreak/>
        <w:t>Апробацию применения сульфадиметоксина проводили в козоводч</w:t>
      </w:r>
      <w:r>
        <w:t>е</w:t>
      </w:r>
      <w:r>
        <w:t>ском хозяйстве АО «Загорное» Кувандыкского района Оренбургской о</w:t>
      </w:r>
      <w:r>
        <w:t>б</w:t>
      </w:r>
      <w:r>
        <w:t>ласти. В хозяйстве из разных отар были отобраны козочки больные острой формой бронхопневмонии. Диагноз на бронхопневмонию ставили по кл</w:t>
      </w:r>
      <w:r>
        <w:t>и</w:t>
      </w:r>
      <w:r>
        <w:t>ническим признакам: кашель, истечение из носа, исхудание, лихорадка р</w:t>
      </w:r>
      <w:r>
        <w:t>е</w:t>
      </w:r>
      <w:r>
        <w:t>митирующего типа, понос. Окончательный диагноз подтверждался патол</w:t>
      </w:r>
      <w:r>
        <w:t>о</w:t>
      </w:r>
      <w:r>
        <w:t>гоанатомическим вскрытием трупов или ветеринарно-санитарной экспе</w:t>
      </w:r>
      <w:r>
        <w:t>р</w:t>
      </w:r>
      <w:r>
        <w:t>тизой продуктов вынужденного убоя. Пестрый вид легких, уплотнение л</w:t>
      </w:r>
      <w:r>
        <w:t>е</w:t>
      </w:r>
      <w:r>
        <w:t>гочной ткани, наличие слизистых пробок и гноя в бронхах, бронхиолах, увеличение бронхиальных и средостенных лимфатических узлов, кровои</w:t>
      </w:r>
      <w:r>
        <w:t>з</w:t>
      </w:r>
      <w:r>
        <w:t>лияния в виде петехий и экхимозов в толщу этих узлов, что весьма хара</w:t>
      </w:r>
      <w:r>
        <w:t>к</w:t>
      </w:r>
      <w:r>
        <w:t>терно для бронхопневмонии.</w:t>
      </w:r>
    </w:p>
    <w:p w:rsidR="00F4654E" w:rsidRDefault="00F4654E">
      <w:pPr>
        <w:pStyle w:val="a6"/>
      </w:pPr>
      <w:r>
        <w:t>Для испытаний химиотерапевтической эффективности были сформ</w:t>
      </w:r>
      <w:r>
        <w:t>и</w:t>
      </w:r>
      <w:r>
        <w:t>рованы две группы животных: опытная –20 голов, контрольная – 10 голов. Опытной группе задавали сульфадиметоксин индивидуально в форме во</w:t>
      </w:r>
      <w:r>
        <w:t>д</w:t>
      </w:r>
      <w:r>
        <w:t>ной взвеси: первоначально – 100 мг/кг и в последующем 50 мг/кг с инте</w:t>
      </w:r>
      <w:r>
        <w:t>р</w:t>
      </w:r>
      <w:r>
        <w:t>валом 24 часа. Курс лечения проводили в течение 7-10 дней. В контрол</w:t>
      </w:r>
      <w:r>
        <w:t>ь</w:t>
      </w:r>
      <w:r>
        <w:t>ной группе лечение животных проводилось средствами, применяемыми в хозяйстве, - бициллин-3 внутримышечно в дозе 10 000-20 000 ЕД на один килограмм массы тела, один раз в три дня (трехкратное повторение). О</w:t>
      </w:r>
      <w:r>
        <w:t>д</w:t>
      </w:r>
      <w:r>
        <w:t>новременно обеим группам животных назначали витаминотерапию. Перед каждой очередной дачей сульфадиметоксина брали пробы крови для опр</w:t>
      </w:r>
      <w:r>
        <w:t>е</w:t>
      </w:r>
      <w:r>
        <w:t>деления содержания препарата, гематологических показателей и факторов неспецифической защиты организма коз.</w:t>
      </w:r>
    </w:p>
    <w:p w:rsidR="00F4654E" w:rsidRDefault="00F4654E">
      <w:pPr>
        <w:pStyle w:val="a6"/>
      </w:pPr>
      <w:r>
        <w:t>Эффективность лечения коз, больных острой формой бронхопневм</w:t>
      </w:r>
      <w:r>
        <w:t>о</w:t>
      </w:r>
      <w:r>
        <w:t>нии, сульфадиметоксином составила 85%, а бициллином – 60%, остальные животные подвергались повторному лечению.</w:t>
      </w:r>
    </w:p>
    <w:p w:rsidR="00F4654E" w:rsidRDefault="00F4654E">
      <w:pPr>
        <w:pStyle w:val="a4"/>
      </w:pPr>
      <w:r>
        <w:t>УДК 619:618.14 – 002</w:t>
      </w:r>
    </w:p>
    <w:p w:rsidR="00F4654E" w:rsidRDefault="00F4654E">
      <w:pPr>
        <w:pStyle w:val="1"/>
      </w:pPr>
      <w:bookmarkStart w:id="3866" w:name="_Toc10731484"/>
      <w:bookmarkStart w:id="3867" w:name="_Toc11137921"/>
      <w:bookmarkStart w:id="3868" w:name="_Toc11138339"/>
      <w:bookmarkStart w:id="3869" w:name="_Toc11138757"/>
      <w:bookmarkStart w:id="3870" w:name="_Toc11139175"/>
      <w:bookmarkStart w:id="3871" w:name="_Toc11139593"/>
      <w:bookmarkStart w:id="3872" w:name="_Toc11140011"/>
      <w:bookmarkStart w:id="3873" w:name="_Toc11140429"/>
      <w:bookmarkStart w:id="3874" w:name="_Toc11390537"/>
      <w:bookmarkStart w:id="3875" w:name="_Toc11840222"/>
      <w:bookmarkStart w:id="3876" w:name="_Toc11937758"/>
      <w:r>
        <w:t>Профилактика гинекологических болезней функционального характера у коров</w:t>
      </w:r>
      <w:bookmarkEnd w:id="3866"/>
      <w:bookmarkEnd w:id="3867"/>
      <w:bookmarkEnd w:id="3868"/>
      <w:bookmarkEnd w:id="3869"/>
      <w:bookmarkEnd w:id="3870"/>
      <w:bookmarkEnd w:id="3871"/>
      <w:bookmarkEnd w:id="3872"/>
      <w:bookmarkEnd w:id="3873"/>
      <w:bookmarkEnd w:id="3874"/>
      <w:bookmarkEnd w:id="3875"/>
      <w:bookmarkEnd w:id="3876"/>
    </w:p>
    <w:p w:rsidR="00F4654E" w:rsidRDefault="00F4654E">
      <w:pPr>
        <w:pStyle w:val="2"/>
      </w:pPr>
      <w:bookmarkStart w:id="3877" w:name="_Toc10731485"/>
      <w:bookmarkStart w:id="3878" w:name="_Toc11032323"/>
      <w:bookmarkStart w:id="3879" w:name="_Toc11137922"/>
      <w:bookmarkStart w:id="3880" w:name="_Toc11138340"/>
      <w:bookmarkStart w:id="3881" w:name="_Toc11138758"/>
      <w:bookmarkStart w:id="3882" w:name="_Toc11139176"/>
      <w:bookmarkStart w:id="3883" w:name="_Toc11139594"/>
      <w:bookmarkStart w:id="3884" w:name="_Toc11140012"/>
      <w:bookmarkStart w:id="3885" w:name="_Toc11140430"/>
      <w:bookmarkStart w:id="3886" w:name="_Toc11390538"/>
      <w:bookmarkStart w:id="3887" w:name="_Toc11937759"/>
      <w:r>
        <w:t>Павленко О.Б., Калашник Б.А.</w:t>
      </w:r>
      <w:bookmarkEnd w:id="3877"/>
      <w:bookmarkEnd w:id="3878"/>
      <w:bookmarkEnd w:id="3879"/>
      <w:bookmarkEnd w:id="3880"/>
      <w:bookmarkEnd w:id="3881"/>
      <w:bookmarkEnd w:id="3882"/>
      <w:bookmarkEnd w:id="3883"/>
      <w:bookmarkEnd w:id="3884"/>
      <w:bookmarkEnd w:id="3885"/>
      <w:bookmarkEnd w:id="3886"/>
      <w:bookmarkEnd w:id="3887"/>
    </w:p>
    <w:p w:rsidR="00F4654E" w:rsidRDefault="00F4654E">
      <w:pPr>
        <w:pStyle w:val="a5"/>
      </w:pPr>
      <w:r>
        <w:t>Донской государственный аграрный университет</w:t>
      </w:r>
    </w:p>
    <w:p w:rsidR="00F4654E" w:rsidRDefault="00F4654E">
      <w:pPr>
        <w:pStyle w:val="a6"/>
      </w:pPr>
      <w:r>
        <w:t>На молочно-товарной ферме с удовлетворительными условиями корм-ления, содержания коров и ограниченным моционом провели гинеколог</w:t>
      </w:r>
      <w:r>
        <w:t>и</w:t>
      </w:r>
      <w:r>
        <w:t>ческое исследование 138 животных. Из числа обследованных коров хрон</w:t>
      </w:r>
      <w:r>
        <w:t>и</w:t>
      </w:r>
      <w:r>
        <w:t>ческая субинволюция диагностирована у 18,1%, желтые тела – у 42,7%, хрон</w:t>
      </w:r>
      <w:r>
        <w:t>и</w:t>
      </w:r>
      <w:r>
        <w:t>ческий ( клинический ) эндометрит – у 6,5%, гипофункция яичников – у 32,6% животных. Материалы исследования свидетельствуют о прев</w:t>
      </w:r>
      <w:r>
        <w:t>а</w:t>
      </w:r>
      <w:r>
        <w:t>лировании функциональных заболеваний яичников и матки над воспал</w:t>
      </w:r>
      <w:r>
        <w:t>и</w:t>
      </w:r>
      <w:r>
        <w:t>тельными процессами. При исследовании обратили внимание на ассоци</w:t>
      </w:r>
      <w:r>
        <w:t>а</w:t>
      </w:r>
      <w:r>
        <w:t>тивное течение гинекологических болезней. У большинства коров с нар</w:t>
      </w:r>
      <w:r>
        <w:t>у</w:t>
      </w:r>
      <w:r>
        <w:lastRenderedPageBreak/>
        <w:t xml:space="preserve">шенной функцией яичников диагностировали те или иные заболевания матки. </w:t>
      </w:r>
    </w:p>
    <w:p w:rsidR="00F4654E" w:rsidRDefault="00F4654E">
      <w:pPr>
        <w:pStyle w:val="a6"/>
      </w:pPr>
      <w:r>
        <w:t>Исходя из материалов исследования, провели опыт по фармакопроф</w:t>
      </w:r>
      <w:r>
        <w:t>и</w:t>
      </w:r>
      <w:r>
        <w:t>лактике гинекологических болезней функционального характера. Для оп</w:t>
      </w:r>
      <w:r>
        <w:t>ы</w:t>
      </w:r>
      <w:r>
        <w:t>та отобрали 110 коров с восьмимесячной стельностью, из которых сфо</w:t>
      </w:r>
      <w:r>
        <w:t>р</w:t>
      </w:r>
      <w:r>
        <w:t>мировали четыре опытных и одну контрольную группы.</w:t>
      </w:r>
    </w:p>
    <w:p w:rsidR="00F4654E" w:rsidRDefault="00F4654E">
      <w:pPr>
        <w:pStyle w:val="a6"/>
      </w:pPr>
      <w:r>
        <w:t>Коровам первой, второй и четвертой опытных групп за 10 суток до предполагаемого отела однократно инъецировали 10%-ную суспензию АСД №2 на тривите в дозе 10 мл. С четвертого дня после отела коровам второй, третьей и четвертой опытных групп трижды, с 48-часовым инте</w:t>
      </w:r>
      <w:r>
        <w:t>р</w:t>
      </w:r>
      <w:r>
        <w:t>валом, инъецировали 0,5%-ный раствор прозерина в дозе 2 мл. Для стим</w:t>
      </w:r>
      <w:r>
        <w:t>у</w:t>
      </w:r>
      <w:r>
        <w:t>ляции фолликулогенеза коровам первой опытной группы на восьмой день после родов инъецировали ФСГ в дозе 16 Арморовских единиц, а живо</w:t>
      </w:r>
      <w:r>
        <w:t>т</w:t>
      </w:r>
      <w:r>
        <w:t>ным третьей и четвертой опытных групп – сурфагон (50 мкг ) на 20 день после отела. Коровам контрольной группы средства фармакопрофилактики не назначали. За животными опытных и контрольной групп вели наблюд</w:t>
      </w:r>
      <w:r>
        <w:t>е</w:t>
      </w:r>
      <w:r>
        <w:t>ние в течение 4 мес., в процессе которого контролировали течение инв</w:t>
      </w:r>
      <w:r>
        <w:t>о</w:t>
      </w:r>
      <w:r>
        <w:t xml:space="preserve">люционных процессов в матке, состояние яичников, сроки восстановления половой циклики, результаты осеменений. </w:t>
      </w:r>
    </w:p>
    <w:p w:rsidR="00F4654E" w:rsidRDefault="00F4654E">
      <w:pPr>
        <w:pStyle w:val="a6"/>
      </w:pPr>
      <w:r>
        <w:t>В результате проведенных исследований установлено, что спустя м</w:t>
      </w:r>
      <w:r>
        <w:t>е</w:t>
      </w:r>
      <w:r>
        <w:t>сяц после отела у 45,0% коров контрольной группы половая циклика не восстановилась. Клинико–гинекологическим исследованием у этих живо</w:t>
      </w:r>
      <w:r>
        <w:t>т</w:t>
      </w:r>
      <w:r>
        <w:t>ных диагностировали афункциональное состояние яичников, хроническую субинволюцию.</w:t>
      </w:r>
    </w:p>
    <w:p w:rsidR="00F4654E" w:rsidRDefault="00F4654E">
      <w:pPr>
        <w:pStyle w:val="a6"/>
      </w:pPr>
      <w:r>
        <w:t>Применение средств фармакопрофилактики на коровах опытных групп способствовало активизации процессов инволюции в матке, восст</w:t>
      </w:r>
      <w:r>
        <w:t>а</w:t>
      </w:r>
      <w:r>
        <w:t>новлению функции яичников. У 80,0 – 95,8% коров этих групп половая циклика возобновилась после родов в физиологические сроки, а частота обнаружения нарушений функций яичников, матки снизилась до 4,2-2,0%.</w:t>
      </w:r>
    </w:p>
    <w:p w:rsidR="00F4654E" w:rsidRDefault="00F4654E">
      <w:pPr>
        <w:pStyle w:val="a6"/>
      </w:pPr>
      <w:r>
        <w:t>Как следует из данных литературы, восстановление половой циклики у коров после отела не всегда свидетельствует о готовности организма самки и ее половых органов к новой беременности. У большинства коров первая стадия возбуждения полового цикла протекает неполноценно и о</w:t>
      </w:r>
      <w:r>
        <w:t>п</w:t>
      </w:r>
      <w:r>
        <w:t>лодотворяемость в эту стадию не превышает 20,0%.</w:t>
      </w:r>
    </w:p>
    <w:p w:rsidR="00F4654E" w:rsidRDefault="00F4654E">
      <w:pPr>
        <w:pStyle w:val="a6"/>
      </w:pPr>
      <w:r>
        <w:t>Учет результатов осеменения коров опытных и контрольной групп показал, что оплодотворяемость животных опытных групп в первую ст</w:t>
      </w:r>
      <w:r>
        <w:t>а</w:t>
      </w:r>
      <w:r>
        <w:t>дию возбуждения варьировала от 40,0 до 70,8% и превышала на 10,0 – 40,8% аналогичный показатель контрольной группы. Следовательно, пр</w:t>
      </w:r>
      <w:r>
        <w:t>и</w:t>
      </w:r>
      <w:r>
        <w:t>менение медикаментозных средств с целью профилактики гинекологич</w:t>
      </w:r>
      <w:r>
        <w:t>е</w:t>
      </w:r>
      <w:r>
        <w:t>ских болезней функционального характера у коров привело к активизации гормональной и генеративной функции яичников, нормализации течения регенеративных процессов в матке, восстановлению ее сократительной функции. Наиболее эффективными оказались схемы фармакопрофилакт</w:t>
      </w:r>
      <w:r>
        <w:t>и</w:t>
      </w:r>
      <w:r>
        <w:lastRenderedPageBreak/>
        <w:t>ки, примененные на животных третьей и четвертой опытных группах. У 92,3-95,8% коров этих групп половая циклика возобновилась в течение первого месяца после отела, а оплодотворяемость по первому осеменению составила 61,5 – 70,8%.</w:t>
      </w:r>
    </w:p>
    <w:p w:rsidR="00F4654E" w:rsidRDefault="00F4654E">
      <w:pPr>
        <w:pStyle w:val="a6"/>
      </w:pPr>
      <w:r>
        <w:t xml:space="preserve">Включение ФСГ в схему фармакопрофилактики гинекологических болезней способствовало более раннему восстановлению половой циклики после отела (на 22,9±1,39 сутки), которое не сопровождалось высоким уровнем оплодотворяемости. Оплодотворяемость коров первой опытной группы превышала таковую контрольной группы лишь на 10,0%.  </w:t>
      </w:r>
    </w:p>
    <w:p w:rsidR="00F4654E" w:rsidRDefault="00F4654E">
      <w:pPr>
        <w:pStyle w:val="a4"/>
        <w:rPr>
          <w:snapToGrid w:val="0"/>
        </w:rPr>
      </w:pPr>
      <w:bookmarkStart w:id="3888" w:name="_Toc10731486"/>
      <w:r>
        <w:rPr>
          <w:snapToGrid w:val="0"/>
        </w:rPr>
        <w:t>УДК 619:615.93</w:t>
      </w:r>
    </w:p>
    <w:p w:rsidR="00F4654E" w:rsidRDefault="00F4654E">
      <w:pPr>
        <w:pStyle w:val="1"/>
        <w:rPr>
          <w:snapToGrid w:val="0"/>
        </w:rPr>
      </w:pPr>
      <w:bookmarkStart w:id="3889" w:name="_Toc10731510"/>
      <w:bookmarkStart w:id="3890" w:name="_Toc11137923"/>
      <w:bookmarkStart w:id="3891" w:name="_Toc11138341"/>
      <w:bookmarkStart w:id="3892" w:name="_Toc11138759"/>
      <w:bookmarkStart w:id="3893" w:name="_Toc11139177"/>
      <w:bookmarkStart w:id="3894" w:name="_Toc11139595"/>
      <w:bookmarkStart w:id="3895" w:name="_Toc11140013"/>
      <w:bookmarkStart w:id="3896" w:name="_Toc11140431"/>
      <w:bookmarkStart w:id="3897" w:name="_Toc11390539"/>
      <w:bookmarkStart w:id="3898" w:name="_Toc11840224"/>
      <w:bookmarkStart w:id="3899" w:name="_Toc11937760"/>
      <w:r>
        <w:rPr>
          <w:snapToGrid w:val="0"/>
        </w:rPr>
        <w:t>МИКОТОКСИКОЗЫ В САМАРСКОЙ ОБЛАСТИ</w:t>
      </w:r>
      <w:bookmarkEnd w:id="3889"/>
      <w:bookmarkEnd w:id="3890"/>
      <w:bookmarkEnd w:id="3891"/>
      <w:bookmarkEnd w:id="3892"/>
      <w:bookmarkEnd w:id="3893"/>
      <w:bookmarkEnd w:id="3894"/>
      <w:bookmarkEnd w:id="3895"/>
      <w:bookmarkEnd w:id="3896"/>
      <w:bookmarkEnd w:id="3897"/>
      <w:bookmarkEnd w:id="3898"/>
      <w:bookmarkEnd w:id="3899"/>
    </w:p>
    <w:p w:rsidR="00F4654E" w:rsidRDefault="00F4654E">
      <w:pPr>
        <w:pStyle w:val="2"/>
        <w:rPr>
          <w:snapToGrid w:val="0"/>
        </w:rPr>
      </w:pPr>
      <w:bookmarkStart w:id="3900" w:name="_Toc10731511"/>
      <w:bookmarkStart w:id="3901" w:name="_Toc11032342"/>
      <w:bookmarkStart w:id="3902" w:name="_Toc11137924"/>
      <w:bookmarkStart w:id="3903" w:name="_Toc11138342"/>
      <w:bookmarkStart w:id="3904" w:name="_Toc11138760"/>
      <w:bookmarkStart w:id="3905" w:name="_Toc11139178"/>
      <w:bookmarkStart w:id="3906" w:name="_Toc11139596"/>
      <w:bookmarkStart w:id="3907" w:name="_Toc11140014"/>
      <w:bookmarkStart w:id="3908" w:name="_Toc11140432"/>
      <w:bookmarkStart w:id="3909" w:name="_Toc11390540"/>
      <w:bookmarkStart w:id="3910" w:name="_Toc11937761"/>
      <w:r>
        <w:rPr>
          <w:snapToGrid w:val="0"/>
        </w:rPr>
        <w:t>Павлов В.П.</w:t>
      </w:r>
      <w:bookmarkEnd w:id="3900"/>
      <w:bookmarkEnd w:id="3901"/>
      <w:bookmarkEnd w:id="3902"/>
      <w:bookmarkEnd w:id="3903"/>
      <w:bookmarkEnd w:id="3904"/>
      <w:bookmarkEnd w:id="3905"/>
      <w:bookmarkEnd w:id="3906"/>
      <w:bookmarkEnd w:id="3907"/>
      <w:bookmarkEnd w:id="3908"/>
      <w:bookmarkEnd w:id="3909"/>
      <w:bookmarkEnd w:id="3910"/>
    </w:p>
    <w:p w:rsidR="00F4654E" w:rsidRDefault="00F4654E">
      <w:pPr>
        <w:pStyle w:val="a5"/>
        <w:rPr>
          <w:snapToGrid w:val="0"/>
        </w:rPr>
      </w:pPr>
      <w:r>
        <w:rPr>
          <w:snapToGrid w:val="0"/>
        </w:rPr>
        <w:t xml:space="preserve">Всероссийский научно-исследовательский ветеринарный институт </w:t>
      </w:r>
      <w:r>
        <w:rPr>
          <w:snapToGrid w:val="0"/>
        </w:rPr>
        <w:br/>
        <w:t>Отдел ветеринарии Самарской области</w:t>
      </w:r>
    </w:p>
    <w:p w:rsidR="00F4654E" w:rsidRDefault="00F4654E">
      <w:pPr>
        <w:pStyle w:val="a6"/>
        <w:rPr>
          <w:snapToGrid w:val="0"/>
        </w:rPr>
      </w:pPr>
      <w:r>
        <w:rPr>
          <w:snapToGrid w:val="0"/>
        </w:rPr>
        <w:t>Существенную проблему для животноводства представляют микото</w:t>
      </w:r>
      <w:r>
        <w:rPr>
          <w:snapToGrid w:val="0"/>
        </w:rPr>
        <w:t>к</w:t>
      </w:r>
      <w:r>
        <w:rPr>
          <w:snapToGrid w:val="0"/>
        </w:rPr>
        <w:t>сикозы (А.П. Смирнов, Г.А. Таланов, 1999; М.Я. Тремасов, А.З. Равилов, 1996, 2000), Прежде всего это связано с широким распространением ми</w:t>
      </w:r>
      <w:r>
        <w:rPr>
          <w:snapToGrid w:val="0"/>
        </w:rPr>
        <w:t>к</w:t>
      </w:r>
      <w:r>
        <w:rPr>
          <w:snapToGrid w:val="0"/>
        </w:rPr>
        <w:t>роскопических грибов-продуцентов микотоксинов. Имеются много соо</w:t>
      </w:r>
      <w:r>
        <w:rPr>
          <w:snapToGrid w:val="0"/>
        </w:rPr>
        <w:t>б</w:t>
      </w:r>
      <w:r>
        <w:rPr>
          <w:snapToGrid w:val="0"/>
        </w:rPr>
        <w:t>щений о загрязнении микотоксинами различных сельскохозяйственных культур в регионах.</w:t>
      </w:r>
    </w:p>
    <w:p w:rsidR="00F4654E" w:rsidRDefault="00F4654E">
      <w:pPr>
        <w:pStyle w:val="a6"/>
        <w:rPr>
          <w:snapToGrid w:val="0"/>
        </w:rPr>
      </w:pPr>
      <w:r>
        <w:rPr>
          <w:snapToGrid w:val="0"/>
        </w:rPr>
        <w:t>Однако краевая микотоксикология еще не полностью раскрыла свои возможности. Во многих регионах России, отличающихся разнообразием климатических и географических условий, изучение источников, характера загрязнения кормов и другой сельскохозяйственной продукции системат</w:t>
      </w:r>
      <w:r>
        <w:rPr>
          <w:snapToGrid w:val="0"/>
        </w:rPr>
        <w:t>и</w:t>
      </w:r>
      <w:r>
        <w:rPr>
          <w:snapToGrid w:val="0"/>
        </w:rPr>
        <w:t>чески не проводится. В этом отношении нас интересовал Самарский рег</w:t>
      </w:r>
      <w:r>
        <w:rPr>
          <w:snapToGrid w:val="0"/>
        </w:rPr>
        <w:t>и</w:t>
      </w:r>
      <w:r>
        <w:rPr>
          <w:snapToGrid w:val="0"/>
        </w:rPr>
        <w:t>он, как недостаточно исследованный по проблеме микотоксинов. Исслед</w:t>
      </w:r>
      <w:r>
        <w:rPr>
          <w:snapToGrid w:val="0"/>
        </w:rPr>
        <w:t>о</w:t>
      </w:r>
      <w:r>
        <w:rPr>
          <w:snapToGrid w:val="0"/>
        </w:rPr>
        <w:t>вания проведены в свиноводческих хозяйствах области в период с 1998 по 2002 г.г.</w:t>
      </w:r>
    </w:p>
    <w:p w:rsidR="00F4654E" w:rsidRDefault="00F4654E">
      <w:pPr>
        <w:pStyle w:val="a6"/>
        <w:rPr>
          <w:snapToGrid w:val="0"/>
        </w:rPr>
      </w:pPr>
      <w:r>
        <w:rPr>
          <w:snapToGrid w:val="0"/>
        </w:rPr>
        <w:t>Систематическому микологическому и микотоксикологическому о</w:t>
      </w:r>
      <w:r>
        <w:rPr>
          <w:snapToGrid w:val="0"/>
        </w:rPr>
        <w:t>б</w:t>
      </w:r>
      <w:r>
        <w:rPr>
          <w:snapToGrid w:val="0"/>
        </w:rPr>
        <w:t>следованию подвергались комбикорма и ингредиенты 3-х крупных х</w:t>
      </w:r>
      <w:r>
        <w:rPr>
          <w:snapToGrid w:val="0"/>
        </w:rPr>
        <w:t>о</w:t>
      </w:r>
      <w:r>
        <w:rPr>
          <w:snapToGrid w:val="0"/>
        </w:rPr>
        <w:t>зяйств Самарской области. Исследования проводились под руководством профессора Тремасова М.Я. (ВНИВИ). Микологический анализ кормов (ингредиентов) осуществляли в Самарской областной ветлаборатории и во ВНИВИ согласно методике, описанной В.В. Курасовой и соавт. (1971) при методической помощи старшего научного сотрудника Сергейчева А.И. Токсичность кормов определяли по кожной пробе на кроликах (ГОСТ 13496.7.-92), выделенных культур грибов по - Спесивцевой Н.А. (1964). Выявление микотоксинов проводили методом хроматографии согласно существующих и разработанных во ВНИВИ методик и биоавтографии (А.Н. Котик, 1985). Корма исследовались в осенне-зимний, зимне-весен-ний и летний периоды.</w:t>
      </w:r>
    </w:p>
    <w:p w:rsidR="00F4654E" w:rsidRPr="0001153D" w:rsidRDefault="00F4654E">
      <w:pPr>
        <w:pStyle w:val="a6"/>
        <w:rPr>
          <w:snapToGrid w:val="0"/>
          <w:spacing w:val="-2"/>
        </w:rPr>
      </w:pPr>
      <w:r w:rsidRPr="0001153D">
        <w:rPr>
          <w:snapToGrid w:val="0"/>
          <w:spacing w:val="-2"/>
        </w:rPr>
        <w:lastRenderedPageBreak/>
        <w:t>При микологическом исследовании выявлено, что все зерновые корма сразу после уборки урожая были контаминированы микроскопическими грибами рода Fusarium, идентифицированы основные виды F. sporotrichiela и F. graminearum, в отдельных случаях выделялись грибы F. tricinctum. При определении токсичности выделенных изолятов грибов ус</w:t>
      </w:r>
      <w:r w:rsidR="0001153D" w:rsidRPr="0001153D">
        <w:rPr>
          <w:snapToGrid w:val="0"/>
          <w:spacing w:val="-2"/>
        </w:rPr>
        <w:t>тановлено, что 41% F.sporotrichiela 35% F.</w:t>
      </w:r>
      <w:r w:rsidRPr="0001153D">
        <w:rPr>
          <w:snapToGrid w:val="0"/>
          <w:spacing w:val="-2"/>
        </w:rPr>
        <w:t>graminearum обладали токсическими свойс</w:t>
      </w:r>
      <w:r w:rsidRPr="0001153D">
        <w:rPr>
          <w:snapToGrid w:val="0"/>
          <w:spacing w:val="-2"/>
        </w:rPr>
        <w:t>т</w:t>
      </w:r>
      <w:r w:rsidRPr="0001153D">
        <w:rPr>
          <w:snapToGrid w:val="0"/>
          <w:spacing w:val="-2"/>
        </w:rPr>
        <w:t>вами.</w:t>
      </w:r>
    </w:p>
    <w:p w:rsidR="00F4654E" w:rsidRDefault="00F4654E">
      <w:pPr>
        <w:pStyle w:val="a6"/>
        <w:rPr>
          <w:snapToGrid w:val="0"/>
        </w:rPr>
      </w:pPr>
      <w:r>
        <w:rPr>
          <w:snapToGrid w:val="0"/>
        </w:rPr>
        <w:t>На втором месте из выделенных изолятов были грибы Aspergillus (63%), из них A. flavus, A. fumigatus, A. orizae соответственно 32,0; 30,0 и 15,0% были токсичными. Чуть меньше выделялись грибы рода Alternaria, Pennicillium, Mucor 60; 51; 48%, примерно половина из них обладали то</w:t>
      </w:r>
      <w:r>
        <w:rPr>
          <w:snapToGrid w:val="0"/>
        </w:rPr>
        <w:t>к</w:t>
      </w:r>
      <w:r>
        <w:rPr>
          <w:snapToGrid w:val="0"/>
        </w:rPr>
        <w:t>сическими свойствами (27; 25; 20%).</w:t>
      </w:r>
    </w:p>
    <w:p w:rsidR="00F4654E" w:rsidRDefault="00F4654E">
      <w:pPr>
        <w:pStyle w:val="a6"/>
        <w:rPr>
          <w:snapToGrid w:val="0"/>
        </w:rPr>
      </w:pPr>
      <w:r>
        <w:rPr>
          <w:snapToGrid w:val="0"/>
        </w:rPr>
        <w:t>Значительная часть кормов (38%) показывали токсические свойства по кожной пробе, в основном - умеренную токсичность (70 %); реже сре</w:t>
      </w:r>
      <w:r>
        <w:rPr>
          <w:snapToGrid w:val="0"/>
        </w:rPr>
        <w:t>д</w:t>
      </w:r>
      <w:r>
        <w:rPr>
          <w:snapToGrid w:val="0"/>
        </w:rPr>
        <w:t>нюю (20%) и еще реже выраженную (10%).</w:t>
      </w:r>
    </w:p>
    <w:p w:rsidR="00F4654E" w:rsidRDefault="00F4654E">
      <w:pPr>
        <w:pStyle w:val="a6"/>
        <w:rPr>
          <w:snapToGrid w:val="0"/>
        </w:rPr>
      </w:pPr>
      <w:r>
        <w:rPr>
          <w:snapToGrid w:val="0"/>
        </w:rPr>
        <w:t>При анализе зерновых (пшеница, рожь, овес, ячмень, кукуруза) на с</w:t>
      </w:r>
      <w:r>
        <w:rPr>
          <w:snapToGrid w:val="0"/>
        </w:rPr>
        <w:t>о</w:t>
      </w:r>
      <w:r>
        <w:rPr>
          <w:snapToGrid w:val="0"/>
        </w:rPr>
        <w:t>держание микотоксинов выделялись Т-2 токсин (пшеница, кукуруза, овес) в концентрациях 1-50 мкг/кг; афлатоксин В</w:t>
      </w:r>
      <w:r>
        <w:rPr>
          <w:snapToGrid w:val="0"/>
          <w:vertAlign w:val="subscript"/>
        </w:rPr>
        <w:t>1</w:t>
      </w:r>
      <w:r>
        <w:rPr>
          <w:snapToGrid w:val="0"/>
        </w:rPr>
        <w:t xml:space="preserve"> (рожь, пшеница) - 0,5-100,0 мкг/кг; зеараленон (кукуруза, рожь, пшеница) - 0,5-250,0 мкг/кг; дезокс</w:t>
      </w:r>
      <w:r>
        <w:rPr>
          <w:snapToGrid w:val="0"/>
        </w:rPr>
        <w:t>и</w:t>
      </w:r>
      <w:r>
        <w:rPr>
          <w:snapToGrid w:val="0"/>
        </w:rPr>
        <w:t>ниваленол (ДОН) (кукуруза, рожь, пшеница, овес) - 0,3-100,0 мкг/кг;  ст</w:t>
      </w:r>
      <w:r>
        <w:rPr>
          <w:snapToGrid w:val="0"/>
        </w:rPr>
        <w:t>е</w:t>
      </w:r>
      <w:r>
        <w:rPr>
          <w:snapToGrid w:val="0"/>
        </w:rPr>
        <w:t xml:space="preserve">ригматоцистин (пшеница) - 0,1-0,5 мкг/кг; охратоксин А (рожь) - 0,1-15.0 мкг/кг. </w:t>
      </w:r>
    </w:p>
    <w:p w:rsidR="00F4654E" w:rsidRDefault="00F4654E">
      <w:pPr>
        <w:pStyle w:val="a6"/>
        <w:rPr>
          <w:snapToGrid w:val="0"/>
        </w:rPr>
      </w:pPr>
      <w:r>
        <w:rPr>
          <w:snapToGrid w:val="0"/>
        </w:rPr>
        <w:t>В осенне-зимний и зимне-весенний периоды количество изолятов - продуцентов микотоксинов, выделенных из кормов, возрастало, причем приоритет имели грибы А. flavus, продуцирующие афлатоксины В</w:t>
      </w:r>
      <w:r>
        <w:rPr>
          <w:snapToGrid w:val="0"/>
          <w:vertAlign w:val="subscript"/>
        </w:rPr>
        <w:t>1</w:t>
      </w:r>
      <w:r>
        <w:rPr>
          <w:snapToGrid w:val="0"/>
        </w:rPr>
        <w:t>, а та</w:t>
      </w:r>
      <w:r>
        <w:rPr>
          <w:snapToGrid w:val="0"/>
        </w:rPr>
        <w:t>к</w:t>
      </w:r>
      <w:r>
        <w:rPr>
          <w:snapToGrid w:val="0"/>
        </w:rPr>
        <w:t>же J</w:t>
      </w:r>
      <w:r>
        <w:rPr>
          <w:snapToGrid w:val="0"/>
          <w:vertAlign w:val="subscript"/>
        </w:rPr>
        <w:t>1</w:t>
      </w:r>
      <w:r>
        <w:rPr>
          <w:snapToGrid w:val="0"/>
        </w:rPr>
        <w:t xml:space="preserve"> и J</w:t>
      </w:r>
      <w:r>
        <w:rPr>
          <w:snapToGrid w:val="0"/>
          <w:vertAlign w:val="subscript"/>
        </w:rPr>
        <w:t>2</w:t>
      </w:r>
      <w:r>
        <w:rPr>
          <w:snapToGrid w:val="0"/>
        </w:rPr>
        <w:t xml:space="preserve"> (около 40%), в каждом втором образце комбикорма для свиней обнаруживали афлатоксины. Концентрация их колебалась от 0,5 до 500,0 мкг/кг. Около 38% исследованных кормов продуцировали Т-2 токсин и зеараленон, 45%  комбикормов содержали эти микотоксины, концентрация их составляла 0,2 - 2200,0 и 0,5 - 2700,0 мкг/кг соответственно.</w:t>
      </w:r>
    </w:p>
    <w:p w:rsidR="00F4654E" w:rsidRDefault="00F4654E">
      <w:pPr>
        <w:pStyle w:val="a6"/>
        <w:rPr>
          <w:snapToGrid w:val="0"/>
        </w:rPr>
      </w:pPr>
      <w:r>
        <w:rPr>
          <w:snapToGrid w:val="0"/>
        </w:rPr>
        <w:t>Выделялись микотоксины ДОН, стеригматоцистин в концентрациях 0,5-1500,0 и 0,7-2500,0 мкг/кг. В силосе из кукурузы обнаруживали пат</w:t>
      </w:r>
      <w:r>
        <w:rPr>
          <w:snapToGrid w:val="0"/>
        </w:rPr>
        <w:t>у</w:t>
      </w:r>
      <w:r>
        <w:rPr>
          <w:snapToGrid w:val="0"/>
        </w:rPr>
        <w:t>лин - 2900,0 мкг/кг. Все эти данные показывают, что несоблюдение реж</w:t>
      </w:r>
      <w:r>
        <w:rPr>
          <w:snapToGrid w:val="0"/>
        </w:rPr>
        <w:t>и</w:t>
      </w:r>
      <w:r>
        <w:rPr>
          <w:snapToGrid w:val="0"/>
        </w:rPr>
        <w:t>мов закладки и хранения зерна и других кормов, а также недочеты в их и</w:t>
      </w:r>
      <w:r>
        <w:rPr>
          <w:snapToGrid w:val="0"/>
        </w:rPr>
        <w:t>с</w:t>
      </w:r>
      <w:r>
        <w:rPr>
          <w:snapToGrid w:val="0"/>
        </w:rPr>
        <w:t>пользовании способствовали резкому снижению ветеринарно-санитарного качества комбикормов.</w:t>
      </w:r>
    </w:p>
    <w:p w:rsidR="00F4654E" w:rsidRDefault="00F4654E">
      <w:pPr>
        <w:pStyle w:val="a6"/>
        <w:rPr>
          <w:snapToGrid w:val="0"/>
        </w:rPr>
      </w:pPr>
      <w:r>
        <w:rPr>
          <w:snapToGrid w:val="0"/>
        </w:rPr>
        <w:t>На одном из свиноводческих комплексов был установлен смешанный, сочетанный микотоксикоз (афла-Т-2 токсикоз) поросят, сопровождавши</w:t>
      </w:r>
      <w:r>
        <w:rPr>
          <w:snapToGrid w:val="0"/>
        </w:rPr>
        <w:t>й</w:t>
      </w:r>
      <w:r>
        <w:rPr>
          <w:snapToGrid w:val="0"/>
        </w:rPr>
        <w:t>ся высокой летальностью поголовья, уменьшением прироста массы тела: у взрослых свиней уменьшалась продуктивность и плодовитость. После и</w:t>
      </w:r>
      <w:r>
        <w:rPr>
          <w:snapToGrid w:val="0"/>
        </w:rPr>
        <w:t>с</w:t>
      </w:r>
      <w:r>
        <w:rPr>
          <w:snapToGrid w:val="0"/>
        </w:rPr>
        <w:t>ключения из рациона загрязненного микотоксинами корма, болезнь у ж</w:t>
      </w:r>
      <w:r>
        <w:rPr>
          <w:snapToGrid w:val="0"/>
        </w:rPr>
        <w:t>и</w:t>
      </w:r>
      <w:r>
        <w:rPr>
          <w:snapToGrid w:val="0"/>
        </w:rPr>
        <w:t>вотных постепенно прекратилась. В качестве профилактических мер</w:t>
      </w:r>
      <w:r>
        <w:rPr>
          <w:snapToGrid w:val="0"/>
        </w:rPr>
        <w:t>о</w:t>
      </w:r>
      <w:r>
        <w:rPr>
          <w:snapToGrid w:val="0"/>
        </w:rPr>
        <w:t xml:space="preserve">приятий, нами был организован систематический мониторинг кормов на содержание микотоксинов. Все корма, контаминированные токсигенными </w:t>
      </w:r>
      <w:r>
        <w:rPr>
          <w:snapToGrid w:val="0"/>
        </w:rPr>
        <w:lastRenderedPageBreak/>
        <w:t>грибами, подвергались тепловой обработке, часть из них была гранулир</w:t>
      </w:r>
      <w:r>
        <w:rPr>
          <w:snapToGrid w:val="0"/>
        </w:rPr>
        <w:t>о</w:t>
      </w:r>
      <w:r>
        <w:rPr>
          <w:snapToGrid w:val="0"/>
        </w:rPr>
        <w:t>вана. В рацион животных вводили белково-витаминные добавки, сами р</w:t>
      </w:r>
      <w:r>
        <w:rPr>
          <w:snapToGrid w:val="0"/>
        </w:rPr>
        <w:t>а</w:t>
      </w:r>
      <w:r>
        <w:rPr>
          <w:snapToGrid w:val="0"/>
        </w:rPr>
        <w:t>ционы сбалансировали по аминокислотному, микроэлементному составу и показателям питательности. После принятых мер количество отравлений микотоксинами в хозяйствах резко снизилось.</w:t>
      </w:r>
    </w:p>
    <w:p w:rsidR="00F4654E" w:rsidRDefault="00F4654E">
      <w:pPr>
        <w:pStyle w:val="a4"/>
      </w:pPr>
      <w:r>
        <w:t>УДК 619.4:576.8</w:t>
      </w:r>
    </w:p>
    <w:p w:rsidR="00F4654E" w:rsidRDefault="00F4654E">
      <w:pPr>
        <w:pStyle w:val="1"/>
      </w:pPr>
      <w:bookmarkStart w:id="3911" w:name="_Toc10731512"/>
      <w:bookmarkStart w:id="3912" w:name="_Toc11137925"/>
      <w:bookmarkStart w:id="3913" w:name="_Toc11138343"/>
      <w:bookmarkStart w:id="3914" w:name="_Toc11138761"/>
      <w:bookmarkStart w:id="3915" w:name="_Toc11139179"/>
      <w:bookmarkStart w:id="3916" w:name="_Toc11139597"/>
      <w:bookmarkStart w:id="3917" w:name="_Toc11140015"/>
      <w:bookmarkStart w:id="3918" w:name="_Toc11140433"/>
      <w:bookmarkStart w:id="3919" w:name="_Toc11390541"/>
      <w:bookmarkStart w:id="3920" w:name="_Toc11840226"/>
      <w:bookmarkStart w:id="3921" w:name="_Toc11937762"/>
      <w:r>
        <w:t xml:space="preserve">Распространение микроорганизмов, обладающих гемолитическими  свойствами  и  вирулентностью </w:t>
      </w:r>
      <w:r>
        <w:br/>
        <w:t>в  дыхательных  путях  поросят</w:t>
      </w:r>
      <w:bookmarkEnd w:id="3911"/>
      <w:bookmarkEnd w:id="3912"/>
      <w:bookmarkEnd w:id="3913"/>
      <w:bookmarkEnd w:id="3914"/>
      <w:bookmarkEnd w:id="3915"/>
      <w:bookmarkEnd w:id="3916"/>
      <w:bookmarkEnd w:id="3917"/>
      <w:bookmarkEnd w:id="3918"/>
      <w:bookmarkEnd w:id="3919"/>
      <w:bookmarkEnd w:id="3920"/>
      <w:bookmarkEnd w:id="3921"/>
    </w:p>
    <w:p w:rsidR="00F4654E" w:rsidRDefault="00F4654E">
      <w:pPr>
        <w:pStyle w:val="2"/>
      </w:pPr>
      <w:bookmarkStart w:id="3922" w:name="_Toc10731513"/>
      <w:bookmarkStart w:id="3923" w:name="_Toc11032343"/>
      <w:bookmarkStart w:id="3924" w:name="_Toc11137926"/>
      <w:bookmarkStart w:id="3925" w:name="_Toc11138344"/>
      <w:bookmarkStart w:id="3926" w:name="_Toc11138762"/>
      <w:bookmarkStart w:id="3927" w:name="_Toc11139180"/>
      <w:bookmarkStart w:id="3928" w:name="_Toc11139598"/>
      <w:bookmarkStart w:id="3929" w:name="_Toc11140016"/>
      <w:bookmarkStart w:id="3930" w:name="_Toc11140434"/>
      <w:bookmarkStart w:id="3931" w:name="_Toc11390542"/>
      <w:bookmarkStart w:id="3932" w:name="_Toc11937763"/>
      <w:r>
        <w:t>Палунина В.В.</w:t>
      </w:r>
      <w:bookmarkEnd w:id="3922"/>
      <w:bookmarkEnd w:id="3923"/>
      <w:bookmarkEnd w:id="3924"/>
      <w:bookmarkEnd w:id="3925"/>
      <w:bookmarkEnd w:id="3926"/>
      <w:bookmarkEnd w:id="3927"/>
      <w:bookmarkEnd w:id="3928"/>
      <w:bookmarkEnd w:id="3929"/>
      <w:bookmarkEnd w:id="3930"/>
      <w:bookmarkEnd w:id="3931"/>
      <w:bookmarkEnd w:id="3932"/>
    </w:p>
    <w:p w:rsidR="00F4654E" w:rsidRDefault="00F4654E">
      <w:pPr>
        <w:pStyle w:val="a5"/>
      </w:pPr>
      <w:r>
        <w:t>Красноярская краевая ветеринарная лаборатория</w:t>
      </w:r>
    </w:p>
    <w:p w:rsidR="00F4654E" w:rsidRDefault="00F4654E">
      <w:pPr>
        <w:pStyle w:val="a6"/>
      </w:pPr>
      <w:r>
        <w:t>Изучена частота распространения факультативно-анаэробных микр</w:t>
      </w:r>
      <w:r>
        <w:t>о</w:t>
      </w:r>
      <w:r>
        <w:t>организмов (стрептококков, S.aureus, S.hyicus, P.multocida, Ps.aeruginosa, энтеробактерий (E.coli, сальмонел, протеев и др.), обладающих гемолит</w:t>
      </w:r>
      <w:r>
        <w:t>и</w:t>
      </w:r>
      <w:r>
        <w:t xml:space="preserve">ческими свойствами и вирулентностью для белых мышей в респираторном тракте клинически здоровых поросят. </w:t>
      </w:r>
    </w:p>
    <w:p w:rsidR="00F4654E" w:rsidRDefault="00F4654E">
      <w:pPr>
        <w:pStyle w:val="a6"/>
      </w:pPr>
      <w:r>
        <w:t>Как показали проведенные исследования микроорганизмы, выделе</w:t>
      </w:r>
      <w:r>
        <w:t>н</w:t>
      </w:r>
      <w:r>
        <w:t>ные из респираторного тракта слабо развитых поросят чаще вызывали г</w:t>
      </w:r>
      <w:r>
        <w:t>е</w:t>
      </w:r>
      <w:r>
        <w:t>молиз эритроцитов барана (14,8%), а также были вирулентны для белых мышей (21,2%) в сравнении с нормально развитыми (соответственно 7,6% и 14,0%). Перечисленными свойствами обладали патогенные и условно-патогенные бактерии. Из исследованных 150 штаммов сапрофитных ми</w:t>
      </w:r>
      <w:r>
        <w:t>к</w:t>
      </w:r>
      <w:r>
        <w:t>роорганизмов (S.saprophyticus, микрококков, негемолитических стрепт</w:t>
      </w:r>
      <w:r>
        <w:t>о</w:t>
      </w:r>
      <w:r>
        <w:t>кокков, бактерий рода Bacillus, коринеформных бактерий) вирулентных для белых мышей не выявлено.</w:t>
      </w:r>
    </w:p>
    <w:p w:rsidR="00F4654E" w:rsidRDefault="00F4654E">
      <w:pPr>
        <w:pStyle w:val="a6"/>
      </w:pPr>
      <w:r>
        <w:t>Таким образом,  в дыхательных путях слабо развитых животных виру-лентные для белых мышей и обладающие гемолитическими свойствами штаммы микроорганизмов персистируют чаще, в сравнении с нормально развитыми.</w:t>
      </w:r>
    </w:p>
    <w:p w:rsidR="00F4654E" w:rsidRDefault="00F4654E">
      <w:pPr>
        <w:pStyle w:val="1"/>
      </w:pPr>
      <w:bookmarkStart w:id="3933" w:name="_Toc11137927"/>
      <w:bookmarkStart w:id="3934" w:name="_Toc11138345"/>
      <w:bookmarkStart w:id="3935" w:name="_Toc11138763"/>
      <w:bookmarkStart w:id="3936" w:name="_Toc11139181"/>
      <w:bookmarkStart w:id="3937" w:name="_Toc11139599"/>
      <w:bookmarkStart w:id="3938" w:name="_Toc11140017"/>
      <w:bookmarkStart w:id="3939" w:name="_Toc11140435"/>
      <w:bookmarkStart w:id="3940" w:name="_Toc11390543"/>
      <w:bookmarkStart w:id="3941" w:name="_Toc11840228"/>
      <w:bookmarkStart w:id="3942" w:name="_Toc11937764"/>
      <w:r>
        <w:t>Новые методы повышения эффективности профилактики и лечения заболеваний репродуктивных органов КРС</w:t>
      </w:r>
      <w:bookmarkEnd w:id="3888"/>
      <w:bookmarkEnd w:id="3933"/>
      <w:bookmarkEnd w:id="3934"/>
      <w:bookmarkEnd w:id="3935"/>
      <w:bookmarkEnd w:id="3936"/>
      <w:bookmarkEnd w:id="3937"/>
      <w:bookmarkEnd w:id="3938"/>
      <w:bookmarkEnd w:id="3939"/>
      <w:bookmarkEnd w:id="3940"/>
      <w:bookmarkEnd w:id="3941"/>
      <w:bookmarkEnd w:id="3942"/>
    </w:p>
    <w:p w:rsidR="00F4654E" w:rsidRDefault="00F4654E">
      <w:pPr>
        <w:pStyle w:val="2"/>
      </w:pPr>
      <w:bookmarkStart w:id="3943" w:name="_Toc10731487"/>
      <w:bookmarkStart w:id="3944" w:name="_Toc11032324"/>
      <w:bookmarkStart w:id="3945" w:name="_Toc11137928"/>
      <w:bookmarkStart w:id="3946" w:name="_Toc11138346"/>
      <w:bookmarkStart w:id="3947" w:name="_Toc11138764"/>
      <w:bookmarkStart w:id="3948" w:name="_Toc11139182"/>
      <w:bookmarkStart w:id="3949" w:name="_Toc11139600"/>
      <w:bookmarkStart w:id="3950" w:name="_Toc11140018"/>
      <w:bookmarkStart w:id="3951" w:name="_Toc11140436"/>
      <w:bookmarkStart w:id="3952" w:name="_Toc11390544"/>
      <w:bookmarkStart w:id="3953" w:name="_Toc11937765"/>
      <w:r>
        <w:t>Панферова О. В.</w:t>
      </w:r>
      <w:bookmarkEnd w:id="3943"/>
      <w:bookmarkEnd w:id="3944"/>
      <w:bookmarkEnd w:id="3945"/>
      <w:bookmarkEnd w:id="3946"/>
      <w:bookmarkEnd w:id="3947"/>
      <w:bookmarkEnd w:id="3948"/>
      <w:bookmarkEnd w:id="3949"/>
      <w:bookmarkEnd w:id="3950"/>
      <w:bookmarkEnd w:id="3951"/>
      <w:bookmarkEnd w:id="3952"/>
      <w:bookmarkEnd w:id="3953"/>
    </w:p>
    <w:p w:rsidR="00F4654E" w:rsidRDefault="00F4654E">
      <w:pPr>
        <w:pStyle w:val="a5"/>
      </w:pPr>
      <w:r>
        <w:t>ООО «Хелвет»</w:t>
      </w:r>
    </w:p>
    <w:p w:rsidR="00F4654E" w:rsidRDefault="00F4654E">
      <w:pPr>
        <w:pStyle w:val="a6"/>
      </w:pPr>
      <w:r>
        <w:t>В современных условиях одной из наиболее рентабельных отраслей сельского хозяйства является производство молока. Для получения макс</w:t>
      </w:r>
      <w:r>
        <w:t>и</w:t>
      </w:r>
      <w:r>
        <w:t>мально высокой молочной продуктивности коров необходимо постоянно поддерживать высокий уровень воспроизводства стада, т.е. обеспечивать своевременное и плодотворное осеменение коров и телок, а так же ежего</w:t>
      </w:r>
      <w:r>
        <w:t>д</w:t>
      </w:r>
      <w:r>
        <w:t>ное получение приплода. Однако это становится невозможным, если ур</w:t>
      </w:r>
      <w:r>
        <w:t>о</w:t>
      </w:r>
      <w:r>
        <w:t xml:space="preserve">вень гинекологической заболеваемости в хозяйстве остается высоким. </w:t>
      </w:r>
    </w:p>
    <w:p w:rsidR="00F4654E" w:rsidRDefault="00F4654E">
      <w:pPr>
        <w:pStyle w:val="a6"/>
      </w:pPr>
      <w:r>
        <w:lastRenderedPageBreak/>
        <w:t>Все акушерские и гинекологические патологии в ветеринарной пра</w:t>
      </w:r>
      <w:r>
        <w:t>к</w:t>
      </w:r>
      <w:r>
        <w:t xml:space="preserve">тике взаимосвязаны и составляют комплекс болезней половых органов, вызывающих бесплодие животных. </w:t>
      </w:r>
    </w:p>
    <w:p w:rsidR="00F4654E" w:rsidRDefault="00F4654E">
      <w:pPr>
        <w:pStyle w:val="a6"/>
      </w:pPr>
      <w:r>
        <w:t>Бесплодие причиняет громадный ущерб сельскому хозяйству, так как обуславливает: недополучение приплода, недополучение продукции от к</w:t>
      </w:r>
      <w:r>
        <w:t>о</w:t>
      </w:r>
      <w:r>
        <w:t>ров, длительно бесплодных, внеплановую выбраковку высокопродукти</w:t>
      </w:r>
      <w:r>
        <w:t>в</w:t>
      </w:r>
      <w:r>
        <w:t>ных животных, снижение качества мясо-молочной продукции в результате использования антибактериальных препаратов, увеличение затрат на вет</w:t>
      </w:r>
      <w:r>
        <w:t>е</w:t>
      </w:r>
      <w:r>
        <w:t>ринарные обслуживание, искусственное осеменение, кормление и соде</w:t>
      </w:r>
      <w:r>
        <w:t>р</w:t>
      </w:r>
      <w:r>
        <w:t>жание бесплодных животных.</w:t>
      </w:r>
    </w:p>
    <w:p w:rsidR="00F4654E" w:rsidRDefault="00F4654E">
      <w:pPr>
        <w:pStyle w:val="a6"/>
      </w:pPr>
      <w:r>
        <w:t>Проблема высокой гинекологической заболеваемости животных ос</w:t>
      </w:r>
      <w:r>
        <w:t>о</w:t>
      </w:r>
      <w:r>
        <w:t>бенно актуальна для хозяйств с высокопродуктивным стадом. В решении этой проблемы велика роль ветеринарного обслуживания:  уровень лече</w:t>
      </w:r>
      <w:r>
        <w:t>б</w:t>
      </w:r>
      <w:r>
        <w:t>но-профилактических мероприятий, квалификация и профессионализм в</w:t>
      </w:r>
      <w:r>
        <w:t>е</w:t>
      </w:r>
      <w:r>
        <w:t>теринарных специалистов, обеспеченность необходимыми медикаментами и препаратами.</w:t>
      </w:r>
    </w:p>
    <w:p w:rsidR="00F4654E" w:rsidRDefault="00F4654E">
      <w:pPr>
        <w:pStyle w:val="a6"/>
        <w:rPr>
          <w:b/>
          <w:u w:val="single"/>
        </w:rPr>
      </w:pPr>
      <w:r>
        <w:t>Однако проблема бесплодия остается нерешенной по сей день, в пе</w:t>
      </w:r>
      <w:r>
        <w:t>р</w:t>
      </w:r>
      <w:r>
        <w:t>вую очередь потому, что бесконтрольное и широкомасштабное примен</w:t>
      </w:r>
      <w:r>
        <w:t>е</w:t>
      </w:r>
      <w:r>
        <w:t>ние антибактериальных средств привело к селекции антибиотикоустойчи-вых штаммов патогенных микроорганизмов, увеличению числа бактери</w:t>
      </w:r>
      <w:r>
        <w:t>о</w:t>
      </w:r>
      <w:r>
        <w:t>носителей среди животных, накоплению остаточных количеств антиби</w:t>
      </w:r>
      <w:r>
        <w:t>о</w:t>
      </w:r>
      <w:r>
        <w:t>тиков в получаемой продукции. Кроме того, неблагоприятная экологич</w:t>
      </w:r>
      <w:r>
        <w:t>е</w:t>
      </w:r>
      <w:r>
        <w:t>ская обстановка, повышение общей токсической нагрузки вследствие в</w:t>
      </w:r>
      <w:r>
        <w:t>ы</w:t>
      </w:r>
      <w:r>
        <w:t>сокой продуктивности животных, несоблюдение норм кормления и соде</w:t>
      </w:r>
      <w:r>
        <w:t>р</w:t>
      </w:r>
      <w:r>
        <w:t>жания приводят к негативным изменениям в иммунной системе организма, что делает нетипичным течение и клинико-морфологическое проявление патологических процессов.</w:t>
      </w:r>
    </w:p>
    <w:p w:rsidR="00F4654E" w:rsidRDefault="00F4654E">
      <w:pPr>
        <w:pStyle w:val="a6"/>
      </w:pPr>
      <w:r>
        <w:t>С подобной ситуацией столкнулись ветеринарные врачи одного из х</w:t>
      </w:r>
      <w:r>
        <w:t>о</w:t>
      </w:r>
      <w:r>
        <w:t>зяйств Вологодской области. В хозяйстве разводят скот черно-пестрой п</w:t>
      </w:r>
      <w:r>
        <w:t>о</w:t>
      </w:r>
      <w:r>
        <w:t>роды, средний удой за 305 дней лактации в 2000 году составил 6400 литров на 1 корову, поголовье дойного стада – 1300 голов. Процент возникнов</w:t>
      </w:r>
      <w:r>
        <w:t>е</w:t>
      </w:r>
      <w:r>
        <w:t>ния послеродовых осложнений в хозяйстве достигал до  80%. Сервис-период за 2000 год в среднем составил 133 дня. Такой продолжительный сервис-период обусловлен тем, что в большинстве случаев послеродовый эндометрит приобретал хроническое течение.</w:t>
      </w:r>
    </w:p>
    <w:p w:rsidR="00F4654E" w:rsidRDefault="00F4654E">
      <w:pPr>
        <w:pStyle w:val="a6"/>
      </w:pPr>
      <w:r>
        <w:t>Схема терапии острого и хронического эндометрита традиционными средствами включала в себя: применение препаратов, сокращающих ми</w:t>
      </w:r>
      <w:r>
        <w:t>о</w:t>
      </w:r>
      <w:r>
        <w:t>метрий, внутриматочное введение антимикробных средств, витаминотер</w:t>
      </w:r>
      <w:r>
        <w:t>а</w:t>
      </w:r>
      <w:r>
        <w:t>пия, новокаиновые блокады, внутривенное введение растворов глюкозы и хлорида кальция.</w:t>
      </w:r>
    </w:p>
    <w:p w:rsidR="00F4654E" w:rsidRDefault="00F4654E">
      <w:pPr>
        <w:pStyle w:val="a6"/>
      </w:pPr>
      <w:r>
        <w:t>По среднестатистическим данным специалистов хозяйства подобный курс лечения эндометрита (до момента плодотворного осеменения) с</w:t>
      </w:r>
      <w:r>
        <w:t>о</w:t>
      </w:r>
      <w:r>
        <w:t>ставлял 3-4 месяца. Анализируя неудовлетворительные результаты подо</w:t>
      </w:r>
      <w:r>
        <w:t>б</w:t>
      </w:r>
      <w:r>
        <w:lastRenderedPageBreak/>
        <w:t>ного лечения, врачами было проведено тестирование чувствительности микроорганизмов к антимикробным средствам. Исследование показало крайне низкую биологическую активность антимикробных средств, кот</w:t>
      </w:r>
      <w:r>
        <w:t>о</w:t>
      </w:r>
      <w:r>
        <w:t>рые используются в хозяйстве к микроорганизмам, выделенным из орг</w:t>
      </w:r>
      <w:r>
        <w:t>а</w:t>
      </w:r>
      <w:r>
        <w:t xml:space="preserve">низма больных животных. </w:t>
      </w:r>
    </w:p>
    <w:p w:rsidR="00F4654E" w:rsidRDefault="00F4654E">
      <w:pPr>
        <w:pStyle w:val="a6"/>
      </w:pPr>
      <w:r>
        <w:t>На фоне хронического эндометрита практически в 50% случаев у ж</w:t>
      </w:r>
      <w:r>
        <w:t>и</w:t>
      </w:r>
      <w:r>
        <w:t xml:space="preserve">вотных регистрировали различные патологии яичников. Подобное течение заболевания увеличивает затраты на его устранение на 23%. </w:t>
      </w:r>
    </w:p>
    <w:p w:rsidR="00F4654E" w:rsidRDefault="00F4654E">
      <w:pPr>
        <w:pStyle w:val="a6"/>
      </w:pPr>
      <w:r>
        <w:t>Такие обстоятельства заставили врачей искать новый  эффективный, простой и безопасный путь коррекции нарушенного здоровья - поэтому с декабря 1999 года в хозяйстве приступили к использованию гомеопатич</w:t>
      </w:r>
      <w:r>
        <w:t>е</w:t>
      </w:r>
      <w:r>
        <w:t>ского метода для профилактики болезней репродуктивных органов. Пол</w:t>
      </w:r>
      <w:r>
        <w:t>у</w:t>
      </w:r>
      <w:r>
        <w:t>ченные показатели позволяют говорить о высокой терапевтической и эк</w:t>
      </w:r>
      <w:r>
        <w:t>о</w:t>
      </w:r>
      <w:r>
        <w:t>номической эффективности гомеопатических препаратов и рекомендовать их для дальнейшего использования. Оценка метода проводилась на репр</w:t>
      </w:r>
      <w:r>
        <w:t>е</w:t>
      </w:r>
      <w:r>
        <w:t xml:space="preserve">зентативной группе животных, что позволяет говорить о статистической достоверности полученных результатов. </w:t>
      </w:r>
    </w:p>
    <w:p w:rsidR="00F4654E" w:rsidRDefault="00F4654E">
      <w:pPr>
        <w:pStyle w:val="a6"/>
      </w:pPr>
      <w:r>
        <w:t>Профилактика послеродовых осложнений заключалась в однократной инъекции препарата Ovarium compositum ad us. vet. в первые сутки после отела. В результате сокращения количества послеродовых осложнений на 56%, сервис-период данной группы составил 74 дня. Затраты на профила</w:t>
      </w:r>
      <w:r>
        <w:t>к</w:t>
      </w:r>
      <w:r>
        <w:t>тику, даже с учетом затрат на лечение возникших послеродовых осложн</w:t>
      </w:r>
      <w:r>
        <w:t>е</w:t>
      </w:r>
      <w:r>
        <w:t xml:space="preserve">ний, удалось сократить на 47% по сравнению с лечением по традиционным методам. </w:t>
      </w:r>
    </w:p>
    <w:p w:rsidR="00F4654E" w:rsidRDefault="00F4654E">
      <w:pPr>
        <w:pStyle w:val="a6"/>
      </w:pPr>
      <w:r>
        <w:t>Проанализировав все методики и схемы лечения гомеопатическими препаратами, которые применялись в хозяйстве, мы можем сказать, что профилактика послеродовых осложнений дает наибольший терапевтич</w:t>
      </w:r>
      <w:r>
        <w:t>е</w:t>
      </w:r>
      <w:r>
        <w:t>ский эффект и позволяет добиться наименьших экономических затрат на ветеринарные мероприятия. К этому следует добавить и экономический ущерб от недополучения приплода. Его расчет производился по формуле, разработанной И.Н. Никитенко и В.Ф. Воскобойником.</w:t>
      </w:r>
    </w:p>
    <w:p w:rsidR="00F4654E" w:rsidRDefault="00F4654E">
      <w:pPr>
        <w:pStyle w:val="a6"/>
      </w:pPr>
      <w:r>
        <w:t>За счет сокращения сроков сервис-периода опытной группы живо</w:t>
      </w:r>
      <w:r>
        <w:t>т</w:t>
      </w:r>
      <w:r>
        <w:t>ных практически в 2 раза (с 133 до 74 дней), ущерб от недополучения пр</w:t>
      </w:r>
      <w:r>
        <w:t>и</w:t>
      </w:r>
      <w:r>
        <w:t>плода сократился на 94%.</w:t>
      </w:r>
    </w:p>
    <w:p w:rsidR="00F4654E" w:rsidRDefault="00F4654E">
      <w:pPr>
        <w:pStyle w:val="a6"/>
      </w:pPr>
      <w:r>
        <w:t>Суммируя затраты на ветеринарные мероприятия и показатели уще</w:t>
      </w:r>
      <w:r>
        <w:t>р</w:t>
      </w:r>
      <w:r>
        <w:t>ба от недополучения приплода при применении традиционных и гомеоп</w:t>
      </w:r>
      <w:r>
        <w:t>а</w:t>
      </w:r>
      <w:r>
        <w:t>тических средств, мы пришли к выводу, что  профилактика послеродовых осложнений  позволяет сократить ежегодные потери от гинекологических заболеваний на 67% по сравнению с ранее применяемыми традиционными методами.</w:t>
      </w:r>
    </w:p>
    <w:p w:rsidR="00F4654E" w:rsidRDefault="00F4654E">
      <w:pPr>
        <w:pStyle w:val="a6"/>
      </w:pPr>
      <w:r>
        <w:t xml:space="preserve">Таким образом, в сравнении с традиционными схемами и способами лечения гинекологических патологий гомеопатические методы лечения и профилактики дают более высокий терапевтический эффект, что позволяет </w:t>
      </w:r>
      <w:r>
        <w:lastRenderedPageBreak/>
        <w:t>практически в 2 раза сократить сервис-период (с 133 дней до 74 дней). Г</w:t>
      </w:r>
      <w:r>
        <w:t>о</w:t>
      </w:r>
      <w:r>
        <w:t>меопатические методы лечения позволяют сократить затраты на препараты и ущерб от заболеваний органов воспроизводства более, чем в 3 раза. Применение гомеопатических методов профилактики и лечения позволяют значительно снизить трудозатраты ветеринарных специалистов. Гомеоп</w:t>
      </w:r>
      <w:r>
        <w:t>а</w:t>
      </w:r>
      <w:r>
        <w:t>тический метод лечения и профилактики послеродовых осложнений эк</w:t>
      </w:r>
      <w:r>
        <w:t>о</w:t>
      </w:r>
      <w:r>
        <w:t>логически чист и безвреден, не требует временного ограничения на и</w:t>
      </w:r>
      <w:r>
        <w:t>с</w:t>
      </w:r>
      <w:r>
        <w:t>пользование продукции, полученной от больных животных. Использов</w:t>
      </w:r>
      <w:r>
        <w:t>а</w:t>
      </w:r>
      <w:r>
        <w:t>ние гомеопатического метода лечения болезней животных повышает кул</w:t>
      </w:r>
      <w:r>
        <w:t>ь</w:t>
      </w:r>
      <w:r>
        <w:t>туру работы и поднимает престиж ветеринарных специалистов.</w:t>
      </w:r>
    </w:p>
    <w:p w:rsidR="00F4654E" w:rsidRDefault="00F4654E">
      <w:pPr>
        <w:pStyle w:val="a4"/>
      </w:pPr>
      <w:r>
        <w:t>УДК 619:618.19-002-08:636.22/.28</w:t>
      </w:r>
    </w:p>
    <w:p w:rsidR="00F4654E" w:rsidRDefault="00F4654E">
      <w:pPr>
        <w:pStyle w:val="1"/>
      </w:pPr>
      <w:bookmarkStart w:id="3954" w:name="_Toc11137929"/>
      <w:bookmarkStart w:id="3955" w:name="_Toc11138347"/>
      <w:bookmarkStart w:id="3956" w:name="_Toc11138765"/>
      <w:bookmarkStart w:id="3957" w:name="_Toc11139183"/>
      <w:bookmarkStart w:id="3958" w:name="_Toc11139601"/>
      <w:bookmarkStart w:id="3959" w:name="_Toc11140019"/>
      <w:bookmarkStart w:id="3960" w:name="_Toc11140437"/>
      <w:bookmarkStart w:id="3961" w:name="_Toc11390545"/>
      <w:bookmarkStart w:id="3962" w:name="_Toc11840230"/>
      <w:bookmarkStart w:id="3963" w:name="_Toc11937766"/>
      <w:r>
        <w:t>ЭФФЕКТИВНОСТЬ ЛЕЧЕНИЯ СУБКЛИНИЧЕСКОГО МАСТИТА У КОРОВ В СУХОСТОЙНЫЙ ПЕРИОД</w:t>
      </w:r>
      <w:bookmarkEnd w:id="3954"/>
      <w:bookmarkEnd w:id="3955"/>
      <w:bookmarkEnd w:id="3956"/>
      <w:bookmarkEnd w:id="3957"/>
      <w:bookmarkEnd w:id="3958"/>
      <w:bookmarkEnd w:id="3959"/>
      <w:bookmarkEnd w:id="3960"/>
      <w:bookmarkEnd w:id="3961"/>
      <w:bookmarkEnd w:id="3962"/>
      <w:bookmarkEnd w:id="3963"/>
    </w:p>
    <w:p w:rsidR="00F4654E" w:rsidRDefault="00F4654E">
      <w:pPr>
        <w:pStyle w:val="2"/>
      </w:pPr>
      <w:bookmarkStart w:id="3964" w:name="_Toc11032325"/>
      <w:bookmarkStart w:id="3965" w:name="_Toc11137930"/>
      <w:bookmarkStart w:id="3966" w:name="_Toc11138348"/>
      <w:bookmarkStart w:id="3967" w:name="_Toc11138766"/>
      <w:bookmarkStart w:id="3968" w:name="_Toc11139184"/>
      <w:bookmarkStart w:id="3969" w:name="_Toc11139602"/>
      <w:bookmarkStart w:id="3970" w:name="_Toc11140020"/>
      <w:bookmarkStart w:id="3971" w:name="_Toc11140438"/>
      <w:bookmarkStart w:id="3972" w:name="_Toc11390546"/>
      <w:bookmarkStart w:id="3973" w:name="_Toc11937767"/>
      <w:r>
        <w:t>Париков В.А., Паршин П.А., Притыкин Н.В.</w:t>
      </w:r>
      <w:bookmarkEnd w:id="3964"/>
      <w:bookmarkEnd w:id="3965"/>
      <w:bookmarkEnd w:id="3966"/>
      <w:bookmarkEnd w:id="3967"/>
      <w:bookmarkEnd w:id="3968"/>
      <w:bookmarkEnd w:id="3969"/>
      <w:bookmarkEnd w:id="3970"/>
      <w:bookmarkEnd w:id="3971"/>
      <w:bookmarkEnd w:id="3972"/>
      <w:bookmarkEnd w:id="3973"/>
    </w:p>
    <w:p w:rsidR="00F4654E" w:rsidRDefault="00F4654E">
      <w:pPr>
        <w:pStyle w:val="a5"/>
      </w:pPr>
      <w:r>
        <w:t>Всероссийский НИВИ патологии, фармакологии и терапии</w:t>
      </w:r>
    </w:p>
    <w:p w:rsidR="00F4654E" w:rsidRDefault="00F4654E">
      <w:pPr>
        <w:pStyle w:val="a6"/>
      </w:pPr>
      <w:r>
        <w:t>Субклинический мастит у коров имеет широкое распространение, как во время лактации 19,3-48,9% (37,7%), так и в сухостойный период 50,0-57,0% (53,5%). У коров больных субклиническим маститом в период сух</w:t>
      </w:r>
      <w:r>
        <w:t>о</w:t>
      </w:r>
      <w:r>
        <w:t>стоя, после отела может перейти в клинически выраженный мастит, тем самым снижается качество молозива, что непосредственно влияет на с</w:t>
      </w:r>
      <w:r>
        <w:t>о</w:t>
      </w:r>
      <w:r>
        <w:t>хранность новорожденных телят. Широкое распространение заболеваем</w:t>
      </w:r>
      <w:r>
        <w:t>о</w:t>
      </w:r>
      <w:r>
        <w:t>сти коров маститами и причиняемый им ущерб молочному скотоводству, диктует необходимость поиска новых эффективных средств лечения.</w:t>
      </w:r>
    </w:p>
    <w:p w:rsidR="00F4654E" w:rsidRDefault="00F4654E">
      <w:pPr>
        <w:pStyle w:val="a6"/>
      </w:pPr>
      <w:r>
        <w:t>Нами изучена терапевтическая эффективность нового антимикробн</w:t>
      </w:r>
      <w:r>
        <w:t>о</w:t>
      </w:r>
      <w:r>
        <w:t>го препарата под условным названием фурадин. Опыт проведён на 38 к</w:t>
      </w:r>
      <w:r>
        <w:t>о</w:t>
      </w:r>
      <w:r>
        <w:t>ровах чёрно-пёстрой породы, больных субклиническим маститом, прина</w:t>
      </w:r>
      <w:r>
        <w:t>д</w:t>
      </w:r>
      <w:r>
        <w:t>лежащих ГСХ «Петровский» Добринского района Липецкой области. Ж</w:t>
      </w:r>
      <w:r>
        <w:t>и</w:t>
      </w:r>
      <w:r>
        <w:t>вотные были разделены по принципу парных аналогов на 2 группы. Диа</w:t>
      </w:r>
      <w:r>
        <w:t>г</w:t>
      </w:r>
      <w:r>
        <w:t xml:space="preserve">ноз на мастит ставили на основании подсчета соматических клеток (СК) и результатов реакции с 2% мастидином. В качестве базового препарата был взят дифумаст. Препараты вводили однократно после последней дойки (1-3 день от начала сухостойного периода) в дозе 5 мл, с предварительным выдаиванием секрета и обработки сосков 70% этиловым спиртом. </w:t>
      </w:r>
    </w:p>
    <w:p w:rsidR="00F4654E" w:rsidRDefault="00F4654E">
      <w:pPr>
        <w:pStyle w:val="a6"/>
      </w:pPr>
      <w:r>
        <w:t>Терапевтическая эффективность применения препаратов определя-лась на 1-3 день послеродового периода по результатам исследований се</w:t>
      </w:r>
      <w:r>
        <w:t>к</w:t>
      </w:r>
      <w:r>
        <w:t>рета молочной железы с диагностикумом (2% раствор мастидина) и опр</w:t>
      </w:r>
      <w:r>
        <w:t>е</w:t>
      </w:r>
      <w:r>
        <w:t>деления СК. После запуска в здоровых долях количество соматических клеток было на уровне 2,3±0,3 млн/мл, а в поражённых долях – 5,9</w:t>
      </w:r>
      <w:r>
        <w:sym w:font="Symbol" w:char="F0B1"/>
      </w:r>
      <w:r>
        <w:t>0,5 млн/мл. Коровам первой группы (п=21) внутрицистернально вводили ф</w:t>
      </w:r>
      <w:r>
        <w:t>у</w:t>
      </w:r>
      <w:r>
        <w:t>радин, а животным второй группы (п=17) – дифумаст.</w:t>
      </w:r>
    </w:p>
    <w:p w:rsidR="00F4654E" w:rsidRDefault="00F4654E">
      <w:pPr>
        <w:pStyle w:val="a6"/>
      </w:pPr>
      <w:r>
        <w:lastRenderedPageBreak/>
        <w:t>В результате установлено, что лечебная эффективность фурадина с</w:t>
      </w:r>
      <w:r>
        <w:t>о</w:t>
      </w:r>
      <w:r>
        <w:t>ставила 85,7% (по долям вымени 94,9%), а дифумаста 29,5% (72,1%).</w:t>
      </w:r>
    </w:p>
    <w:p w:rsidR="00F4654E" w:rsidRDefault="00F4654E">
      <w:pPr>
        <w:pStyle w:val="a6"/>
      </w:pPr>
      <w:r>
        <w:t>Таким образом, наилучшие результаты лечения коров, больных су</w:t>
      </w:r>
      <w:r>
        <w:t>б</w:t>
      </w:r>
      <w:r>
        <w:t xml:space="preserve">клиническим маститом в период сухостоя, получены при использовании нового антимикробного препарата под условным названием фурадин. </w:t>
      </w:r>
    </w:p>
    <w:p w:rsidR="00F4654E" w:rsidRDefault="00F4654E">
      <w:pPr>
        <w:pStyle w:val="a4"/>
      </w:pPr>
      <w:r>
        <w:t>УДК 619:618.19-002:616.34-002-084:636.22/.28</w:t>
      </w:r>
    </w:p>
    <w:p w:rsidR="00F4654E" w:rsidRDefault="00F4654E">
      <w:pPr>
        <w:pStyle w:val="1"/>
      </w:pPr>
      <w:bookmarkStart w:id="3974" w:name="_Toc11137931"/>
      <w:bookmarkStart w:id="3975" w:name="_Toc11138349"/>
      <w:bookmarkStart w:id="3976" w:name="_Toc11138767"/>
      <w:bookmarkStart w:id="3977" w:name="_Toc11139185"/>
      <w:bookmarkStart w:id="3978" w:name="_Toc11139603"/>
      <w:bookmarkStart w:id="3979" w:name="_Toc11140021"/>
      <w:bookmarkStart w:id="3980" w:name="_Toc11140439"/>
      <w:bookmarkStart w:id="3981" w:name="_Toc11390547"/>
      <w:bookmarkStart w:id="3982" w:name="_Toc11840232"/>
      <w:bookmarkStart w:id="3983" w:name="_Toc11937768"/>
      <w:r>
        <w:t>БОРЬБА С МАСТИТОМ У КОРОВ И НЕТЕЛЕЙ ОДИН ИЗ СПОСОБОВ ПРОФИЛАКТИКИ ЖЕЛУДОЧНО-КИШЕЧНЫХ БОЛЕЗНЕЙ ТЕЛЯТ</w:t>
      </w:r>
      <w:bookmarkEnd w:id="3974"/>
      <w:bookmarkEnd w:id="3975"/>
      <w:bookmarkEnd w:id="3976"/>
      <w:bookmarkEnd w:id="3977"/>
      <w:bookmarkEnd w:id="3978"/>
      <w:bookmarkEnd w:id="3979"/>
      <w:bookmarkEnd w:id="3980"/>
      <w:bookmarkEnd w:id="3981"/>
      <w:bookmarkEnd w:id="3982"/>
      <w:bookmarkEnd w:id="3983"/>
    </w:p>
    <w:p w:rsidR="00F4654E" w:rsidRDefault="00F4654E">
      <w:pPr>
        <w:pStyle w:val="2"/>
      </w:pPr>
      <w:bookmarkStart w:id="3984" w:name="_Toc11032326"/>
      <w:bookmarkStart w:id="3985" w:name="_Toc11137932"/>
      <w:bookmarkStart w:id="3986" w:name="_Toc11138350"/>
      <w:bookmarkStart w:id="3987" w:name="_Toc11138768"/>
      <w:bookmarkStart w:id="3988" w:name="_Toc11139186"/>
      <w:bookmarkStart w:id="3989" w:name="_Toc11139604"/>
      <w:bookmarkStart w:id="3990" w:name="_Toc11140022"/>
      <w:bookmarkStart w:id="3991" w:name="_Toc11140440"/>
      <w:bookmarkStart w:id="3992" w:name="_Toc11390548"/>
      <w:bookmarkStart w:id="3993" w:name="_Toc11937769"/>
      <w:r>
        <w:t xml:space="preserve">Париков В.А., Притыкин Н.В., Сергеев Ю.В., </w:t>
      </w:r>
      <w:r>
        <w:br/>
        <w:t>Пониткин Д.М.*, Игнатов И.В.*</w:t>
      </w:r>
      <w:bookmarkEnd w:id="3984"/>
      <w:bookmarkEnd w:id="3985"/>
      <w:bookmarkEnd w:id="3986"/>
      <w:bookmarkEnd w:id="3987"/>
      <w:bookmarkEnd w:id="3988"/>
      <w:bookmarkEnd w:id="3989"/>
      <w:bookmarkEnd w:id="3990"/>
      <w:bookmarkEnd w:id="3991"/>
      <w:bookmarkEnd w:id="3992"/>
      <w:bookmarkEnd w:id="3993"/>
      <w:r>
        <w:t xml:space="preserve"> </w:t>
      </w:r>
    </w:p>
    <w:p w:rsidR="00F4654E" w:rsidRDefault="00F4654E">
      <w:pPr>
        <w:pStyle w:val="a5"/>
      </w:pPr>
      <w:r>
        <w:t xml:space="preserve">Всероссийский НИВИ патологии, фармакологии и терапии </w:t>
      </w:r>
      <w:r>
        <w:br/>
        <w:t>*ЗАО «Славянское», Орловская область</w:t>
      </w:r>
    </w:p>
    <w:p w:rsidR="00F4654E" w:rsidRDefault="00F4654E">
      <w:pPr>
        <w:pStyle w:val="a6"/>
      </w:pPr>
      <w:r>
        <w:t>Повышение молочной продуктивности коров, сохранности новоро</w:t>
      </w:r>
      <w:r>
        <w:t>ж</w:t>
      </w:r>
      <w:r>
        <w:t>денных телят сдерживают различные болезни молочной железы и особе</w:t>
      </w:r>
      <w:r>
        <w:t>н</w:t>
      </w:r>
      <w:r>
        <w:t>но мастит. При разработке мер профилактики и лечения мастита у коров и нетелей надо четко представлять нозологию патологических процессов в молочной железе. Между тем спорный вопрос о так называемом раздраж</w:t>
      </w:r>
      <w:r>
        <w:t>е</w:t>
      </w:r>
      <w:r>
        <w:t>нии вымени остается все еще окончательно не решенным. Одни называют его раздражением, другие – нарушением секреции, третьи – отождествл</w:t>
      </w:r>
      <w:r>
        <w:t>я</w:t>
      </w:r>
      <w:r>
        <w:t>ют его с субклиническим маститом. Главное заключается в том, что при раздражении дело не доходит до гибели секретирующих клеток (лактоц</w:t>
      </w:r>
      <w:r>
        <w:t>и</w:t>
      </w:r>
      <w:r>
        <w:t>тов), что имеет место при субклиническом мастите. Однако снижение м</w:t>
      </w:r>
      <w:r>
        <w:t>о</w:t>
      </w:r>
      <w:r>
        <w:t>лочной продуктивности уже имеет место, так как мигрировавшие в моло</w:t>
      </w:r>
      <w:r>
        <w:t>ч</w:t>
      </w:r>
      <w:r>
        <w:t>ную железу, лейкоциты выделяют фермент миелопероксидазу, которая тормозит секрецию лактоцитов.</w:t>
      </w:r>
    </w:p>
    <w:p w:rsidR="00F4654E" w:rsidRDefault="00F4654E">
      <w:pPr>
        <w:pStyle w:val="a6"/>
      </w:pPr>
      <w:r>
        <w:t>Ветеринарные специалисты должны своевременно диагностировать не только субклинический мастит, когда необходимо лечение, но и ра</w:t>
      </w:r>
      <w:r>
        <w:t>з</w:t>
      </w:r>
      <w:r>
        <w:t>дражение вымени, чтобы устранить причину и не допустить снижения удоя и качества молока. Рекомендуем всех, положительно реагирующих с 2% мастидином или масттестом, коров прежде чем лечить, через 24-48 ч</w:t>
      </w:r>
      <w:r>
        <w:t>а</w:t>
      </w:r>
      <w:r>
        <w:t>сов повторно исследовать и устранять факторы раздражения, после чего функция молочной железы восстанавливается без лечения.</w:t>
      </w:r>
    </w:p>
    <w:p w:rsidR="00F4654E" w:rsidRDefault="00F4654E">
      <w:pPr>
        <w:pStyle w:val="a6"/>
      </w:pPr>
      <w:r>
        <w:t>До сего времени дискутируется вопрос о бактерионосительстве и комменсализме в молочной железе коров. Нами установлено, что в паре</w:t>
      </w:r>
      <w:r>
        <w:t>н</w:t>
      </w:r>
      <w:r>
        <w:t>химе (альвеолах) молочной железы в норме микроорганизмы отсутствуют. Они периодически могут попадать в молочную железу чаще галактоге</w:t>
      </w:r>
      <w:r>
        <w:t>н</w:t>
      </w:r>
      <w:r>
        <w:t>ным путем по причине снижения барьерных функций соскового канала и других защитных механизмов молочной железы, адгезироваться на эпит</w:t>
      </w:r>
      <w:r>
        <w:t>е</w:t>
      </w:r>
      <w:r>
        <w:t xml:space="preserve">лии сосковой и надсосковой цистерны и бактерионосительство, может трансформироваться в воспаление. </w:t>
      </w:r>
    </w:p>
    <w:p w:rsidR="00F4654E" w:rsidRDefault="00F4654E">
      <w:pPr>
        <w:pStyle w:val="a6"/>
      </w:pPr>
      <w:r>
        <w:lastRenderedPageBreak/>
        <w:t>В результате многолетних наблюдений за характером скрытого пат</w:t>
      </w:r>
      <w:r>
        <w:t>о</w:t>
      </w:r>
      <w:r>
        <w:t>логического процесса в молочной железе установлено, что субклинич</w:t>
      </w:r>
      <w:r>
        <w:t>е</w:t>
      </w:r>
      <w:r>
        <w:t>ский мастит может протекать на протяжении лактации, двух и более ла</w:t>
      </w:r>
      <w:r>
        <w:t>к</w:t>
      </w:r>
      <w:r>
        <w:t>таций и приводить долю (четверть) вымени к полной атрофии.</w:t>
      </w:r>
    </w:p>
    <w:p w:rsidR="00F4654E" w:rsidRDefault="00F4654E">
      <w:pPr>
        <w:pStyle w:val="a6"/>
      </w:pPr>
      <w:r>
        <w:t>Нарушение технологии, правил машинного доения, оптимальных у</w:t>
      </w:r>
      <w:r>
        <w:t>с</w:t>
      </w:r>
      <w:r>
        <w:t>ловий содержания и кормления коров снижает их общую и локальную р</w:t>
      </w:r>
      <w:r>
        <w:t>е</w:t>
      </w:r>
      <w:r>
        <w:t>зистентность к инфицированию патогенной и условно-патогенной микр</w:t>
      </w:r>
      <w:r>
        <w:t>о</w:t>
      </w:r>
      <w:r>
        <w:t>флорой, способствует размножению и накоплению бактерий во внешней среде, на вымени, их переносу от больных животных к здоровым, так обр</w:t>
      </w:r>
      <w:r>
        <w:t>а</w:t>
      </w:r>
      <w:r>
        <w:t>зуется замкнутый круг. Чем больше отрицательно действующих факторов на организм животных в целом и их молочную железу, тем больше бол</w:t>
      </w:r>
      <w:r>
        <w:t>ь</w:t>
      </w:r>
      <w:r>
        <w:t>ных маститом животных, выделяющих во внешнюю среду патогенную микрофлору. В результате создаются условия для усиления вирулентности даже условно-патогенных бактерий, которые, попадая в больших колич</w:t>
      </w:r>
      <w:r>
        <w:t>е</w:t>
      </w:r>
      <w:r>
        <w:t>ствах в молочную железу, главным образом галактогенным путем, спосо</w:t>
      </w:r>
      <w:r>
        <w:t>б</w:t>
      </w:r>
      <w:r>
        <w:t>ствует возникновению и развитию мастита. Мастит у коров в этих услов</w:t>
      </w:r>
      <w:r>
        <w:t>и</w:t>
      </w:r>
      <w:r>
        <w:t>ях протекает по типу энзоотии, поражая чаще всего высокопродуктивных животных и охватывая до 80% коров фермы. Ущерб в этом случае нан</w:t>
      </w:r>
      <w:r>
        <w:t>о</w:t>
      </w:r>
      <w:r>
        <w:t xml:space="preserve">сится чрезвычайно большой. </w:t>
      </w:r>
    </w:p>
    <w:p w:rsidR="00F4654E" w:rsidRDefault="00F4654E">
      <w:pPr>
        <w:pStyle w:val="a6"/>
      </w:pPr>
      <w:r>
        <w:t>Так например в ЗАО Славянское Орловской области маститом в 1994 году болело 27,2% коров. Удой составлял 2500 кг. В результате провед</w:t>
      </w:r>
      <w:r>
        <w:t>е</w:t>
      </w:r>
      <w:r>
        <w:t>ния мероприятий в 1995 году заболеваемость снизилась до 5,6 %, в 1996 – до 2 %, а затем до 0,8 %. Продуктивность возросла до 5400 кг. В Госсемх</w:t>
      </w:r>
      <w:r>
        <w:t>о</w:t>
      </w:r>
      <w:r>
        <w:t>зе «Петровский» в 1998 году маститом было поражено 48,7% коров, а на отделении Октябрьское (беспривязное содержание) – 86,0%. Удой от кор</w:t>
      </w:r>
      <w:r>
        <w:t>о</w:t>
      </w:r>
      <w:r>
        <w:t>вы в 1999 году составлял 3260 кг. В результате внедрения, указанных ниже мероприятий уже к концу 1999 г заболеваемость снизилась до 8,2%, а удой от каждой коровы возрос на 952 кг.</w:t>
      </w:r>
    </w:p>
    <w:p w:rsidR="00F4654E" w:rsidRDefault="00F4654E">
      <w:pPr>
        <w:pStyle w:val="a6"/>
      </w:pPr>
      <w:r>
        <w:t>В целях профилактики мастита необходимо на ферме проводить сл</w:t>
      </w:r>
      <w:r>
        <w:t>е</w:t>
      </w:r>
      <w:r>
        <w:t>дующие мероприятия:</w:t>
      </w:r>
    </w:p>
    <w:p w:rsidR="00F4654E" w:rsidRDefault="00F4654E">
      <w:pPr>
        <w:pStyle w:val="a6"/>
      </w:pPr>
      <w:r>
        <w:t>1. Установка дополнительных ресиверов на концах вакуумных линий, что позволяет снизить уровень вакуума с 0,54 до 0,47-0,48 кгс/см</w:t>
      </w:r>
      <w:r>
        <w:rPr>
          <w:vertAlign w:val="superscript"/>
        </w:rPr>
        <w:t xml:space="preserve">2 </w:t>
      </w:r>
      <w:r>
        <w:t xml:space="preserve"> и стаб</w:t>
      </w:r>
      <w:r>
        <w:t>и</w:t>
      </w:r>
      <w:r>
        <w:t>лизировать его.</w:t>
      </w:r>
    </w:p>
    <w:p w:rsidR="00F4654E" w:rsidRDefault="00F4654E">
      <w:pPr>
        <w:pStyle w:val="a6"/>
      </w:pPr>
      <w:r>
        <w:t>2. Подключение доильных стаканов только после полноценного  ре</w:t>
      </w:r>
      <w:r>
        <w:t>ф</w:t>
      </w:r>
      <w:r>
        <w:t>лекса молокоотдачи (припуска молока) и отключение их не допуская пер</w:t>
      </w:r>
      <w:r>
        <w:t>е</w:t>
      </w:r>
      <w:r>
        <w:t>держки на выдоенном вымени. При преждевременном одевании стаканов и передержке их в пустой сосковой цистерне (синусе) создается вакуум, к</w:t>
      </w:r>
      <w:r>
        <w:t>о</w:t>
      </w:r>
      <w:r>
        <w:t>торый вызывает раздражение.</w:t>
      </w:r>
    </w:p>
    <w:p w:rsidR="00F4654E" w:rsidRDefault="00F4654E">
      <w:pPr>
        <w:pStyle w:val="a6"/>
      </w:pPr>
      <w:r>
        <w:t>3. При большом количестве больных коров (10-20% и более) высокий профилактический эффект дает внедрение дезинфекции доильных аппар</w:t>
      </w:r>
      <w:r>
        <w:t>а</w:t>
      </w:r>
      <w:r>
        <w:t>тов после каждой коровы.</w:t>
      </w:r>
    </w:p>
    <w:p w:rsidR="00F4654E" w:rsidRDefault="00F4654E">
      <w:pPr>
        <w:pStyle w:val="a6"/>
      </w:pPr>
      <w:r>
        <w:t>4. В начале внедрения системы мероприятий по борьбе с маститами коров диагностика раздражения вымени и скрытого мастита в период ла</w:t>
      </w:r>
      <w:r>
        <w:t>к</w:t>
      </w:r>
      <w:r>
        <w:lastRenderedPageBreak/>
        <w:t>тации с помощью молочно-контрольных пластинок нашей конструкции ПМК-2 (Париков В.А., патент № 628851), и 2% раствора мастидина или мастотеста Воронежского (В.А. Париков, авт. свид. № 573153) мы пров</w:t>
      </w:r>
      <w:r>
        <w:t>о</w:t>
      </w:r>
      <w:r>
        <w:t>дили ежемесячно, затем при снижении заболеваемости до 1-1,5% - 1 раз в 2 месяца или в квартал.</w:t>
      </w:r>
    </w:p>
    <w:p w:rsidR="00F4654E" w:rsidRDefault="00F4654E">
      <w:pPr>
        <w:pStyle w:val="a6"/>
      </w:pPr>
      <w:r>
        <w:t>Коров, уходящих в сухостой исследовать в последнюю дойку на скрытый мастит. В периоде сухостоя дважды проводить диагностику кл</w:t>
      </w:r>
      <w:r>
        <w:t>и</w:t>
      </w:r>
      <w:r>
        <w:t>нически выраженного и скрытого мастита как в период лактации на ПМК-2 с мастидином – первый раз через 10-15 дней после запуска (последней дойки) и за 10-15 дней до родов. Всех больных маститом подвергнуть л</w:t>
      </w:r>
      <w:r>
        <w:t>е</w:t>
      </w:r>
      <w:r>
        <w:t>чению. Исследовать на мастит клинически и с помощью 2% мастидина или мастеста коров и нетелей в первую дойку после отела. Больных подвергать лечению, а телят выпаивать молозиво от здоровых коров.</w:t>
      </w:r>
    </w:p>
    <w:p w:rsidR="00F4654E" w:rsidRDefault="00F4654E">
      <w:pPr>
        <w:pStyle w:val="a6"/>
      </w:pPr>
      <w:r>
        <w:t>5. Лечение мастита в период лактации, особенно субклинического, мы проводим посредством внутрицистернального введения препаратов, не с</w:t>
      </w:r>
      <w:r>
        <w:t>о</w:t>
      </w:r>
      <w:r>
        <w:t>держащих антибиотики (дифурол, диофур, дифумаст), которые быстро (с</w:t>
      </w:r>
      <w:r>
        <w:t>у</w:t>
      </w:r>
      <w:r>
        <w:t>тки) выделяются с молоком, сокращая сроки его браковки. Эти препараты мы длительно и с большим эффектом (1,5-2 года и более) используем в х</w:t>
      </w:r>
      <w:r>
        <w:t>о</w:t>
      </w:r>
      <w:r>
        <w:t>зяйстве без развития к ним микробной устойчивости, тогда как антибиот</w:t>
      </w:r>
      <w:r>
        <w:t>и</w:t>
      </w:r>
      <w:r>
        <w:t>ки приходится менять через 3-6 месяцев. Многие ветеринарные специал</w:t>
      </w:r>
      <w:r>
        <w:t>и</w:t>
      </w:r>
      <w:r>
        <w:t>сты хозяйств используют их и для введения в матку после отделения п</w:t>
      </w:r>
      <w:r>
        <w:t>о</w:t>
      </w:r>
      <w:r>
        <w:t>следа с целью профилактики эндометрита. Высокий терапевтический э</w:t>
      </w:r>
      <w:r>
        <w:t>ф</w:t>
      </w:r>
      <w:r>
        <w:t>фект при мастите всех форм оказывает лазерный аппарат «СТП».</w:t>
      </w:r>
    </w:p>
    <w:p w:rsidR="00F4654E" w:rsidRDefault="00F4654E">
      <w:pPr>
        <w:pStyle w:val="a6"/>
      </w:pPr>
      <w:r>
        <w:t>Для лечения осложненного тяжело протекающего мастита можно и</w:t>
      </w:r>
      <w:r>
        <w:t>с</w:t>
      </w:r>
      <w:r>
        <w:t>пользовать препараты, содержащие антибиотики широкого спектра дейс</w:t>
      </w:r>
      <w:r>
        <w:t>т</w:t>
      </w:r>
      <w:r>
        <w:t>вия: диеномаст, эримаст, эроксимаст, колимаст, тетрамаст. Однако, цел</w:t>
      </w:r>
      <w:r>
        <w:t>е</w:t>
      </w:r>
      <w:r>
        <w:t>сообразнее эти препараты применять в периоде запуска и сухостоя, так они более длительно удерживаются в вымени и выделяются с молоком, удл</w:t>
      </w:r>
      <w:r>
        <w:t>и</w:t>
      </w:r>
      <w:r>
        <w:t>няя сроки его браковки согласно наставлениям по применению. Хронич</w:t>
      </w:r>
      <w:r>
        <w:t>е</w:t>
      </w:r>
      <w:r>
        <w:t>ски протекающий мастит эффективнее излечивается в периоде сухостоя. Поэтому всем переболевшим и лечившимся в периоде лактации коровам в эти четверти или во все доли после последней дойки ввести один из преп</w:t>
      </w:r>
      <w:r>
        <w:t>а</w:t>
      </w:r>
      <w:r>
        <w:t xml:space="preserve">ратов (диеномаст, эроксимаст, колимаст, тетрамаст). </w:t>
      </w:r>
    </w:p>
    <w:p w:rsidR="00F4654E" w:rsidRDefault="00F4654E">
      <w:pPr>
        <w:pStyle w:val="a6"/>
      </w:pPr>
      <w:r>
        <w:t>На каждой ферме соблюдается график использования противомасти</w:t>
      </w:r>
      <w:r>
        <w:t>т</w:t>
      </w:r>
      <w:r>
        <w:t>ных препаратов. Препарат, содержащий антибиотики, используем не более 3-6 месяцев и применяем его повторно не ранее года. Для этого НПП «А</w:t>
      </w:r>
      <w:r>
        <w:t>г</w:t>
      </w:r>
      <w:r>
        <w:t>рофарм» изготавливает пять различных по составу антибиотических пр</w:t>
      </w:r>
      <w:r>
        <w:t>е</w:t>
      </w:r>
      <w:r>
        <w:t>паратов.</w:t>
      </w:r>
    </w:p>
    <w:p w:rsidR="00F4654E" w:rsidRDefault="00F4654E">
      <w:pPr>
        <w:pStyle w:val="a6"/>
      </w:pPr>
      <w:r>
        <w:t>6. Для повышения общей и локальной (вымени) резистентности коров к маститу мы применяем подкожное введение селеносодержащего преп</w:t>
      </w:r>
      <w:r>
        <w:t>а</w:t>
      </w:r>
      <w:r>
        <w:t>рата «Деполен» в дозе 2 мл/100 кг массы тела 1 раз в 7-8 месяцев. Прим</w:t>
      </w:r>
      <w:r>
        <w:t>е</w:t>
      </w:r>
      <w:r>
        <w:t>нение деполена обеспечивает снижение заболеваемости маститом на 20-25%, а также послеродовым эндометритом, задержанием последа и увел</w:t>
      </w:r>
      <w:r>
        <w:t>и</w:t>
      </w:r>
      <w:r>
        <w:lastRenderedPageBreak/>
        <w:t xml:space="preserve">чивает выход и сохранность телят, профилактируя у них беломышечную болезнь. Повышается также молочная и мясная продуктивность. </w:t>
      </w:r>
    </w:p>
    <w:p w:rsidR="00F4654E" w:rsidRDefault="00F4654E">
      <w:pPr>
        <w:pStyle w:val="a6"/>
      </w:pPr>
      <w:r>
        <w:t>На дальнейшую перспективу в области борьбы с маститом коров н</w:t>
      </w:r>
      <w:r>
        <w:t>е</w:t>
      </w:r>
      <w:r>
        <w:t>обходимо проводить исследования по разработке и изысканию экологич</w:t>
      </w:r>
      <w:r>
        <w:t>е</w:t>
      </w:r>
      <w:r>
        <w:t>ски безопасных средств профилактики и терапии мастита у коров. Новых более эффективных методов экспресс-диагностики раздражения и скрыт</w:t>
      </w:r>
      <w:r>
        <w:t>о</w:t>
      </w:r>
      <w:r>
        <w:t xml:space="preserve">го воспаления молочной железы.          </w:t>
      </w:r>
    </w:p>
    <w:p w:rsidR="00F4654E" w:rsidRDefault="00F4654E">
      <w:pPr>
        <w:pStyle w:val="a4"/>
      </w:pPr>
      <w:r>
        <w:t>УДК 619:616.155.194-085:636.7</w:t>
      </w:r>
    </w:p>
    <w:p w:rsidR="00F4654E" w:rsidRDefault="00F4654E">
      <w:pPr>
        <w:pStyle w:val="1"/>
      </w:pPr>
      <w:bookmarkStart w:id="3994" w:name="_Toc10731488"/>
      <w:bookmarkStart w:id="3995" w:name="_Toc11137933"/>
      <w:bookmarkStart w:id="3996" w:name="_Toc11138351"/>
      <w:bookmarkStart w:id="3997" w:name="_Toc11138769"/>
      <w:bookmarkStart w:id="3998" w:name="_Toc11139187"/>
      <w:bookmarkStart w:id="3999" w:name="_Toc11139605"/>
      <w:bookmarkStart w:id="4000" w:name="_Toc11140023"/>
      <w:bookmarkStart w:id="4001" w:name="_Toc11140441"/>
      <w:bookmarkStart w:id="4002" w:name="_Toc11390549"/>
      <w:bookmarkStart w:id="4003" w:name="_Toc11840234"/>
      <w:bookmarkStart w:id="4004" w:name="_Toc11937770"/>
      <w:r>
        <w:t>Электропунктурная диагностика гастрита у собак</w:t>
      </w:r>
      <w:bookmarkEnd w:id="3994"/>
      <w:bookmarkEnd w:id="3995"/>
      <w:bookmarkEnd w:id="3996"/>
      <w:bookmarkEnd w:id="3997"/>
      <w:bookmarkEnd w:id="3998"/>
      <w:bookmarkEnd w:id="3999"/>
      <w:bookmarkEnd w:id="4000"/>
      <w:bookmarkEnd w:id="4001"/>
      <w:bookmarkEnd w:id="4002"/>
      <w:bookmarkEnd w:id="4003"/>
      <w:bookmarkEnd w:id="4004"/>
    </w:p>
    <w:p w:rsidR="00F4654E" w:rsidRDefault="00F4654E">
      <w:pPr>
        <w:pStyle w:val="2"/>
      </w:pPr>
      <w:bookmarkStart w:id="4005" w:name="_Toc10731489"/>
      <w:bookmarkStart w:id="4006" w:name="_Toc11032327"/>
      <w:bookmarkStart w:id="4007" w:name="_Toc11137934"/>
      <w:bookmarkStart w:id="4008" w:name="_Toc11138352"/>
      <w:bookmarkStart w:id="4009" w:name="_Toc11138770"/>
      <w:bookmarkStart w:id="4010" w:name="_Toc11139188"/>
      <w:bookmarkStart w:id="4011" w:name="_Toc11139606"/>
      <w:bookmarkStart w:id="4012" w:name="_Toc11140024"/>
      <w:bookmarkStart w:id="4013" w:name="_Toc11140442"/>
      <w:bookmarkStart w:id="4014" w:name="_Toc11390550"/>
      <w:bookmarkStart w:id="4015" w:name="_Toc11937771"/>
      <w:r>
        <w:t>Петров В. А., Тихонова А. А.</w:t>
      </w:r>
      <w:bookmarkEnd w:id="4005"/>
      <w:bookmarkEnd w:id="4006"/>
      <w:bookmarkEnd w:id="4007"/>
      <w:bookmarkEnd w:id="4008"/>
      <w:bookmarkEnd w:id="4009"/>
      <w:bookmarkEnd w:id="4010"/>
      <w:bookmarkEnd w:id="4011"/>
      <w:bookmarkEnd w:id="4012"/>
      <w:bookmarkEnd w:id="4013"/>
      <w:bookmarkEnd w:id="4014"/>
      <w:bookmarkEnd w:id="4015"/>
    </w:p>
    <w:p w:rsidR="00F4654E" w:rsidRDefault="00F4654E">
      <w:pPr>
        <w:pStyle w:val="a5"/>
      </w:pPr>
      <w:r>
        <w:t>Орловский государственный аграрный университет</w:t>
      </w:r>
    </w:p>
    <w:p w:rsidR="00F4654E" w:rsidRDefault="00F4654E">
      <w:pPr>
        <w:pStyle w:val="a6"/>
      </w:pPr>
      <w:r>
        <w:t>Гастриты – одно из самых распространенных заболеваний у собак. Г</w:t>
      </w:r>
      <w:r>
        <w:t>а</w:t>
      </w:r>
      <w:r>
        <w:t>стриты возникают, если животных кормят сухой труднопериваримой или недоброкачественной пищей. Горячие каши, супы, мясо, рыба, которые собаки поедают быстро, холодная вода и холодная пища тоже вызывают гастрит. Воспаление слизистой оболочки желудка происходит и при резкой смене рациона, нерегулярном кормлении, поении грязной водой. При да</w:t>
      </w:r>
      <w:r>
        <w:t>н</w:t>
      </w:r>
      <w:r>
        <w:t>ной патологии происходит нарушение работы пищеварительных желез, которые выделяют соляную кислоту, обуславливая развитие гипер-, гипо-, анацидных гастритов. Заболевание возникает внезапно. Слизистая оболо</w:t>
      </w:r>
      <w:r>
        <w:t>ч</w:t>
      </w:r>
      <w:r>
        <w:t>ка желудка краснеет, отекает, происходит обильное выделение слизи. Слизь изолирует пищу от действия желудочного сока, что приводит к ус</w:t>
      </w:r>
      <w:r>
        <w:t>и</w:t>
      </w:r>
      <w:r>
        <w:t>лению бродильных и гнилостных процессов с образованием газов орган</w:t>
      </w:r>
      <w:r>
        <w:t>и</w:t>
      </w:r>
      <w:r>
        <w:t>ческих кислот и продуктов распада белков. Нарушенная работа желудка приводит к расстройству деятельности кишечника. В нем образуются то</w:t>
      </w:r>
      <w:r>
        <w:t>к</w:t>
      </w:r>
      <w:r>
        <w:t>сические вещества, которые всасываются в кровь, вызывая отравление вс</w:t>
      </w:r>
      <w:r>
        <w:t>е</w:t>
      </w:r>
      <w:r>
        <w:t>го организма, оказывая отрицательное действие на ЦНС.</w:t>
      </w:r>
    </w:p>
    <w:p w:rsidR="00F4654E" w:rsidRDefault="00F4654E">
      <w:pPr>
        <w:pStyle w:val="a6"/>
      </w:pPr>
      <w:r>
        <w:t>Нами изучалась электропроводность кожи в биологически активных точках (БАТ) органов желудочно-кишечного тракта здоровых и больных острым гастритом собак. Опытная группа составила 14 клинически здор</w:t>
      </w:r>
      <w:r>
        <w:t>о</w:t>
      </w:r>
      <w:r>
        <w:t>вых и 14 собак с диагнозом острый гастрит, в возрасте от 10 мес. до 1,5 лет, принадлежащих ЦКС при УВД Орловской области и питомнику охр</w:t>
      </w:r>
      <w:r>
        <w:t>а</w:t>
      </w:r>
      <w:r>
        <w:t>ны при УВД Орловской области. Диагноз острый гастрит был поставлен на основании следующих клинических признаков: вялость животных, резкое снижение аппетита, взъерошенность и тусклость шерстного покрова, рвота (у 3-х животных), отрыжка воздухом, серый налет на языке, неприятный запах изо рта, непереваренные зерна крупы в кале. Развитие острого гас</w:t>
      </w:r>
      <w:r>
        <w:t>т</w:t>
      </w:r>
      <w:r>
        <w:t>рита могло быть спровоцировано резким переходом с сухих кормов (Ча</w:t>
      </w:r>
      <w:r>
        <w:t>п</w:t>
      </w:r>
      <w:r>
        <w:t>пи) на обычный тип кормления (перловая каша).</w:t>
      </w:r>
    </w:p>
    <w:p w:rsidR="00F4654E" w:rsidRDefault="00F4654E">
      <w:pPr>
        <w:pStyle w:val="a6"/>
      </w:pPr>
      <w:r>
        <w:t>Электропроводность кожи в БАТ желудка, тонкого и толстого кише</w:t>
      </w:r>
      <w:r>
        <w:t>ч</w:t>
      </w:r>
      <w:r>
        <w:t>ника, печени и блуждающего нерва выявляли с помощью прибора ПЭРТ-5.</w:t>
      </w:r>
    </w:p>
    <w:p w:rsidR="00F4654E" w:rsidRDefault="00F4654E">
      <w:pPr>
        <w:pStyle w:val="a6"/>
      </w:pPr>
      <w:r>
        <w:lastRenderedPageBreak/>
        <w:t>Топография использованных БАТ (Петров В. А. с соавт, 1997; Эмми Шоджай, 2001): ST</w:t>
      </w:r>
      <w:r>
        <w:rPr>
          <w:vertAlign w:val="subscript"/>
        </w:rPr>
        <w:t>2</w:t>
      </w:r>
      <w:r>
        <w:t xml:space="preserve"> - в середине нижнего края орбиты  под нижним веком; ST</w:t>
      </w:r>
      <w:r>
        <w:rPr>
          <w:vertAlign w:val="subscript"/>
        </w:rPr>
        <w:t>35</w:t>
      </w:r>
      <w:r>
        <w:t xml:space="preserve"> - на уровне середины латерального надмыщелка бедренной кости;  ST</w:t>
      </w:r>
      <w:r>
        <w:rPr>
          <w:vertAlign w:val="subscript"/>
        </w:rPr>
        <w:t>36</w:t>
      </w:r>
      <w:r>
        <w:t xml:space="preserve"> - на латеральная сторона верхнего конца гребня большеберцовой ко</w:t>
      </w:r>
      <w:r>
        <w:t>с</w:t>
      </w:r>
      <w:r>
        <w:t>ти, отступив на 2-3 см каудальнее краниального контура голени; LIV</w:t>
      </w:r>
      <w:r>
        <w:rPr>
          <w:vertAlign w:val="subscript"/>
        </w:rPr>
        <w:t>14</w:t>
      </w:r>
      <w:r>
        <w:t xml:space="preserve"> – на небольшом бугорке, в середине 8-го ребра, считая от лопаток; SI</w:t>
      </w:r>
      <w:r>
        <w:rPr>
          <w:vertAlign w:val="subscript"/>
        </w:rPr>
        <w:t>11</w:t>
      </w:r>
      <w:r>
        <w:t xml:space="preserve"> – перед ухом; LI</w:t>
      </w:r>
      <w:r>
        <w:rPr>
          <w:vertAlign w:val="subscript"/>
        </w:rPr>
        <w:t>4</w:t>
      </w:r>
      <w:r>
        <w:t xml:space="preserve"> - в перепонке 5-го пальца с внутренней стороны передних коне</w:t>
      </w:r>
      <w:r>
        <w:t>ч</w:t>
      </w:r>
      <w:r>
        <w:t>ностей, непосредственно под верхней подушечкой или в этой области при удалении 5-го пальца; BL</w:t>
      </w:r>
      <w:r>
        <w:rPr>
          <w:vertAlign w:val="subscript"/>
        </w:rPr>
        <w:t xml:space="preserve">20 </w:t>
      </w:r>
      <w:r>
        <w:t>на расстоянии ширины большого пальца от п</w:t>
      </w:r>
      <w:r>
        <w:t>о</w:t>
      </w:r>
      <w:r>
        <w:t xml:space="preserve">звоночника между последними двумя ребрами. </w:t>
      </w:r>
    </w:p>
    <w:p w:rsidR="00F4654E" w:rsidRDefault="00F4654E">
      <w:pPr>
        <w:pStyle w:val="a6"/>
      </w:pPr>
      <w:r>
        <w:t>Показателем электропроводности служил коэффициент ассиметрии, который отражает отношение электропроводности в мкА на отрицательной полярности шкалы микроамперметра к этому показателю на положител</w:t>
      </w:r>
      <w:r>
        <w:t>ь</w:t>
      </w:r>
      <w:r>
        <w:t>ной полярности. В ходе опыта были получены следующие результаты: у здоровых собак колебания коэффициента ассиметрии электропроводности в БАТ исследуемых органов составили от 0,903 до 0,989; колебания коэ</w:t>
      </w:r>
      <w:r>
        <w:t>ф</w:t>
      </w:r>
      <w:r>
        <w:t>фициента ассиметрии электропроводности больных собак в БАТ состав</w:t>
      </w:r>
      <w:r>
        <w:t>и</w:t>
      </w:r>
      <w:r>
        <w:t>ли: желудка – от 0,332 до 0,471; кишечника - от 0,501 до 0,693; блужда</w:t>
      </w:r>
      <w:r>
        <w:t>ю</w:t>
      </w:r>
      <w:r>
        <w:t>щего нерва - от 0,344  до 0,371; печени – от 0,512 до 0, 559.</w:t>
      </w:r>
    </w:p>
    <w:p w:rsidR="00F4654E" w:rsidRDefault="00F4654E">
      <w:pPr>
        <w:pStyle w:val="a6"/>
      </w:pPr>
      <w:r>
        <w:t>Анализируя полученные данные можно сделать вывод, что у здор</w:t>
      </w:r>
      <w:r>
        <w:t>о</w:t>
      </w:r>
      <w:r>
        <w:t xml:space="preserve">вых животных коэффициент ассиметрии близок к единице и его колебания не превышают 10%. Коэффициент ассиметрии больных гастритом собак снизился приблизительно на 30-70%, что несомненно говорит о развитии патологических процессов в органах желудочно-кишечного тракта при данном заболевании. </w:t>
      </w:r>
    </w:p>
    <w:p w:rsidR="00F4654E" w:rsidRDefault="00F4654E">
      <w:pPr>
        <w:pStyle w:val="a6"/>
      </w:pPr>
      <w:r>
        <w:t>Таким образом, динамика коэффициента ассиметрии в БАТ органов ЖКТ при остром гастрите собак является своеобразным диагностическим тестом и позволяет установить диагноз с появлением первых клинических признаков.</w:t>
      </w:r>
    </w:p>
    <w:p w:rsidR="00F4654E" w:rsidRDefault="00F4654E">
      <w:pPr>
        <w:pStyle w:val="a4"/>
      </w:pPr>
      <w:r>
        <w:t>УДК 619:618./7-085</w:t>
      </w:r>
    </w:p>
    <w:p w:rsidR="00F4654E" w:rsidRDefault="00F4654E">
      <w:pPr>
        <w:pStyle w:val="1"/>
      </w:pPr>
      <w:bookmarkStart w:id="4016" w:name="_Toc10731490"/>
      <w:bookmarkStart w:id="4017" w:name="_Toc11137935"/>
      <w:bookmarkStart w:id="4018" w:name="_Toc11138353"/>
      <w:bookmarkStart w:id="4019" w:name="_Toc11138771"/>
      <w:bookmarkStart w:id="4020" w:name="_Toc11139189"/>
      <w:bookmarkStart w:id="4021" w:name="_Toc11139607"/>
      <w:bookmarkStart w:id="4022" w:name="_Toc11140025"/>
      <w:bookmarkStart w:id="4023" w:name="_Toc11140443"/>
      <w:bookmarkStart w:id="4024" w:name="_Toc11390551"/>
      <w:bookmarkStart w:id="4025" w:name="_Toc11840236"/>
      <w:bookmarkStart w:id="4026" w:name="_Toc11937772"/>
      <w:r>
        <w:t>Роль микробного фактора в этиопатогенезе и частота одновременно протекающих субклинического мастита и эндометрита у коров</w:t>
      </w:r>
      <w:bookmarkEnd w:id="4016"/>
      <w:bookmarkEnd w:id="4017"/>
      <w:bookmarkEnd w:id="4018"/>
      <w:bookmarkEnd w:id="4019"/>
      <w:bookmarkEnd w:id="4020"/>
      <w:bookmarkEnd w:id="4021"/>
      <w:bookmarkEnd w:id="4022"/>
      <w:bookmarkEnd w:id="4023"/>
      <w:bookmarkEnd w:id="4024"/>
      <w:bookmarkEnd w:id="4025"/>
      <w:bookmarkEnd w:id="4026"/>
    </w:p>
    <w:p w:rsidR="00F4654E" w:rsidRDefault="00F4654E">
      <w:pPr>
        <w:pStyle w:val="2"/>
      </w:pPr>
      <w:bookmarkStart w:id="4027" w:name="_Toc10731491"/>
      <w:bookmarkStart w:id="4028" w:name="_Toc11032328"/>
      <w:bookmarkStart w:id="4029" w:name="_Toc11137936"/>
      <w:bookmarkStart w:id="4030" w:name="_Toc11138354"/>
      <w:bookmarkStart w:id="4031" w:name="_Toc11138772"/>
      <w:bookmarkStart w:id="4032" w:name="_Toc11139190"/>
      <w:bookmarkStart w:id="4033" w:name="_Toc11139608"/>
      <w:bookmarkStart w:id="4034" w:name="_Toc11140026"/>
      <w:bookmarkStart w:id="4035" w:name="_Toc11140444"/>
      <w:bookmarkStart w:id="4036" w:name="_Toc11390552"/>
      <w:bookmarkStart w:id="4037" w:name="_Toc11937773"/>
      <w:r>
        <w:t>Петров В.А., Парахин А.</w:t>
      </w:r>
      <w:bookmarkEnd w:id="4027"/>
      <w:bookmarkEnd w:id="4028"/>
      <w:bookmarkEnd w:id="4029"/>
      <w:bookmarkEnd w:id="4030"/>
      <w:bookmarkEnd w:id="4031"/>
      <w:bookmarkEnd w:id="4032"/>
      <w:bookmarkEnd w:id="4033"/>
      <w:bookmarkEnd w:id="4034"/>
      <w:bookmarkEnd w:id="4035"/>
      <w:bookmarkEnd w:id="4036"/>
      <w:bookmarkEnd w:id="4037"/>
    </w:p>
    <w:p w:rsidR="00F4654E" w:rsidRDefault="00F4654E">
      <w:pPr>
        <w:pStyle w:val="a5"/>
      </w:pPr>
      <w:r>
        <w:t>Орловский государственный аграрный университет</w:t>
      </w:r>
    </w:p>
    <w:p w:rsidR="00F4654E" w:rsidRDefault="00F4654E">
      <w:pPr>
        <w:pStyle w:val="a6"/>
      </w:pPr>
      <w:r>
        <w:t>Значительное распространение в последнее время получили одновр</w:t>
      </w:r>
      <w:r>
        <w:t>е</w:t>
      </w:r>
      <w:r>
        <w:t>менно протекающие субклинические процессы в гениталиях и молочной железе. Установлено, что 16,5 – 76,5 % коров поражаются одновременно клиническими формами мастита и эндометрита. Чаще всего одновреме</w:t>
      </w:r>
      <w:r>
        <w:t>н</w:t>
      </w:r>
      <w:r>
        <w:t xml:space="preserve">ное поражение этих органов возникает в послеродовом периоде. Этому способствует тесное сосудистая связь через лимфо – и кровообращение, и </w:t>
      </w:r>
      <w:r>
        <w:lastRenderedPageBreak/>
        <w:t>функциональная – через нервно-гормональную регуляцию их функций. Так же возможна контаминация одной и той же микрофлорой молочной железы и половых органов.</w:t>
      </w:r>
    </w:p>
    <w:p w:rsidR="00F4654E" w:rsidRDefault="00F4654E">
      <w:pPr>
        <w:pStyle w:val="a6"/>
      </w:pPr>
      <w:r>
        <w:t>Скрытые воспалительные процессы в вымени приводят в дальнейшем к развитию клинических форм мастита. Это приводит к повреждению и разрушению клеток, синтезирующих молоко, в следствии чего нарушается его секреция. Восстановление молочной продуктивности в последующую лактацию связано с множеством факторов, главным из которых является своевременная диагностика, эффективное лечение и устранение мастит</w:t>
      </w:r>
      <w:r>
        <w:t>о</w:t>
      </w:r>
      <w:r>
        <w:t>генного фактора.</w:t>
      </w:r>
    </w:p>
    <w:p w:rsidR="00F4654E" w:rsidRDefault="00F4654E">
      <w:pPr>
        <w:pStyle w:val="a6"/>
      </w:pPr>
      <w:r>
        <w:t>Целью настоящей работы являлось изучение частоты распростран</w:t>
      </w:r>
      <w:r>
        <w:t>е</w:t>
      </w:r>
      <w:r>
        <w:t>ния одновременно протекающих воспалительных субклинических проце</w:t>
      </w:r>
      <w:r>
        <w:t>с</w:t>
      </w:r>
      <w:r>
        <w:t>сов в молочной железе и гениталиях, а так же микробной контаминации при выше указанных патологиях.</w:t>
      </w:r>
    </w:p>
    <w:p w:rsidR="00F4654E" w:rsidRDefault="00F4654E">
      <w:pPr>
        <w:pStyle w:val="a6"/>
      </w:pPr>
      <w:r>
        <w:t>Для выявления субклинического мастита отбирались пробы альве</w:t>
      </w:r>
      <w:r>
        <w:t>о</w:t>
      </w:r>
      <w:r>
        <w:t>лярного молока из каждой четверти вымени, которые исследовались с п</w:t>
      </w:r>
      <w:r>
        <w:t>о</w:t>
      </w:r>
      <w:r>
        <w:t>мощью 2 % раствора мастидина. Положительные реакции подтверждались пробой отстаивания. Субклинический эндометрит устанавливали с пом</w:t>
      </w:r>
      <w:r>
        <w:t>о</w:t>
      </w:r>
      <w:r>
        <w:t>щью пробы «Уайтсайда». Исследование проводили у коров с продуктивн</w:t>
      </w:r>
      <w:r>
        <w:t>о</w:t>
      </w:r>
      <w:r>
        <w:t>стью около 4000 кг. молока после завершения послеродового периода. Бактериологические исследования секрета молочной железы и половых органов проводили путем посева материала на 5 % кровяной мясопепто</w:t>
      </w:r>
      <w:r>
        <w:t>н</w:t>
      </w:r>
      <w:r>
        <w:t>ный агар в чашках Петри с последующей микроскопией выросших кол</w:t>
      </w:r>
      <w:r>
        <w:t>о</w:t>
      </w:r>
      <w:r>
        <w:t>ний микроорганизмов.</w:t>
      </w:r>
    </w:p>
    <w:p w:rsidR="00F4654E" w:rsidRDefault="00F4654E">
      <w:pPr>
        <w:pStyle w:val="a6"/>
      </w:pPr>
      <w:r>
        <w:t>При исследовании 395 коров установлено, что у 64,1 % коров субкл</w:t>
      </w:r>
      <w:r>
        <w:t>и</w:t>
      </w:r>
      <w:r>
        <w:t>нический процесс в молочной железе и гениталиях протекает одновреме</w:t>
      </w:r>
      <w:r>
        <w:t>н</w:t>
      </w:r>
      <w:r>
        <w:t>но. При этом субклинический мастит диагностировали у 23,3% обслед</w:t>
      </w:r>
      <w:r>
        <w:t>о</w:t>
      </w:r>
      <w:r>
        <w:t>ванных животных, субклинический эндометрит у 14,9%. В среднем у к</w:t>
      </w:r>
      <w:r>
        <w:t>о</w:t>
      </w:r>
      <w:r>
        <w:t>ров выявили 2,1 пораженных долей вымени.</w:t>
      </w:r>
    </w:p>
    <w:p w:rsidR="00F4654E" w:rsidRDefault="00F4654E">
      <w:pPr>
        <w:pStyle w:val="a6"/>
      </w:pPr>
      <w:r>
        <w:t>При бактериологическом исследовании секрета молочной железы и половых органов выделена следующая микрофлора: стрептококки (слизь из канала шейки матки: гемолитический – 42,4%, не гемолитический – 6,8%; молоко: гемолитический – 30,4%, не гемолитический – 19,5%), ст</w:t>
      </w:r>
      <w:r>
        <w:t>а</w:t>
      </w:r>
      <w:r>
        <w:t>филококк (слизь из канала шейки матки: белый – 1,7%, золотистый – 11,8%, гемолитический - 5,1%; молоко: белый - 6,6%, золотистый - 10,8%, гемолитический – 3,2%), типа АМС (слизь из канала шейки матки: с гем</w:t>
      </w:r>
      <w:r>
        <w:t>о</w:t>
      </w:r>
      <w:r>
        <w:t>лизом - не выделено, без гемолиза – 6,7%; молоко: с гемолизом – 7,7%, без гемолиза – 8,7%), грибы (слизь из канала шейки матки: грибы – 3,3%; м</w:t>
      </w:r>
      <w:r>
        <w:t>о</w:t>
      </w:r>
      <w:r>
        <w:t>локо: грибы – 5,4%), тип споровых грибов (слизь из канала шейки матки – 13,5%, молоко – не выделены), банальная микрофлора (слизь из канала шейки матки – 8,4%, молоко – 7,7%).</w:t>
      </w:r>
    </w:p>
    <w:p w:rsidR="00F4654E" w:rsidRDefault="00F4654E">
      <w:pPr>
        <w:pStyle w:val="a6"/>
      </w:pPr>
      <w:r>
        <w:t>На основании проведенных исследований установлено, что при одн</w:t>
      </w:r>
      <w:r>
        <w:t>о</w:t>
      </w:r>
      <w:r>
        <w:t>временно протекающем субклиническом мастите и субклиническом энд</w:t>
      </w:r>
      <w:r>
        <w:t>о</w:t>
      </w:r>
      <w:r>
        <w:lastRenderedPageBreak/>
        <w:t>метрите в 80% случаев выявлены в секрете молочной железы и в слизи к</w:t>
      </w:r>
      <w:r>
        <w:t>а</w:t>
      </w:r>
      <w:r>
        <w:t>нала шейки матки одни и те же микроорганизмы (стрептококки, стафил</w:t>
      </w:r>
      <w:r>
        <w:t>о</w:t>
      </w:r>
      <w:r>
        <w:t>кокки, типа АМС без гемолиза, грибы и банальная микрофлора). Это св</w:t>
      </w:r>
      <w:r>
        <w:t>и</w:t>
      </w:r>
      <w:r>
        <w:t>детельствует о том, что одним из этиологических факторов возникновения мастита является инфицирование молочной железы патогенной и условно патогенной микрофлорой, которая проникает в нее гематогенным и ли</w:t>
      </w:r>
      <w:r>
        <w:t>м</w:t>
      </w:r>
      <w:r>
        <w:t>фогенным путем из половых органов при гинекологических заболеваниях. При своевременной диагностике, субклинический мастит может осло</w:t>
      </w:r>
      <w:r>
        <w:t>ж</w:t>
      </w:r>
      <w:r>
        <w:t>няться и переходить в клиническую форму, а субклинический эндометрит может быть причиной многократно безрезультатных осеменений.</w:t>
      </w:r>
    </w:p>
    <w:p w:rsidR="00F4654E" w:rsidRDefault="00F4654E">
      <w:pPr>
        <w:pStyle w:val="a4"/>
      </w:pPr>
      <w:r>
        <w:t>УДК 619:616.155.194-085:636.7</w:t>
      </w:r>
    </w:p>
    <w:p w:rsidR="00F4654E" w:rsidRDefault="00F4654E">
      <w:pPr>
        <w:pStyle w:val="1"/>
      </w:pPr>
      <w:bookmarkStart w:id="4038" w:name="_Toc10731492"/>
      <w:bookmarkStart w:id="4039" w:name="_Toc11137937"/>
      <w:bookmarkStart w:id="4040" w:name="_Toc11138355"/>
      <w:bookmarkStart w:id="4041" w:name="_Toc11138773"/>
      <w:bookmarkStart w:id="4042" w:name="_Toc11139191"/>
      <w:bookmarkStart w:id="4043" w:name="_Toc11139609"/>
      <w:bookmarkStart w:id="4044" w:name="_Toc11140027"/>
      <w:bookmarkStart w:id="4045" w:name="_Toc11140445"/>
      <w:bookmarkStart w:id="4046" w:name="_Toc11390553"/>
      <w:bookmarkStart w:id="4047" w:name="_Toc11840238"/>
      <w:bookmarkStart w:id="4048" w:name="_Toc11937774"/>
      <w:r>
        <w:t>К вопросу о дифференциальной диагностике анемий</w:t>
      </w:r>
      <w:bookmarkEnd w:id="4038"/>
      <w:bookmarkEnd w:id="4039"/>
      <w:bookmarkEnd w:id="4040"/>
      <w:bookmarkEnd w:id="4041"/>
      <w:bookmarkEnd w:id="4042"/>
      <w:bookmarkEnd w:id="4043"/>
      <w:bookmarkEnd w:id="4044"/>
      <w:bookmarkEnd w:id="4045"/>
      <w:bookmarkEnd w:id="4046"/>
      <w:bookmarkEnd w:id="4047"/>
      <w:bookmarkEnd w:id="4048"/>
    </w:p>
    <w:p w:rsidR="00F4654E" w:rsidRDefault="00F4654E">
      <w:pPr>
        <w:pStyle w:val="2"/>
      </w:pPr>
      <w:bookmarkStart w:id="4049" w:name="_Toc10731493"/>
      <w:bookmarkStart w:id="4050" w:name="_Toc11032329"/>
      <w:bookmarkStart w:id="4051" w:name="_Toc11137938"/>
      <w:bookmarkStart w:id="4052" w:name="_Toc11138356"/>
      <w:bookmarkStart w:id="4053" w:name="_Toc11138774"/>
      <w:bookmarkStart w:id="4054" w:name="_Toc11139192"/>
      <w:bookmarkStart w:id="4055" w:name="_Toc11139610"/>
      <w:bookmarkStart w:id="4056" w:name="_Toc11140028"/>
      <w:bookmarkStart w:id="4057" w:name="_Toc11140446"/>
      <w:bookmarkStart w:id="4058" w:name="_Toc11390554"/>
      <w:bookmarkStart w:id="4059" w:name="_Toc11937775"/>
      <w:r>
        <w:t>Петров В.А., Сазонова В.В.</w:t>
      </w:r>
      <w:bookmarkEnd w:id="4049"/>
      <w:bookmarkEnd w:id="4050"/>
      <w:bookmarkEnd w:id="4051"/>
      <w:bookmarkEnd w:id="4052"/>
      <w:bookmarkEnd w:id="4053"/>
      <w:bookmarkEnd w:id="4054"/>
      <w:bookmarkEnd w:id="4055"/>
      <w:bookmarkEnd w:id="4056"/>
      <w:bookmarkEnd w:id="4057"/>
      <w:bookmarkEnd w:id="4058"/>
      <w:bookmarkEnd w:id="4059"/>
    </w:p>
    <w:p w:rsidR="00F4654E" w:rsidRDefault="00F4654E">
      <w:pPr>
        <w:pStyle w:val="a5"/>
      </w:pPr>
      <w:r>
        <w:t>Орловский государственный аграрный университет</w:t>
      </w:r>
    </w:p>
    <w:p w:rsidR="00F4654E" w:rsidRDefault="00F4654E">
      <w:pPr>
        <w:pStyle w:val="a6"/>
      </w:pPr>
      <w:r>
        <w:t>Анемия, как патологическое состояние организма, при котором им</w:t>
      </w:r>
      <w:r>
        <w:t>е</w:t>
      </w:r>
      <w:r>
        <w:t>ется обеднение крови одним или несколькими элементами, чрезвычайно важными для жизнедеятельности организма – гемоглобином и эритроц</w:t>
      </w:r>
      <w:r>
        <w:t>и</w:t>
      </w:r>
      <w:r>
        <w:t>тами, является весьма распространенным заболеванием животных. Разли</w:t>
      </w:r>
      <w:r>
        <w:t>ч</w:t>
      </w:r>
      <w:r>
        <w:t>ным формам анемии подвержены поросята, особенно в первые две недели жизни, телята, пушные звери. Имеются данные о наследственной анемии, когда налицо связь изменений в крови потомства с наличием и характером анемии у самки. Различные модели анемии беременных приводят к нар</w:t>
      </w:r>
      <w:r>
        <w:t>у</w:t>
      </w:r>
      <w:r>
        <w:t>шению у потомства основной функции лимфоцитов – антителообразов</w:t>
      </w:r>
      <w:r>
        <w:t>а</w:t>
      </w:r>
      <w:r>
        <w:t>ния. Иммунный ответ у потомства снижен, нарушается один из главных механизмов защиты организма потомства – фагоцитоз. Получены данные, которые свидетельствуют о качественных изменениях субклеточных структур лейкоцитов периферической крови потомства животных с анем</w:t>
      </w:r>
      <w:r>
        <w:t>и</w:t>
      </w:r>
      <w:r>
        <w:t>ей, приводящие к значительным сдвигам в иммунологическом статусе о</w:t>
      </w:r>
      <w:r>
        <w:t>р</w:t>
      </w:r>
      <w:r>
        <w:t>ганизма в раннем онтогенезе.</w:t>
      </w:r>
      <w:r w:rsidR="0001153D">
        <w:t xml:space="preserve"> </w:t>
      </w:r>
      <w:r>
        <w:t>Кроме того, анемия осложняет течение др</w:t>
      </w:r>
      <w:r>
        <w:t>у</w:t>
      </w:r>
      <w:r>
        <w:t>гих заболеваний, что н</w:t>
      </w:r>
      <w:r>
        <w:t>е</w:t>
      </w:r>
      <w:r>
        <w:t>благоприятно сказывается на состоянии больного животного, а иногда представляет угрозу для его жизни.</w:t>
      </w:r>
      <w:r w:rsidR="0001153D">
        <w:t xml:space="preserve"> </w:t>
      </w:r>
      <w:r>
        <w:t>В связи с этим в дифференциальной диагностике приобретают бол</w:t>
      </w:r>
      <w:r>
        <w:t>ь</w:t>
      </w:r>
      <w:r>
        <w:t>шое значение анемии, вызванные экспериментально, так как исследование их позволяет устан</w:t>
      </w:r>
      <w:r>
        <w:t>о</w:t>
      </w:r>
      <w:r>
        <w:t>вить общие и специфические стороны заболевания и наметить лечение его с учётом возрастных, породных и других факторов.</w:t>
      </w:r>
    </w:p>
    <w:p w:rsidR="00F4654E" w:rsidRDefault="00F4654E">
      <w:pPr>
        <w:pStyle w:val="a6"/>
      </w:pPr>
      <w:r>
        <w:t>Исходя из этого, были поставлены две серии опытов, в которых эк</w:t>
      </w:r>
      <w:r>
        <w:t>с</w:t>
      </w:r>
      <w:r>
        <w:t>периментально вызывались разные виды анемий: гемолитическая (у собак действием солянокислого фенилгидрозина) и железодефицитная (у котов дозированным кровопусканием).</w:t>
      </w:r>
    </w:p>
    <w:p w:rsidR="00F4654E" w:rsidRPr="0001153D" w:rsidRDefault="00F4654E">
      <w:pPr>
        <w:pStyle w:val="a6"/>
        <w:rPr>
          <w:spacing w:val="-4"/>
        </w:rPr>
      </w:pPr>
      <w:r w:rsidRPr="0001153D">
        <w:rPr>
          <w:spacing w:val="-4"/>
        </w:rPr>
        <w:t>При исследовании экспериментальной анемии у собак, вызванной вв</w:t>
      </w:r>
      <w:r w:rsidRPr="0001153D">
        <w:rPr>
          <w:spacing w:val="-4"/>
        </w:rPr>
        <w:t>е</w:t>
      </w:r>
      <w:r w:rsidRPr="0001153D">
        <w:rPr>
          <w:spacing w:val="-4"/>
        </w:rPr>
        <w:t xml:space="preserve">дением гемолитического яда - солянокислого фенилгидразина, получены </w:t>
      </w:r>
      <w:r w:rsidRPr="0001153D">
        <w:rPr>
          <w:spacing w:val="-4"/>
        </w:rPr>
        <w:lastRenderedPageBreak/>
        <w:t>следующие данные по среднему содержанию эритроцитов в крови живо</w:t>
      </w:r>
      <w:r w:rsidRPr="0001153D">
        <w:rPr>
          <w:spacing w:val="-4"/>
        </w:rPr>
        <w:t>т</w:t>
      </w:r>
      <w:r w:rsidRPr="0001153D">
        <w:rPr>
          <w:spacing w:val="-4"/>
        </w:rPr>
        <w:t>ных: до опыта-7,8 млн/мкл, на 6-ой день опыта - 4,6; на 10-й - 4,3; на 14-ый - 4,7млн/мкл. Средний диаметр эритроцита составил соответственно 6,9; 8,5; 8,3; 7,9 мкм. Данные свидетельствуют о том, что при гемолитич</w:t>
      </w:r>
      <w:r w:rsidRPr="0001153D">
        <w:rPr>
          <w:spacing w:val="-4"/>
        </w:rPr>
        <w:t>е</w:t>
      </w:r>
      <w:r w:rsidRPr="0001153D">
        <w:rPr>
          <w:spacing w:val="-4"/>
        </w:rPr>
        <w:t>ской анемии эритроциты циркулирующей крови, адсорбирующие гемолизины, быстро разрушаются и исчезают. В ответ на повышенные требов</w:t>
      </w:r>
      <w:r w:rsidRPr="0001153D">
        <w:rPr>
          <w:spacing w:val="-4"/>
        </w:rPr>
        <w:t>а</w:t>
      </w:r>
      <w:r w:rsidRPr="0001153D">
        <w:rPr>
          <w:spacing w:val="-4"/>
        </w:rPr>
        <w:t>ния в эритроцитах костный мозг увеличивает их продукцию и в кровь поступают молодые кле</w:t>
      </w:r>
      <w:r w:rsidRPr="0001153D">
        <w:rPr>
          <w:spacing w:val="-4"/>
        </w:rPr>
        <w:t>т</w:t>
      </w:r>
      <w:r w:rsidRPr="0001153D">
        <w:rPr>
          <w:spacing w:val="-4"/>
        </w:rPr>
        <w:t>ки - ретикулоциты, которые обнаруживаются в ма</w:t>
      </w:r>
      <w:r w:rsidRPr="0001153D">
        <w:rPr>
          <w:spacing w:val="-4"/>
        </w:rPr>
        <w:t>з</w:t>
      </w:r>
      <w:r w:rsidRPr="0001153D">
        <w:rPr>
          <w:spacing w:val="-4"/>
        </w:rPr>
        <w:t>ках, окрашенных новым метиленовым синим, имеют голубоватую окраску и средний диаметр, на 10-18% превосходящий диаметр нормального эри</w:t>
      </w:r>
      <w:r w:rsidRPr="0001153D">
        <w:rPr>
          <w:spacing w:val="-4"/>
        </w:rPr>
        <w:t>т</w:t>
      </w:r>
      <w:r w:rsidRPr="0001153D">
        <w:rPr>
          <w:spacing w:val="-4"/>
        </w:rPr>
        <w:t>роцита (при гемолитической - макроцитоз, при железодефицитной - ми</w:t>
      </w:r>
      <w:r w:rsidRPr="0001153D">
        <w:rPr>
          <w:spacing w:val="-4"/>
        </w:rPr>
        <w:t>к</w:t>
      </w:r>
      <w:r w:rsidRPr="0001153D">
        <w:rPr>
          <w:spacing w:val="-4"/>
        </w:rPr>
        <w:t>роцитоз).</w:t>
      </w:r>
    </w:p>
    <w:p w:rsidR="00F4654E" w:rsidRPr="0001153D" w:rsidRDefault="00F4654E" w:rsidP="0001153D">
      <w:pPr>
        <w:pStyle w:val="a6"/>
      </w:pPr>
      <w:r w:rsidRPr="0001153D">
        <w:t>Гемолитическая анемия регенераторного типа, вызванная соляноки</w:t>
      </w:r>
      <w:r w:rsidRPr="0001153D">
        <w:t>с</w:t>
      </w:r>
      <w:r w:rsidRPr="0001153D">
        <w:t>лым фенилгидразином, показала и изменения в морфологии эритроцитов. Проведение проб на серповидность эритроцитов с использованием метаб</w:t>
      </w:r>
      <w:r w:rsidRPr="0001153D">
        <w:t>и</w:t>
      </w:r>
      <w:r w:rsidRPr="0001153D">
        <w:t>сульфитной реакции и реакции с метиленовым синим дало четкий ответ и положительный результат, т.е. анемия в этом случае сопровождалась поя</w:t>
      </w:r>
      <w:r w:rsidRPr="0001153D">
        <w:t>в</w:t>
      </w:r>
      <w:r w:rsidRPr="0001153D">
        <w:t>лением своеобразно измененных по форме эритроцитов (пойкилоцитоз). Кроме того, в периферической крови обнаружены тельца Жолли в бол</w:t>
      </w:r>
      <w:r w:rsidRPr="0001153D">
        <w:t>ь</w:t>
      </w:r>
      <w:r w:rsidRPr="0001153D">
        <w:t>ших эритроцитах.</w:t>
      </w:r>
    </w:p>
    <w:p w:rsidR="00F4654E" w:rsidRDefault="00F4654E">
      <w:pPr>
        <w:pStyle w:val="a6"/>
      </w:pPr>
      <w:r>
        <w:t>При исследовании экспериментальной анемии у котов, вызванной д</w:t>
      </w:r>
      <w:r>
        <w:t>о</w:t>
      </w:r>
      <w:r>
        <w:t>зированным кровопусканием и проявившейся как железодефицитная ми</w:t>
      </w:r>
      <w:r>
        <w:t>к</w:t>
      </w:r>
      <w:r>
        <w:t>роцитарная гипохромная регенераторного типа, получены следующие да</w:t>
      </w:r>
      <w:r>
        <w:t>н</w:t>
      </w:r>
      <w:r>
        <w:t xml:space="preserve">ные по содержанию эритроцитов, их размерам и морфологии: содержание эритроцитов в крови изменилось от 7,8 млн/мкл у здоровых животных, до 7,5 на 4-ый день опыта; 7,0 </w:t>
      </w:r>
      <w:r w:rsidR="00012E5D">
        <w:t>–</w:t>
      </w:r>
      <w:r>
        <w:t xml:space="preserve"> на</w:t>
      </w:r>
      <w:r w:rsidR="00012E5D">
        <w:t xml:space="preserve"> </w:t>
      </w:r>
      <w:r>
        <w:t>21-й; 5,0 - на 40-й; 4,0 - на 50-55-й; 6,5 -на 75-100-й; 7,2 - на 125-й день от начала опыта. Средний диаметр эритроцита уменьшился с 5,8 мкм до 5,0 мкм в пике анемии (50-55 день). Резко во</w:t>
      </w:r>
      <w:r>
        <w:t>з</w:t>
      </w:r>
      <w:r>
        <w:t>росло количество молодых клеток- ретикулоцитов (с 2,6 до 20%), диаметр которых в среднем на 16% меньше диаметра эритроцита до начала эксп</w:t>
      </w:r>
      <w:r>
        <w:t>е</w:t>
      </w:r>
      <w:r>
        <w:t>римента (микроцитоз). Эти эритроциты идентифицированы в мазках, о</w:t>
      </w:r>
      <w:r>
        <w:t>к</w:t>
      </w:r>
      <w:r>
        <w:t>рашенных новым метиленовым синим. Кроме того, по светлому зеленов</w:t>
      </w:r>
      <w:r>
        <w:t>а</w:t>
      </w:r>
      <w:r>
        <w:t>то-голубому цвету распознаны тельца Гейнца. Установлены и другие и</w:t>
      </w:r>
      <w:r>
        <w:t>з</w:t>
      </w:r>
      <w:r>
        <w:t>менения формы эритроцитов в пике анемии - форма купола, сферы. Среди клеток различной формы количество микроцитов составило примерно 20%. К концу опыта микроцитоз уменьшился до 8,5%. Дискоциты пр</w:t>
      </w:r>
      <w:r>
        <w:t>а</w:t>
      </w:r>
      <w:r>
        <w:t>вильной формы составляли 87,5% у здоровых животных, 59,5% в пике анемии и 71,0%-на 125-й день опыта.</w:t>
      </w:r>
    </w:p>
    <w:p w:rsidR="00F4654E" w:rsidRDefault="00F4654E">
      <w:pPr>
        <w:pStyle w:val="a6"/>
      </w:pPr>
      <w:r>
        <w:t xml:space="preserve"> Следовательно, разные виды анемии характеризуются разными ан</w:t>
      </w:r>
      <w:r>
        <w:t>и</w:t>
      </w:r>
      <w:r>
        <w:t>зоцитозом и пойкилоцитозом, проявившимися возникновением эритроц</w:t>
      </w:r>
      <w:r>
        <w:t>и</w:t>
      </w:r>
      <w:r>
        <w:t>тов разного размера и формы. При этом анизоцитоз является ранним пр</w:t>
      </w:r>
      <w:r>
        <w:t>и</w:t>
      </w:r>
      <w:r>
        <w:t>знаком анемии у исследованных мелких животных, а пойкилоцитоз проя</w:t>
      </w:r>
      <w:r>
        <w:t>в</w:t>
      </w:r>
      <w:r>
        <w:t>ляется при ярко выраженной анемии.</w:t>
      </w:r>
    </w:p>
    <w:p w:rsidR="00F4654E" w:rsidRDefault="00F4654E">
      <w:pPr>
        <w:pStyle w:val="a6"/>
      </w:pPr>
      <w:r>
        <w:lastRenderedPageBreak/>
        <w:t>Таким образом, в случаях, когда не удается установить характер ан</w:t>
      </w:r>
      <w:r>
        <w:t>е</w:t>
      </w:r>
      <w:r>
        <w:t>мий на основе простейших исследований и возникают трудности в дифф</w:t>
      </w:r>
      <w:r>
        <w:t>е</w:t>
      </w:r>
      <w:r>
        <w:t>ренциальной диагностике и прогнозе, необходимо проведение исследов</w:t>
      </w:r>
      <w:r>
        <w:t>а</w:t>
      </w:r>
      <w:r>
        <w:t>ний морфологии эритроцитов и их размеров. Результаты этих исследов</w:t>
      </w:r>
      <w:r>
        <w:t>а</w:t>
      </w:r>
      <w:r>
        <w:t>ний служат наиболее чувствительным показателем наличия определенного анемического состояния и его характера. Эти исследования, на наш взгляд, имеют оправданную диагностическую ценность.</w:t>
      </w:r>
    </w:p>
    <w:p w:rsidR="00F4654E" w:rsidRDefault="00F4654E">
      <w:pPr>
        <w:pStyle w:val="a4"/>
      </w:pPr>
      <w:r>
        <w:t xml:space="preserve">УДК 619:616.995.1+636.2:612.017  </w:t>
      </w:r>
    </w:p>
    <w:p w:rsidR="00F4654E" w:rsidRDefault="00F4654E">
      <w:pPr>
        <w:pStyle w:val="1"/>
      </w:pPr>
      <w:bookmarkStart w:id="4060" w:name="_Toc10731494"/>
      <w:bookmarkStart w:id="4061" w:name="_Toc11137939"/>
      <w:bookmarkStart w:id="4062" w:name="_Toc11138357"/>
      <w:bookmarkStart w:id="4063" w:name="_Toc11138775"/>
      <w:bookmarkStart w:id="4064" w:name="_Toc11139193"/>
      <w:bookmarkStart w:id="4065" w:name="_Toc11139611"/>
      <w:bookmarkStart w:id="4066" w:name="_Toc11140029"/>
      <w:bookmarkStart w:id="4067" w:name="_Toc11140447"/>
      <w:bookmarkStart w:id="4068" w:name="_Toc11390555"/>
      <w:bookmarkStart w:id="4069" w:name="_Toc11840240"/>
      <w:bookmarkStart w:id="4070" w:name="_Toc11937776"/>
      <w:r>
        <w:t>ВЛИЯНИЕ ЗАРАЖЕННОСТИ МАТЕРЕЙ ГЕЛЬМИНТАМИ НА ИММУННОЕ СОСТОЯНИЕ НОВОРОЖДЕННЫХ ТЕЛЯТ</w:t>
      </w:r>
      <w:bookmarkEnd w:id="4060"/>
      <w:bookmarkEnd w:id="4061"/>
      <w:bookmarkEnd w:id="4062"/>
      <w:bookmarkEnd w:id="4063"/>
      <w:bookmarkEnd w:id="4064"/>
      <w:bookmarkEnd w:id="4065"/>
      <w:bookmarkEnd w:id="4066"/>
      <w:bookmarkEnd w:id="4067"/>
      <w:bookmarkEnd w:id="4068"/>
      <w:bookmarkEnd w:id="4069"/>
      <w:bookmarkEnd w:id="4070"/>
    </w:p>
    <w:p w:rsidR="00F4654E" w:rsidRDefault="00F4654E">
      <w:pPr>
        <w:pStyle w:val="2"/>
      </w:pPr>
      <w:bookmarkStart w:id="4071" w:name="_Toc10731495"/>
      <w:bookmarkStart w:id="4072" w:name="_Toc11032330"/>
      <w:bookmarkStart w:id="4073" w:name="_Toc11137940"/>
      <w:bookmarkStart w:id="4074" w:name="_Toc11138358"/>
      <w:bookmarkStart w:id="4075" w:name="_Toc11138776"/>
      <w:bookmarkStart w:id="4076" w:name="_Toc11139194"/>
      <w:bookmarkStart w:id="4077" w:name="_Toc11139612"/>
      <w:bookmarkStart w:id="4078" w:name="_Toc11140030"/>
      <w:bookmarkStart w:id="4079" w:name="_Toc11140448"/>
      <w:bookmarkStart w:id="4080" w:name="_Toc11390556"/>
      <w:bookmarkStart w:id="4081" w:name="_Toc11937777"/>
      <w:r>
        <w:t xml:space="preserve">Петров Ю.Ф., Гудкова А.Ю., Еремеева О.Р., Маямсина Е.В., </w:t>
      </w:r>
      <w:r>
        <w:br/>
        <w:t>Курочкина М.В,  Шеронов С.Н.</w:t>
      </w:r>
      <w:bookmarkEnd w:id="4071"/>
      <w:bookmarkEnd w:id="4072"/>
      <w:bookmarkEnd w:id="4073"/>
      <w:bookmarkEnd w:id="4074"/>
      <w:bookmarkEnd w:id="4075"/>
      <w:bookmarkEnd w:id="4076"/>
      <w:bookmarkEnd w:id="4077"/>
      <w:bookmarkEnd w:id="4078"/>
      <w:bookmarkEnd w:id="4079"/>
      <w:bookmarkEnd w:id="4080"/>
      <w:bookmarkEnd w:id="4081"/>
    </w:p>
    <w:p w:rsidR="00F4654E" w:rsidRDefault="00F4654E">
      <w:pPr>
        <w:pStyle w:val="a5"/>
      </w:pPr>
      <w:r>
        <w:t>Ивановская государственная сельскохозяйственная академия</w:t>
      </w:r>
    </w:p>
    <w:p w:rsidR="00F4654E" w:rsidRDefault="00F4654E">
      <w:pPr>
        <w:pStyle w:val="a6"/>
      </w:pPr>
      <w:r>
        <w:t>Иммунная система молодняка в первые дни жизни имеет ряд особе</w:t>
      </w:r>
      <w:r>
        <w:t>н</w:t>
      </w:r>
      <w:r>
        <w:t>ностей: слабый пролиферативный ответ Т-лимфоцитов на ряд антигенов, низкий уровень выработки фактора, угнетающего миграцию лимфоцитов, невысокий уровень G- и M-иммуноглобулинов, бактерицидной, лизоци</w:t>
      </w:r>
      <w:r>
        <w:t>м</w:t>
      </w:r>
      <w:r>
        <w:t>ной и β-лизинной активности сыворотки крови. Иммунная система моло</w:t>
      </w:r>
      <w:r>
        <w:t>д</w:t>
      </w:r>
      <w:r>
        <w:t>няка зависит от условий кормления и содержания матерей. В связи с этим определенный интерес представляет изучение вопроса влияния зараженн</w:t>
      </w:r>
      <w:r>
        <w:t>о</w:t>
      </w:r>
      <w:r>
        <w:t>сти матерей гельминтами на иммунное состояние новорожденных телят.</w:t>
      </w:r>
    </w:p>
    <w:p w:rsidR="00F4654E" w:rsidRPr="0001153D" w:rsidRDefault="00F4654E">
      <w:pPr>
        <w:pStyle w:val="a6"/>
        <w:rPr>
          <w:spacing w:val="-4"/>
        </w:rPr>
      </w:pPr>
      <w:r w:rsidRPr="0001153D">
        <w:rPr>
          <w:spacing w:val="-4"/>
        </w:rPr>
        <w:t>Опыты проводили в 1990-2000 годы в двух категориях хозяйств Ивано</w:t>
      </w:r>
      <w:r w:rsidRPr="0001153D">
        <w:rPr>
          <w:spacing w:val="-4"/>
        </w:rPr>
        <w:t>в</w:t>
      </w:r>
      <w:r w:rsidRPr="0001153D">
        <w:rPr>
          <w:spacing w:val="-4"/>
        </w:rPr>
        <w:t>ской и Ленинградской областей. В первой категории были хозяйства, где р</w:t>
      </w:r>
      <w:r w:rsidRPr="0001153D">
        <w:rPr>
          <w:spacing w:val="-4"/>
        </w:rPr>
        <w:t>е</w:t>
      </w:r>
      <w:r w:rsidRPr="0001153D">
        <w:rPr>
          <w:spacing w:val="-4"/>
        </w:rPr>
        <w:t>гулярно проводятся противогельминтозные мероприятия (мелиорация пас</w:t>
      </w:r>
      <w:r w:rsidRPr="0001153D">
        <w:rPr>
          <w:spacing w:val="-4"/>
        </w:rPr>
        <w:t>т</w:t>
      </w:r>
      <w:r w:rsidRPr="0001153D">
        <w:rPr>
          <w:spacing w:val="-4"/>
        </w:rPr>
        <w:t>бищ, двукратная – май-август –  обработка биотопов пресноводных молл</w:t>
      </w:r>
      <w:r w:rsidRPr="0001153D">
        <w:rPr>
          <w:spacing w:val="-4"/>
        </w:rPr>
        <w:t>ю</w:t>
      </w:r>
      <w:r w:rsidRPr="0001153D">
        <w:rPr>
          <w:spacing w:val="-4"/>
        </w:rPr>
        <w:t>сков моллюскоцидами, ежегодные плановые дегельминтизации животных). В этой категории хозяйств ЭИ коров и нетелей (по данным гельминтологич</w:t>
      </w:r>
      <w:r w:rsidRPr="0001153D">
        <w:rPr>
          <w:spacing w:val="-4"/>
        </w:rPr>
        <w:t>е</w:t>
      </w:r>
      <w:r w:rsidRPr="0001153D">
        <w:rPr>
          <w:spacing w:val="-4"/>
        </w:rPr>
        <w:t>ских вскрытий) фасциолезом составляет 2-7,9% при средней ИИ=1-3 экз., нематодами желудочно-кишечного тракта – соответс</w:t>
      </w:r>
      <w:r w:rsidRPr="0001153D">
        <w:rPr>
          <w:spacing w:val="-4"/>
        </w:rPr>
        <w:t>т</w:t>
      </w:r>
      <w:r w:rsidRPr="0001153D">
        <w:rPr>
          <w:spacing w:val="-4"/>
        </w:rPr>
        <w:t>венно 60-68,8% и 52,4-68,4 экз. на голову, которые свидетельствуют о низкой инвазии скота. Во второй категории были хозяйства, где мелиорация пастбищ, обработка би</w:t>
      </w:r>
      <w:r w:rsidRPr="0001153D">
        <w:rPr>
          <w:spacing w:val="-4"/>
        </w:rPr>
        <w:t>о</w:t>
      </w:r>
      <w:r w:rsidRPr="0001153D">
        <w:rPr>
          <w:spacing w:val="-4"/>
        </w:rPr>
        <w:t>топов пресноводных моллюсков моллюскоцидами, плановые дегельминтиз</w:t>
      </w:r>
      <w:r w:rsidRPr="0001153D">
        <w:rPr>
          <w:spacing w:val="-4"/>
        </w:rPr>
        <w:t>а</w:t>
      </w:r>
      <w:r w:rsidRPr="0001153D">
        <w:rPr>
          <w:spacing w:val="-4"/>
        </w:rPr>
        <w:t>ции скота не проводятся. Поэтому здесь зараженность животных гельминт</w:t>
      </w:r>
      <w:r w:rsidRPr="0001153D">
        <w:rPr>
          <w:spacing w:val="-4"/>
        </w:rPr>
        <w:t>а</w:t>
      </w:r>
      <w:r w:rsidRPr="0001153D">
        <w:rPr>
          <w:spacing w:val="-4"/>
        </w:rPr>
        <w:t>ми очень высокая: ЭИ фасциолезом  составляет 100% при средней ИИ=76,2-94,8 экз., нематодами – соответственно 100% и 1538,8 экз.</w:t>
      </w:r>
    </w:p>
    <w:p w:rsidR="00F4654E" w:rsidRPr="0001153D" w:rsidRDefault="00F4654E">
      <w:pPr>
        <w:pStyle w:val="a6"/>
        <w:rPr>
          <w:spacing w:val="2"/>
        </w:rPr>
      </w:pPr>
      <w:r w:rsidRPr="0001153D">
        <w:rPr>
          <w:spacing w:val="2"/>
        </w:rPr>
        <w:t>В первой категории хозяйств у телят 7-дневного возраста, получе</w:t>
      </w:r>
      <w:r w:rsidRPr="0001153D">
        <w:rPr>
          <w:spacing w:val="2"/>
        </w:rPr>
        <w:t>н</w:t>
      </w:r>
      <w:r w:rsidRPr="0001153D">
        <w:rPr>
          <w:spacing w:val="2"/>
        </w:rPr>
        <w:t>ных от матерей, свободных от гельминтов, в крови количество лейкоц</w:t>
      </w:r>
      <w:r w:rsidRPr="0001153D">
        <w:rPr>
          <w:spacing w:val="2"/>
        </w:rPr>
        <w:t>и</w:t>
      </w:r>
      <w:r w:rsidRPr="0001153D">
        <w:rPr>
          <w:spacing w:val="2"/>
        </w:rPr>
        <w:t>тов колебалось в пределах 6,26±0,38 – 6,54±0,28 млн./л, лимфоцитов 40,8±2,12 – 41,8±2,21%, Т-лимфоцитов – 18,9±0,67 – 19,0±0,57%, В-лимфоцитов – 3,66±0,47 – 3,76±0,18%, общего белка – 6,6±0,33 – 6,9±0,31 г%</w:t>
      </w:r>
      <w:r w:rsidR="00012E5D">
        <w:rPr>
          <w:spacing w:val="2"/>
        </w:rPr>
        <w:t>, G-иммуно</w:t>
      </w:r>
      <w:r w:rsidRPr="0001153D">
        <w:rPr>
          <w:spacing w:val="2"/>
        </w:rPr>
        <w:t>глобулинов – 13,8±0,16 – 14,7±0,56 мкг/мкл, М-иммуно</w:t>
      </w:r>
      <w:r w:rsidR="00012E5D">
        <w:rPr>
          <w:spacing w:val="2"/>
        </w:rPr>
        <w:t>-</w:t>
      </w:r>
      <w:r w:rsidRPr="0001153D">
        <w:rPr>
          <w:spacing w:val="2"/>
        </w:rPr>
        <w:lastRenderedPageBreak/>
        <w:t>глобулинов – 1,4± 0,12 – 1,5±0,3 мкг/мкл, бактерицидная активность с</w:t>
      </w:r>
      <w:r w:rsidRPr="0001153D">
        <w:rPr>
          <w:spacing w:val="2"/>
        </w:rPr>
        <w:t>ы</w:t>
      </w:r>
      <w:r w:rsidRPr="0001153D">
        <w:rPr>
          <w:spacing w:val="2"/>
        </w:rPr>
        <w:t>воротки крови – 30,8± 1,68 – 32,8±0,88%, лизоцимная активность сыв</w:t>
      </w:r>
      <w:r w:rsidRPr="0001153D">
        <w:rPr>
          <w:spacing w:val="2"/>
        </w:rPr>
        <w:t>о</w:t>
      </w:r>
      <w:r w:rsidRPr="0001153D">
        <w:rPr>
          <w:spacing w:val="2"/>
        </w:rPr>
        <w:t>ротки крови – 2,06±0,06 – 2,23±0,12%, β-лизинная активность сыв</w:t>
      </w:r>
      <w:r w:rsidRPr="0001153D">
        <w:rPr>
          <w:spacing w:val="2"/>
        </w:rPr>
        <w:t>о</w:t>
      </w:r>
      <w:r w:rsidRPr="0001153D">
        <w:rPr>
          <w:spacing w:val="2"/>
        </w:rPr>
        <w:t>ротки крови – 14,9±0,64 – 15,4± 0,41%, которые в основном не выходят за пр</w:t>
      </w:r>
      <w:r w:rsidRPr="0001153D">
        <w:rPr>
          <w:spacing w:val="2"/>
        </w:rPr>
        <w:t>е</w:t>
      </w:r>
      <w:r w:rsidRPr="0001153D">
        <w:rPr>
          <w:spacing w:val="2"/>
        </w:rPr>
        <w:t>делы физиологической но</w:t>
      </w:r>
      <w:r w:rsidRPr="0001153D">
        <w:rPr>
          <w:spacing w:val="2"/>
        </w:rPr>
        <w:t>р</w:t>
      </w:r>
      <w:r w:rsidRPr="0001153D">
        <w:rPr>
          <w:spacing w:val="2"/>
        </w:rPr>
        <w:t>мы.</w:t>
      </w:r>
    </w:p>
    <w:p w:rsidR="00F4654E" w:rsidRDefault="00F4654E">
      <w:pPr>
        <w:pStyle w:val="a6"/>
      </w:pPr>
      <w:r>
        <w:t>Во второй категории хозяйств, где коровы и нетели сильно заражены фасциолами и нематодами, у новорожденных телят показатели клеточного и гуморального иммунитета существенно отличаются от физиологической нормы. Так, в крови 7-дневных телят, полученных от сильно зараженных гельминтами матерей, содержится на 15-15,65% меньше лейкоцитов, на 12,03-17,15% меньше лимфоцитов, на 16,95-18,46% - общего белка, на 10,14-12,24% - G-иммуноглобулинов, на 9,23-25% - М-иммуноглобулинов, на 38,51-39,63% - бактерицидной активности сыворотки крови, на 12,26-16,88% - лизоцимной активности сыворотки крови, на 9,59-11,56% - β-лизинной активности сыворотки крови (все показатели Р&lt;0,05) по сравн</w:t>
      </w:r>
      <w:r>
        <w:t>е</w:t>
      </w:r>
      <w:r>
        <w:t>нию с показателями телят из хозяйств первой категории.</w:t>
      </w:r>
    </w:p>
    <w:p w:rsidR="00F4654E" w:rsidRPr="0001153D" w:rsidRDefault="00F4654E">
      <w:pPr>
        <w:pStyle w:val="a6"/>
        <w:rPr>
          <w:spacing w:val="-4"/>
        </w:rPr>
      </w:pPr>
      <w:r w:rsidRPr="0001153D">
        <w:rPr>
          <w:spacing w:val="-4"/>
        </w:rPr>
        <w:t>Результаты наших 11-летних исследований свидетельствуют, что от сильно зараженных фасциолами (ЭИ=100%, ИИ=50-200 экз.) и нематод</w:t>
      </w:r>
      <w:r w:rsidRPr="0001153D">
        <w:rPr>
          <w:spacing w:val="-4"/>
        </w:rPr>
        <w:t>а</w:t>
      </w:r>
      <w:r w:rsidRPr="0001153D">
        <w:rPr>
          <w:spacing w:val="-4"/>
        </w:rPr>
        <w:t>ми (ЭИ=100%, ИИ=1536-2580 экз.) коров и нетелей рождаются телята в имм</w:t>
      </w:r>
      <w:r w:rsidRPr="0001153D">
        <w:rPr>
          <w:spacing w:val="-4"/>
        </w:rPr>
        <w:t>у</w:t>
      </w:r>
      <w:r w:rsidRPr="0001153D">
        <w:rPr>
          <w:spacing w:val="-4"/>
        </w:rPr>
        <w:t>нодефицитном состоянии. Степень выраженности иммунодефицита у моло</w:t>
      </w:r>
      <w:r w:rsidRPr="0001153D">
        <w:rPr>
          <w:spacing w:val="-4"/>
        </w:rPr>
        <w:t>д</w:t>
      </w:r>
      <w:r w:rsidRPr="0001153D">
        <w:rPr>
          <w:spacing w:val="-4"/>
        </w:rPr>
        <w:t>няка находится в прямой зависимости от интенсивности инвазии м</w:t>
      </w:r>
      <w:r w:rsidRPr="0001153D">
        <w:rPr>
          <w:spacing w:val="-4"/>
        </w:rPr>
        <w:t>а</w:t>
      </w:r>
      <w:r w:rsidRPr="0001153D">
        <w:rPr>
          <w:spacing w:val="-4"/>
        </w:rPr>
        <w:t>терей.</w:t>
      </w:r>
    </w:p>
    <w:p w:rsidR="00F4654E" w:rsidRDefault="00F4654E">
      <w:pPr>
        <w:pStyle w:val="a4"/>
      </w:pPr>
      <w:r>
        <w:t>УДК 619:616.98.577.2.083</w:t>
      </w:r>
    </w:p>
    <w:p w:rsidR="00F4654E" w:rsidRDefault="00F4654E">
      <w:pPr>
        <w:pStyle w:val="1"/>
      </w:pPr>
      <w:bookmarkStart w:id="4082" w:name="_Toc10731496"/>
      <w:bookmarkStart w:id="4083" w:name="_Toc11137941"/>
      <w:bookmarkStart w:id="4084" w:name="_Toc11138359"/>
      <w:bookmarkStart w:id="4085" w:name="_Toc11138777"/>
      <w:bookmarkStart w:id="4086" w:name="_Toc11139195"/>
      <w:bookmarkStart w:id="4087" w:name="_Toc11139613"/>
      <w:bookmarkStart w:id="4088" w:name="_Toc11140031"/>
      <w:bookmarkStart w:id="4089" w:name="_Toc11140449"/>
      <w:bookmarkStart w:id="4090" w:name="_Toc11390557"/>
      <w:bookmarkStart w:id="4091" w:name="_Toc11840242"/>
      <w:bookmarkStart w:id="4092" w:name="_Toc11937778"/>
      <w:r>
        <w:t xml:space="preserve">РОЛЬ ЛАТЕНТНО ИНФИЦИРОВАННЫХ БЫКОВ-ПРОИЗВОДИТЕЛЕЙ В эПИЗООТОЛОГИИ ИНФЕКЦИОННОГО РИНОТРАХЕИТА –ИНФЕКЦИОННОГО ПУСТУЛЕЗНОГО ВУЛЬВОВАГИНИТА </w:t>
      </w:r>
      <w:r>
        <w:br/>
        <w:t>КРУПНОГО  РОГАТОГО СКОТА</w:t>
      </w:r>
      <w:bookmarkEnd w:id="4082"/>
      <w:bookmarkEnd w:id="4083"/>
      <w:bookmarkEnd w:id="4084"/>
      <w:bookmarkEnd w:id="4085"/>
      <w:bookmarkEnd w:id="4086"/>
      <w:bookmarkEnd w:id="4087"/>
      <w:bookmarkEnd w:id="4088"/>
      <w:bookmarkEnd w:id="4089"/>
      <w:bookmarkEnd w:id="4090"/>
      <w:bookmarkEnd w:id="4091"/>
      <w:bookmarkEnd w:id="4092"/>
    </w:p>
    <w:p w:rsidR="00F4654E" w:rsidRDefault="00F4654E">
      <w:pPr>
        <w:pStyle w:val="2"/>
      </w:pPr>
      <w:bookmarkStart w:id="4093" w:name="_Toc10731497"/>
      <w:bookmarkStart w:id="4094" w:name="_Toc11032331"/>
      <w:bookmarkStart w:id="4095" w:name="_Toc11137942"/>
      <w:bookmarkStart w:id="4096" w:name="_Toc11138360"/>
      <w:bookmarkStart w:id="4097" w:name="_Toc11138778"/>
      <w:bookmarkStart w:id="4098" w:name="_Toc11139196"/>
      <w:bookmarkStart w:id="4099" w:name="_Toc11139614"/>
      <w:bookmarkStart w:id="4100" w:name="_Toc11140032"/>
      <w:bookmarkStart w:id="4101" w:name="_Toc11140450"/>
      <w:bookmarkStart w:id="4102" w:name="_Toc11390558"/>
      <w:bookmarkStart w:id="4103" w:name="_Toc11937779"/>
      <w:r>
        <w:t>Петрова О.Г., Татарчук А.Т., Кушнир Н.И., Хаматов М.Ф.</w:t>
      </w:r>
      <w:bookmarkEnd w:id="4093"/>
      <w:bookmarkEnd w:id="4094"/>
      <w:bookmarkEnd w:id="4095"/>
      <w:bookmarkEnd w:id="4096"/>
      <w:bookmarkEnd w:id="4097"/>
      <w:bookmarkEnd w:id="4098"/>
      <w:bookmarkEnd w:id="4099"/>
      <w:bookmarkEnd w:id="4100"/>
      <w:bookmarkEnd w:id="4101"/>
      <w:bookmarkEnd w:id="4102"/>
      <w:bookmarkEnd w:id="4103"/>
    </w:p>
    <w:p w:rsidR="00F4654E" w:rsidRDefault="00F4654E">
      <w:pPr>
        <w:pStyle w:val="a5"/>
      </w:pPr>
      <w:r>
        <w:t>Свердловская научно-исследовательская ветеринарная станция</w:t>
      </w:r>
    </w:p>
    <w:p w:rsidR="00F4654E" w:rsidRDefault="00F4654E">
      <w:pPr>
        <w:pStyle w:val="a6"/>
      </w:pPr>
      <w:r>
        <w:t>Известно, что введение в восприимчивое стадо животных латентного вирусоносителя является лучшим способом заноса возбудителя инфекции (O.C. Straub, 1981; Р.Р. Pastoret et al., 1982; V. Bitsch, 1984). Значительную роль в распространении ИРТ –ИПВ КРС играют быки-производители. По данным многих авторов (R.D. Schults et al., 1980; I.M. Parsonson et al., 1975; S. Edwards et al., 1982) даже незначительная контаминация спермы вир</w:t>
      </w:r>
      <w:r>
        <w:t>у</w:t>
      </w:r>
      <w:r>
        <w:t>сом после осеменения ею серонегативных коров и телок приводила к ра</w:t>
      </w:r>
      <w:r>
        <w:t>з</w:t>
      </w:r>
      <w:r>
        <w:t>витию у них клинических признаков заболевания и сероконверсии.</w:t>
      </w:r>
      <w:r w:rsidR="0001153D">
        <w:t xml:space="preserve"> </w:t>
      </w:r>
      <w:r w:rsidR="0001153D">
        <w:br/>
      </w:r>
      <w:r>
        <w:rPr>
          <w:lang w:val="en-US"/>
        </w:rPr>
        <w:t>K</w:t>
      </w:r>
      <w:r w:rsidRPr="00251F7C">
        <w:t xml:space="preserve">. </w:t>
      </w:r>
      <w:r>
        <w:rPr>
          <w:lang w:val="en-US"/>
        </w:rPr>
        <w:t>Wagner</w:t>
      </w:r>
      <w:r w:rsidRPr="00251F7C">
        <w:t xml:space="preserve"> </w:t>
      </w:r>
      <w:r>
        <w:rPr>
          <w:lang w:val="en-US"/>
        </w:rPr>
        <w:t>et</w:t>
      </w:r>
      <w:r w:rsidRPr="00251F7C">
        <w:t xml:space="preserve"> </w:t>
      </w:r>
      <w:r>
        <w:rPr>
          <w:lang w:val="en-US"/>
        </w:rPr>
        <w:t>al</w:t>
      </w:r>
      <w:r w:rsidRPr="00251F7C">
        <w:t xml:space="preserve">. (1982), </w:t>
      </w:r>
      <w:r>
        <w:rPr>
          <w:lang w:val="en-US"/>
        </w:rPr>
        <w:t>O</w:t>
      </w:r>
      <w:r w:rsidRPr="00251F7C">
        <w:t>.</w:t>
      </w:r>
      <w:r>
        <w:rPr>
          <w:lang w:val="en-US"/>
        </w:rPr>
        <w:t>C</w:t>
      </w:r>
      <w:r w:rsidRPr="00251F7C">
        <w:t xml:space="preserve">. </w:t>
      </w:r>
      <w:r>
        <w:rPr>
          <w:lang w:val="en-US"/>
        </w:rPr>
        <w:t>Stroub</w:t>
      </w:r>
      <w:r w:rsidRPr="00251F7C">
        <w:t xml:space="preserve"> </w:t>
      </w:r>
      <w:r>
        <w:rPr>
          <w:lang w:val="en-US"/>
        </w:rPr>
        <w:t>et</w:t>
      </w:r>
      <w:r w:rsidRPr="00251F7C">
        <w:t xml:space="preserve"> </w:t>
      </w:r>
      <w:r>
        <w:rPr>
          <w:lang w:val="en-US"/>
        </w:rPr>
        <w:t>al</w:t>
      </w:r>
      <w:r w:rsidRPr="00251F7C">
        <w:t xml:space="preserve">. </w:t>
      </w:r>
      <w:r>
        <w:t>(1984) считают, что причиной п</w:t>
      </w:r>
      <w:r>
        <w:t>о</w:t>
      </w:r>
      <w:r>
        <w:t>ловой инфекции коров являются больные и переболевшие ИРТ-ИПВ КРС быки-вирусоносители.</w:t>
      </w:r>
    </w:p>
    <w:p w:rsidR="00F4654E" w:rsidRPr="0001153D" w:rsidRDefault="00F4654E">
      <w:pPr>
        <w:pStyle w:val="a6"/>
        <w:rPr>
          <w:spacing w:val="-4"/>
        </w:rPr>
      </w:pPr>
      <w:r w:rsidRPr="0001153D">
        <w:rPr>
          <w:spacing w:val="-4"/>
        </w:rPr>
        <w:t>В 1991-2001 г.г. изучили роль латентно инфицированных быков-производителей Свердловского, Курганского, Челябинского и Пермского Г</w:t>
      </w:r>
      <w:r w:rsidRPr="0001153D">
        <w:rPr>
          <w:spacing w:val="-4"/>
        </w:rPr>
        <w:t>о</w:t>
      </w:r>
      <w:r w:rsidRPr="0001153D">
        <w:rPr>
          <w:spacing w:val="-4"/>
        </w:rPr>
        <w:lastRenderedPageBreak/>
        <w:t>ловных  племпредприятий в распространении вируса ИРТ КРС. Для этого выявляли связь между поступлением контаминированной вирусом спермы в хозяйства репродуктивного типа и возникновением в них гин</w:t>
      </w:r>
      <w:r w:rsidRPr="0001153D">
        <w:rPr>
          <w:spacing w:val="-4"/>
        </w:rPr>
        <w:t>е</w:t>
      </w:r>
      <w:r w:rsidRPr="0001153D">
        <w:rPr>
          <w:spacing w:val="-4"/>
        </w:rPr>
        <w:t>кологической патологии у коров и респираторных болезней у телят.</w:t>
      </w:r>
      <w:r w:rsidR="0001153D" w:rsidRPr="0001153D">
        <w:rPr>
          <w:spacing w:val="-4"/>
        </w:rPr>
        <w:t xml:space="preserve"> </w:t>
      </w:r>
      <w:r w:rsidRPr="0001153D">
        <w:rPr>
          <w:spacing w:val="-4"/>
        </w:rPr>
        <w:t>При этом непосредс</w:t>
      </w:r>
      <w:r w:rsidRPr="0001153D">
        <w:rPr>
          <w:spacing w:val="-4"/>
        </w:rPr>
        <w:t>т</w:t>
      </w:r>
      <w:r w:rsidRPr="0001153D">
        <w:rPr>
          <w:spacing w:val="-4"/>
        </w:rPr>
        <w:t>венно в хозяйствах отбирали пробы семени, поступавших из племпредпри</w:t>
      </w:r>
      <w:r w:rsidRPr="0001153D">
        <w:rPr>
          <w:spacing w:val="-4"/>
        </w:rPr>
        <w:t>я</w:t>
      </w:r>
      <w:r w:rsidRPr="0001153D">
        <w:rPr>
          <w:spacing w:val="-4"/>
        </w:rPr>
        <w:t>тий, и исследовали их методом молекулярной гибридизации. Для подтве</w:t>
      </w:r>
      <w:r w:rsidRPr="0001153D">
        <w:rPr>
          <w:spacing w:val="-4"/>
        </w:rPr>
        <w:t>р</w:t>
      </w:r>
      <w:r w:rsidRPr="0001153D">
        <w:rPr>
          <w:spacing w:val="-4"/>
        </w:rPr>
        <w:t>ждения этиологической роли вируса ИРТ-ИПВ КРС в патологии коров и т</w:t>
      </w:r>
      <w:r w:rsidRPr="0001153D">
        <w:rPr>
          <w:spacing w:val="-4"/>
        </w:rPr>
        <w:t>е</w:t>
      </w:r>
      <w:r w:rsidRPr="0001153D">
        <w:rPr>
          <w:spacing w:val="-4"/>
        </w:rPr>
        <w:t>лят от них отбирали пробы биоматериала и с</w:t>
      </w:r>
      <w:r w:rsidRPr="0001153D">
        <w:rPr>
          <w:spacing w:val="-4"/>
        </w:rPr>
        <w:t>ы</w:t>
      </w:r>
      <w:r w:rsidRPr="0001153D">
        <w:rPr>
          <w:spacing w:val="-4"/>
        </w:rPr>
        <w:t>воротки крови.</w:t>
      </w:r>
    </w:p>
    <w:p w:rsidR="00F4654E" w:rsidRDefault="00F4654E">
      <w:pPr>
        <w:pStyle w:val="a6"/>
      </w:pPr>
      <w:r>
        <w:t>Результаты исследования проб спермы быков-производителей, и</w:t>
      </w:r>
      <w:r>
        <w:t>с</w:t>
      </w:r>
      <w:r>
        <w:t>пользованных для осеменения коров непосредственно в хозяйствах, сопо</w:t>
      </w:r>
      <w:r>
        <w:t>с</w:t>
      </w:r>
      <w:r>
        <w:t>тавляли с таковыми проб спермы от этих животных, хранящихся на пле</w:t>
      </w:r>
      <w:r>
        <w:t>м</w:t>
      </w:r>
      <w:r>
        <w:t>предприятии в банке семени.</w:t>
      </w:r>
      <w:r w:rsidR="0001153D">
        <w:t xml:space="preserve"> </w:t>
      </w:r>
      <w:r>
        <w:t>Исследовали пробы семени как от живых, так и выбракованных ранее быков-производителей. Всего исследовали 122 пробы семени и 244 пробы биоматериала от больных коров и телок и п</w:t>
      </w:r>
      <w:r>
        <w:t>о</w:t>
      </w:r>
      <w:r>
        <w:t>лученных от них телят из 20 хозяйств.</w:t>
      </w:r>
    </w:p>
    <w:p w:rsidR="00F4654E" w:rsidRDefault="00F4654E">
      <w:pPr>
        <w:pStyle w:val="a6"/>
      </w:pPr>
      <w:r>
        <w:t>При исследовании биоматериала от животных 7 хозяйств, где испол</w:t>
      </w:r>
      <w:r>
        <w:t>ь</w:t>
      </w:r>
      <w:r>
        <w:t>зовалась сперма серопозитивных  быков-производителей, ДНК вируса уд</w:t>
      </w:r>
      <w:r>
        <w:t>а</w:t>
      </w:r>
      <w:r>
        <w:t>лось выявить от коров и полученных от них телят в 5 хозяйствах, что св</w:t>
      </w:r>
      <w:r>
        <w:t>и</w:t>
      </w:r>
      <w:r>
        <w:t>детельствует о его первичной этиологической роли в возникновении гин</w:t>
      </w:r>
      <w:r>
        <w:t>е</w:t>
      </w:r>
      <w:r>
        <w:t xml:space="preserve">кологических и респираторных болезней коров и телят. </w:t>
      </w:r>
    </w:p>
    <w:p w:rsidR="00F4654E" w:rsidRDefault="00F4654E">
      <w:pPr>
        <w:pStyle w:val="a6"/>
      </w:pPr>
      <w:r>
        <w:t>Известно, что максимальным сроком использования спермы одного быка-производителя в хозяйстве является 2-3 года. По истечении этого срока семя быка направляется в другие хозяйства. Кроме того, по оконч</w:t>
      </w:r>
      <w:r>
        <w:t>а</w:t>
      </w:r>
      <w:r>
        <w:t>нии срока использования в качестве донора спермы (5-7 лет),  а также по причине различных заболеваний быки-производители выбраковываются. Однако на племпредприятиях остается значительный запас семени, пол</w:t>
      </w:r>
      <w:r>
        <w:t>у</w:t>
      </w:r>
      <w:r>
        <w:t>ченной от них за период эксплуатации. Известно, что вирус ИРТ-ИПВ КРС способен сохраняться многие годы при хранении в условиях глубокой з</w:t>
      </w:r>
      <w:r>
        <w:t>а</w:t>
      </w:r>
      <w:r>
        <w:t>морозки, не теряя при том своей патогенности для «чистых» животных.</w:t>
      </w:r>
      <w:r w:rsidR="0058470C">
        <w:t xml:space="preserve"> </w:t>
      </w:r>
      <w:r>
        <w:t>Так, например, в настоящее время на Курганском Головном племпре</w:t>
      </w:r>
      <w:r>
        <w:t>д</w:t>
      </w:r>
      <w:r>
        <w:t>приятии живых быков</w:t>
      </w:r>
      <w:r w:rsidR="0001153D">
        <w:t>-</w:t>
      </w:r>
      <w:r>
        <w:t>производителей нет, но до сих пор от 11 выявле</w:t>
      </w:r>
      <w:r>
        <w:t>н</w:t>
      </w:r>
      <w:r>
        <w:t>ных нами инфицированных и выбракованных в период 1995-1999 годов животных в условиях глубокой заморозки хранится 210000 эякулятов.</w:t>
      </w:r>
      <w:r w:rsidR="0001153D">
        <w:t xml:space="preserve"> </w:t>
      </w:r>
      <w:r>
        <w:t>С</w:t>
      </w:r>
      <w:r>
        <w:t>е</w:t>
      </w:r>
      <w:r>
        <w:t>мя от этих животных продолжает использоваться в хозяйствах области. Аналогичная ситуация отмечена  и на других племпредприятиях Урала, однако степень инфицированности различна.</w:t>
      </w:r>
    </w:p>
    <w:p w:rsidR="00F4654E" w:rsidRDefault="00F4654E">
      <w:pPr>
        <w:pStyle w:val="a6"/>
      </w:pPr>
      <w:r>
        <w:t>Учитывая приведенные выше данные, становится очевидным, что с использованием инфицированной спермы риск распространения заболев</w:t>
      </w:r>
      <w:r>
        <w:t>а</w:t>
      </w:r>
      <w:r>
        <w:t>ния ИРТ-ИПВ КРС  на территории Урала значительно возрастает и эпиз</w:t>
      </w:r>
      <w:r>
        <w:t>о</w:t>
      </w:r>
      <w:r>
        <w:t>отическая ситуация продолжает оставаться чрезвычайно напряженной.</w:t>
      </w:r>
      <w:r w:rsidR="0001153D">
        <w:t xml:space="preserve"> </w:t>
      </w:r>
      <w:r>
        <w:t>И</w:t>
      </w:r>
      <w:r>
        <w:t>з</w:t>
      </w:r>
      <w:r>
        <w:t>вестно, что вирус ИРТ КРС, подобно большинству герпесвирусов, спос</w:t>
      </w:r>
      <w:r>
        <w:t>о</w:t>
      </w:r>
      <w:r>
        <w:t>бен сохраняться в латентной (скрытой)  форме после первичной острой ф</w:t>
      </w:r>
      <w:r>
        <w:t>а</w:t>
      </w:r>
      <w:r>
        <w:t>зы болезни. В таком состоянии он персистирует в нервных ганглиях вбл</w:t>
      </w:r>
      <w:r>
        <w:t>и</w:t>
      </w:r>
      <w:r>
        <w:lastRenderedPageBreak/>
        <w:t>зи места своего первичного проникновения: в тройничном после респир</w:t>
      </w:r>
      <w:r>
        <w:t>а</w:t>
      </w:r>
      <w:r>
        <w:t xml:space="preserve">торного и сакральном после полового (Р.Р.Pastoret et al., 1982, 1985). </w:t>
      </w:r>
    </w:p>
    <w:p w:rsidR="0001153D" w:rsidRDefault="00F4654E">
      <w:pPr>
        <w:pStyle w:val="a6"/>
      </w:pPr>
      <w:r>
        <w:t>При изучении особенностей распространения заболевания на пле</w:t>
      </w:r>
      <w:r>
        <w:t>м</w:t>
      </w:r>
      <w:r>
        <w:t>предприятиях за основу были взяты результаты собственных исследов</w:t>
      </w:r>
      <w:r>
        <w:t>а</w:t>
      </w:r>
      <w:r>
        <w:t>ний. В 1992-2001 гг. исследовали 485 проб семени, полученных от быков-производителей Свердловского, Курганского, Пермского, Челябинского Головных племпредприятий.</w:t>
      </w:r>
      <w:r w:rsidR="0001153D">
        <w:t xml:space="preserve"> </w:t>
      </w:r>
    </w:p>
    <w:p w:rsidR="00F4654E" w:rsidRDefault="00F4654E">
      <w:pPr>
        <w:pStyle w:val="a6"/>
      </w:pPr>
      <w:r>
        <w:t>Анализ результатов молекулярной гибридизации и серологических исследований показал, что ИРТ КРС имеет место на всех обследованных Головных племпредприятиях в разной степени и протекает, в основном, латентно. Показатель инфицированности варьировал от 20 % до 90,1 %.</w:t>
      </w:r>
      <w:r w:rsidR="0001153D">
        <w:t xml:space="preserve"> </w:t>
      </w:r>
      <w:r>
        <w:t>Так, в Свердловском племпредприятии выявили 20 % инфицированных быков, Курганском – 90,1 %, Пермском – 51,1 %, Ч</w:t>
      </w:r>
      <w:r>
        <w:t>е</w:t>
      </w:r>
      <w:r>
        <w:t>лябинском – 80,9 %. По-видимому, достаточно высокий процент инфицированности живо</w:t>
      </w:r>
      <w:r>
        <w:t>т</w:t>
      </w:r>
      <w:r>
        <w:t>ных на племпредприятиях связан с неконтролируемым завозом инфицирова</w:t>
      </w:r>
      <w:r>
        <w:t>н</w:t>
      </w:r>
      <w:r>
        <w:t>ных быков-производителей из-за рубежа, длител</w:t>
      </w:r>
      <w:r>
        <w:t>ь</w:t>
      </w:r>
      <w:r>
        <w:t>ным нахождением их в стаде и отсутствием диагностических, профилактических и оздоровител</w:t>
      </w:r>
      <w:r>
        <w:t>ь</w:t>
      </w:r>
      <w:r>
        <w:t>ных мероприятий.</w:t>
      </w:r>
    </w:p>
    <w:p w:rsidR="00F4654E" w:rsidRDefault="00F4654E">
      <w:pPr>
        <w:pStyle w:val="a6"/>
      </w:pPr>
      <w:r>
        <w:t>Нам представлялось интересным изучить частоту выявления ДНК в</w:t>
      </w:r>
      <w:r>
        <w:t>и</w:t>
      </w:r>
      <w:r>
        <w:t>руса от живых инфицированных быков при наличии клинических призн</w:t>
      </w:r>
      <w:r>
        <w:t>а</w:t>
      </w:r>
      <w:r>
        <w:t>ков заболевания и их  отсутствии. Кроме того, при наличии и отсутствии у них вируснейтрализующих антител.</w:t>
      </w:r>
      <w:r w:rsidR="0001153D">
        <w:t xml:space="preserve"> </w:t>
      </w:r>
      <w:r>
        <w:t>В работе использовали результаты собственных исследований. Из 372 обследованных  животных клинические признаки отмечались только у 9 в виде папилломы полового члена, эпид</w:t>
      </w:r>
      <w:r>
        <w:t>и</w:t>
      </w:r>
      <w:r>
        <w:t>димитов и баланопоститов. Виру</w:t>
      </w:r>
      <w:r>
        <w:t>с</w:t>
      </w:r>
      <w:r>
        <w:t xml:space="preserve">нейтрализующие антитела выявили у 92 быков, тогда как 280 из них были серонегативными. </w:t>
      </w:r>
    </w:p>
    <w:p w:rsidR="00F4654E" w:rsidRDefault="00F4654E">
      <w:pPr>
        <w:pStyle w:val="a6"/>
      </w:pPr>
      <w:r>
        <w:t>Таким образом, установлен достаточно высокий процент инфицир</w:t>
      </w:r>
      <w:r>
        <w:t>о</w:t>
      </w:r>
      <w:r>
        <w:t>ванности быков-производителей на Головных племпредприятиях Урала. В связи с тем, что заболевание у них протекает, в основном латентно, без проявления клинических признаков значительно возрастает угроза распр</w:t>
      </w:r>
      <w:r>
        <w:t>о</w:t>
      </w:r>
      <w:r>
        <w:t>странения  заболевания в регионе.</w:t>
      </w:r>
    </w:p>
    <w:p w:rsidR="00F4654E" w:rsidRDefault="00F4654E">
      <w:pPr>
        <w:pStyle w:val="a4"/>
      </w:pPr>
      <w:r>
        <w:t>УДК 619:611.36:616.36-002-053.2:636.4</w:t>
      </w:r>
    </w:p>
    <w:p w:rsidR="00F4654E" w:rsidRDefault="00F4654E">
      <w:pPr>
        <w:pStyle w:val="1"/>
      </w:pPr>
      <w:bookmarkStart w:id="4104" w:name="_Toc11137943"/>
      <w:bookmarkStart w:id="4105" w:name="_Toc11138361"/>
      <w:bookmarkStart w:id="4106" w:name="_Toc11138779"/>
      <w:bookmarkStart w:id="4107" w:name="_Toc11139197"/>
      <w:bookmarkStart w:id="4108" w:name="_Toc11139615"/>
      <w:bookmarkStart w:id="4109" w:name="_Toc11140033"/>
      <w:bookmarkStart w:id="4110" w:name="_Toc11140451"/>
      <w:bookmarkStart w:id="4111" w:name="_Toc11390559"/>
      <w:bookmarkStart w:id="4112" w:name="_Toc11840244"/>
      <w:bookmarkStart w:id="4113" w:name="_Toc11937780"/>
      <w:r>
        <w:t>ВОЗРАСТНАЯ ФУНКЦИОНАЛЬНАЯ МОРФОЛОГИЯ ПЕЧЕНИ ПОРОСЯТ ПРИ ГЕПАТОДИСТРОФИИ</w:t>
      </w:r>
      <w:bookmarkEnd w:id="4104"/>
      <w:bookmarkEnd w:id="4105"/>
      <w:bookmarkEnd w:id="4106"/>
      <w:bookmarkEnd w:id="4107"/>
      <w:bookmarkEnd w:id="4108"/>
      <w:bookmarkEnd w:id="4109"/>
      <w:bookmarkEnd w:id="4110"/>
      <w:bookmarkEnd w:id="4111"/>
      <w:bookmarkEnd w:id="4112"/>
      <w:bookmarkEnd w:id="4113"/>
      <w:r>
        <w:t xml:space="preserve"> </w:t>
      </w:r>
    </w:p>
    <w:p w:rsidR="00F4654E" w:rsidRDefault="00F4654E">
      <w:pPr>
        <w:pStyle w:val="2"/>
      </w:pPr>
      <w:bookmarkStart w:id="4114" w:name="_Toc11032332"/>
      <w:bookmarkStart w:id="4115" w:name="_Toc11137944"/>
      <w:bookmarkStart w:id="4116" w:name="_Toc11138362"/>
      <w:bookmarkStart w:id="4117" w:name="_Toc11138780"/>
      <w:bookmarkStart w:id="4118" w:name="_Toc11139198"/>
      <w:bookmarkStart w:id="4119" w:name="_Toc11139616"/>
      <w:bookmarkStart w:id="4120" w:name="_Toc11140034"/>
      <w:bookmarkStart w:id="4121" w:name="_Toc11140452"/>
      <w:bookmarkStart w:id="4122" w:name="_Toc11390560"/>
      <w:bookmarkStart w:id="4123" w:name="_Toc11937781"/>
      <w:r>
        <w:t>Погребняк О.В.,  Слободяник В.С., Сулейманов С.М</w:t>
      </w:r>
      <w:bookmarkEnd w:id="4114"/>
      <w:bookmarkEnd w:id="4115"/>
      <w:bookmarkEnd w:id="4116"/>
      <w:bookmarkEnd w:id="4117"/>
      <w:bookmarkEnd w:id="4118"/>
      <w:bookmarkEnd w:id="4119"/>
      <w:bookmarkEnd w:id="4120"/>
      <w:bookmarkEnd w:id="4121"/>
      <w:bookmarkEnd w:id="4122"/>
      <w:bookmarkEnd w:id="4123"/>
    </w:p>
    <w:p w:rsidR="00F4654E" w:rsidRDefault="00F4654E">
      <w:pPr>
        <w:pStyle w:val="a5"/>
      </w:pPr>
      <w:r>
        <w:t>Всероссийский НИВИ патологии, фармакологии и терапии</w:t>
      </w:r>
    </w:p>
    <w:p w:rsidR="00F4654E" w:rsidRDefault="00F4654E">
      <w:pPr>
        <w:pStyle w:val="a6"/>
      </w:pPr>
      <w:r>
        <w:t>Изучение возрастных особенностей развития гепатодистрофии у п</w:t>
      </w:r>
      <w:r>
        <w:t>о</w:t>
      </w:r>
      <w:r>
        <w:t>росят проводили в свинокомбинате «Слобожанский» Харьковской области Украины.</w:t>
      </w:r>
    </w:p>
    <w:p w:rsidR="00F4654E" w:rsidRDefault="00F4654E">
      <w:pPr>
        <w:pStyle w:val="a6"/>
      </w:pPr>
      <w:r>
        <w:lastRenderedPageBreak/>
        <w:t>Диспансерное обследование выявило поражение печени у 28 % пор</w:t>
      </w:r>
      <w:r>
        <w:t>о</w:t>
      </w:r>
      <w:r>
        <w:t>сят 1-месячного возраста, у 40,1 %  - в возрасте 1,5 месяцев и у 31,6 % - в возрасте 2 месяцев.</w:t>
      </w:r>
    </w:p>
    <w:p w:rsidR="00F4654E" w:rsidRDefault="00F4654E">
      <w:pPr>
        <w:pStyle w:val="a6"/>
      </w:pPr>
      <w:r>
        <w:t>Гистохимически в печени поросят выявляли содержание гликогена – по Бесту и Шабадашу (Артишевский А. А. с соавт., 1999), нейтральных жиров – реакцией с суданом чёрным «В» (Елисеев В. Г., 1999), нуклеин</w:t>
      </w:r>
      <w:r>
        <w:t>о</w:t>
      </w:r>
      <w:r>
        <w:t>вых кислот (ДНК) – по Фёльгену-Розенбеку (Меркулов Г. А., 1969), акти</w:t>
      </w:r>
      <w:r>
        <w:t>в</w:t>
      </w:r>
      <w:r>
        <w:t>ность сукцинатдегидрогеназы (СДГ) по Нахласу (Д. Кисели, 1962), кислую и щелочную фосфатазу (КФ и ЩФ) по Барстону в модификации Лойда З. с соавт. (1982), цитохромоксидазу (ЦХО) по Новикову и Гольдфишеру в м</w:t>
      </w:r>
      <w:r>
        <w:t>о</w:t>
      </w:r>
      <w:r>
        <w:t xml:space="preserve">дификации Лойда З. с соавт. (1982). </w:t>
      </w:r>
    </w:p>
    <w:p w:rsidR="00F4654E" w:rsidRDefault="00F4654E">
      <w:pPr>
        <w:pStyle w:val="a6"/>
      </w:pPr>
      <w:r>
        <w:t>Установлено, что структура печени у поросят при гепатодистрофии изменялась в различной степени в зависимости от возраста. Так, у меся</w:t>
      </w:r>
      <w:r>
        <w:t>ч</w:t>
      </w:r>
      <w:r>
        <w:t>ных поросят при гепатодистрофии увеличивалась абсолютная и относ</w:t>
      </w:r>
      <w:r>
        <w:t>и</w:t>
      </w:r>
      <w:r>
        <w:t>тельная массы печени по сравнению со здоровыми поросятами за счёт ра</w:t>
      </w:r>
      <w:r>
        <w:t>з</w:t>
      </w:r>
      <w:r>
        <w:t>растания на 35,7 % стромальных элементов.</w:t>
      </w:r>
    </w:p>
    <w:p w:rsidR="00F4654E" w:rsidRDefault="00F4654E">
      <w:pPr>
        <w:pStyle w:val="a6"/>
      </w:pPr>
      <w:r>
        <w:t>Выраженное увеличение абсолютных и относительных размеров п</w:t>
      </w:r>
      <w:r>
        <w:t>е</w:t>
      </w:r>
      <w:r>
        <w:t>чени было характерно и для 1,5 месячных больных поросят. При этом о</w:t>
      </w:r>
      <w:r>
        <w:t>т</w:t>
      </w:r>
      <w:r>
        <w:t>мечалось увеличение на 24,6 % как размеров гепатоцитов, так и на 48,4 % доли паренхимы печени. К 2-месячному возрасту фиксировалось увелич</w:t>
      </w:r>
      <w:r>
        <w:t>е</w:t>
      </w:r>
      <w:r>
        <w:t>ние как объёма ядер гепатоцитов, так и доли паренхимы органа.</w:t>
      </w:r>
    </w:p>
    <w:p w:rsidR="00F4654E" w:rsidRDefault="00F4654E">
      <w:pPr>
        <w:pStyle w:val="a6"/>
      </w:pPr>
      <w:r>
        <w:t>В начальный период развития гепатодистрофии у месячных поросят, больных гепатодистрофией выявлено снижение содержания ДНК в печени до 0,57</w:t>
      </w:r>
      <w:r>
        <w:sym w:font="Symbol" w:char="F0B1"/>
      </w:r>
      <w:r>
        <w:t>0,004 ед. опт. плотности, гликогена до 0,31</w:t>
      </w:r>
      <w:r>
        <w:sym w:font="Symbol" w:char="F0B1"/>
      </w:r>
      <w:r>
        <w:t>0,004 ед. опт. плотн</w:t>
      </w:r>
      <w:r>
        <w:t>о</w:t>
      </w:r>
      <w:r>
        <w:t>сти при накоплении нейтральных жиров в гепатоцитах до 0,66</w:t>
      </w:r>
      <w:r>
        <w:sym w:font="Symbol" w:char="F0B1"/>
      </w:r>
      <w:r>
        <w:t>0,012 ед. опт. плотности, сопровождавшееся снижением активности сукцинатдеги</w:t>
      </w:r>
      <w:r>
        <w:t>д</w:t>
      </w:r>
      <w:r>
        <w:t>рогеназы до 0,57</w:t>
      </w:r>
      <w:r>
        <w:sym w:font="Symbol" w:char="F0B1"/>
      </w:r>
      <w:r>
        <w:t>0,095, повышением активности кислой фосфатазы до 0,59</w:t>
      </w:r>
      <w:r>
        <w:sym w:font="Symbol" w:char="F0B1"/>
      </w:r>
      <w:r>
        <w:t>0,04 и  цитохромоксидазы до 0,81</w:t>
      </w:r>
      <w:r>
        <w:sym w:font="Symbol" w:char="F0B1"/>
      </w:r>
      <w:r>
        <w:t xml:space="preserve">0,031 ед. опт. плотности. </w:t>
      </w:r>
    </w:p>
    <w:p w:rsidR="00F4654E" w:rsidRDefault="00F4654E">
      <w:pPr>
        <w:pStyle w:val="a6"/>
      </w:pPr>
      <w:r>
        <w:t>В процессе развития патологического процесса нарастало отложение жиров в печени: их уровень у 1,5 месячных поросят был выше на 54,8 % и на 46,6 %  - у 2-месячных при снижении уровня гликогена в гепатоцитах на 47,3 % и 40,2 % и содержания ДНК – на 47,1 % и 21,8 % соответственно. Активность кислой фосфатазы оказалась повышена на 61 % и 51 %, а су</w:t>
      </w:r>
      <w:r>
        <w:t>к</w:t>
      </w:r>
      <w:r>
        <w:t>цинатдегидрогеназы соответственно понижена на 30,5 %и 37,2 %.</w:t>
      </w:r>
    </w:p>
    <w:p w:rsidR="00F4654E" w:rsidRDefault="00F4654E">
      <w:pPr>
        <w:pStyle w:val="a6"/>
      </w:pPr>
      <w:r>
        <w:t>Таким образом, гепатодистрофия у одномесячных поросят характер</w:t>
      </w:r>
      <w:r>
        <w:t>и</w:t>
      </w:r>
      <w:r>
        <w:t>зовалась высоким уровнем метаболизма и гликогенолизом. В то же время, мобилизация белковых резервов гепатоцитов, находящаяся в зависимости от секреции протеолитических ферментов у поросят, была умеренной, а степень жировой инфильтрации печени соответственно  небольшой.</w:t>
      </w:r>
    </w:p>
    <w:p w:rsidR="00F4654E" w:rsidRDefault="00F4654E">
      <w:pPr>
        <w:pStyle w:val="a6"/>
      </w:pPr>
      <w:r>
        <w:t>По мере развития патологического процесса происходило угнетение синтетической функции печени с нарушением работы ферментных систем. Высокая степень протеолиза соответствовала усилению жировой инфиль</w:t>
      </w:r>
      <w:r>
        <w:t>т</w:t>
      </w:r>
      <w:r>
        <w:t>рации печени, нарастанию признаков энергетического дефицита и метаб</w:t>
      </w:r>
      <w:r>
        <w:t>о</w:t>
      </w:r>
      <w:r>
        <w:lastRenderedPageBreak/>
        <w:t>лического напряжения при выраженных необратимых изменениях в стру</w:t>
      </w:r>
      <w:r>
        <w:t>к</w:t>
      </w:r>
      <w:r>
        <w:t>туре печени и компенсаторной её гипертрофии.</w:t>
      </w:r>
    </w:p>
    <w:p w:rsidR="00F4654E" w:rsidRDefault="00F4654E">
      <w:pPr>
        <w:pStyle w:val="a4"/>
      </w:pPr>
      <w:r>
        <w:t>УДК 619:616.36-002-053.2-07:636.4</w:t>
      </w:r>
    </w:p>
    <w:p w:rsidR="00F4654E" w:rsidRDefault="00F4654E">
      <w:pPr>
        <w:pStyle w:val="1"/>
      </w:pPr>
      <w:r>
        <w:t xml:space="preserve"> </w:t>
      </w:r>
      <w:bookmarkStart w:id="4124" w:name="_Toc11137945"/>
      <w:bookmarkStart w:id="4125" w:name="_Toc11138363"/>
      <w:bookmarkStart w:id="4126" w:name="_Toc11138781"/>
      <w:bookmarkStart w:id="4127" w:name="_Toc11139199"/>
      <w:bookmarkStart w:id="4128" w:name="_Toc11139617"/>
      <w:bookmarkStart w:id="4129" w:name="_Toc11140035"/>
      <w:bookmarkStart w:id="4130" w:name="_Toc11140453"/>
      <w:bookmarkStart w:id="4131" w:name="_Toc11390561"/>
      <w:bookmarkStart w:id="4132" w:name="_Toc11840246"/>
      <w:bookmarkStart w:id="4133" w:name="_Toc11937782"/>
      <w:r>
        <w:t>ИНФОРМАТИВНОСТЬ ПОКАЗАТЕЛЕЙ В ДИАГНОСТИКЕ       ГЕПАТОДИСТРОФИИ У ПОРОСЯТ</w:t>
      </w:r>
      <w:bookmarkEnd w:id="4124"/>
      <w:bookmarkEnd w:id="4125"/>
      <w:bookmarkEnd w:id="4126"/>
      <w:bookmarkEnd w:id="4127"/>
      <w:bookmarkEnd w:id="4128"/>
      <w:bookmarkEnd w:id="4129"/>
      <w:bookmarkEnd w:id="4130"/>
      <w:bookmarkEnd w:id="4131"/>
      <w:bookmarkEnd w:id="4132"/>
      <w:bookmarkEnd w:id="4133"/>
    </w:p>
    <w:p w:rsidR="00F4654E" w:rsidRDefault="00F4654E">
      <w:pPr>
        <w:pStyle w:val="2"/>
      </w:pPr>
      <w:bookmarkStart w:id="4134" w:name="_Toc11032333"/>
      <w:bookmarkStart w:id="4135" w:name="_Toc11137946"/>
      <w:bookmarkStart w:id="4136" w:name="_Toc11138364"/>
      <w:bookmarkStart w:id="4137" w:name="_Toc11138782"/>
      <w:bookmarkStart w:id="4138" w:name="_Toc11139200"/>
      <w:bookmarkStart w:id="4139" w:name="_Toc11139618"/>
      <w:bookmarkStart w:id="4140" w:name="_Toc11140036"/>
      <w:bookmarkStart w:id="4141" w:name="_Toc11140454"/>
      <w:bookmarkStart w:id="4142" w:name="_Toc11390562"/>
      <w:bookmarkStart w:id="4143" w:name="_Toc11937783"/>
      <w:r>
        <w:t>Погребняк О.В., Сулейманов С.М., Слободяник В.С.</w:t>
      </w:r>
      <w:bookmarkEnd w:id="4134"/>
      <w:bookmarkEnd w:id="4135"/>
      <w:bookmarkEnd w:id="4136"/>
      <w:bookmarkEnd w:id="4137"/>
      <w:bookmarkEnd w:id="4138"/>
      <w:bookmarkEnd w:id="4139"/>
      <w:bookmarkEnd w:id="4140"/>
      <w:bookmarkEnd w:id="4141"/>
      <w:bookmarkEnd w:id="4142"/>
      <w:bookmarkEnd w:id="4143"/>
    </w:p>
    <w:p w:rsidR="00F4654E" w:rsidRDefault="00F4654E">
      <w:pPr>
        <w:pStyle w:val="a5"/>
      </w:pPr>
      <w:r>
        <w:tab/>
      </w:r>
      <w:r>
        <w:tab/>
        <w:t>Всероссийский НИВИ патологии, фармакологии и терапии</w:t>
      </w:r>
    </w:p>
    <w:p w:rsidR="0001153D" w:rsidRDefault="00F4654E">
      <w:pPr>
        <w:pStyle w:val="a6"/>
      </w:pPr>
      <w:r>
        <w:t>Исследования, проведенные в хозяйствах Воронежской, Волгогра</w:t>
      </w:r>
      <w:r>
        <w:t>д</w:t>
      </w:r>
      <w:r>
        <w:t>ской и Харьковской областей на поросятах периода отъёма и доращивания показали, что клинические признаки гепатодистрофии оказались неспец</w:t>
      </w:r>
      <w:r>
        <w:t>и</w:t>
      </w:r>
      <w:r>
        <w:t>фичными и они приобретали значимость уже при наличии довольно знач</w:t>
      </w:r>
      <w:r>
        <w:t>и</w:t>
      </w:r>
      <w:r>
        <w:t>тельных биохимических и гистологических изменений.</w:t>
      </w:r>
      <w:r w:rsidR="0001153D">
        <w:t xml:space="preserve"> </w:t>
      </w:r>
    </w:p>
    <w:p w:rsidR="0001153D" w:rsidRDefault="00F4654E">
      <w:pPr>
        <w:pStyle w:val="a6"/>
      </w:pPr>
      <w:r>
        <w:t>Только достоверное изменение показателей активности холинэстер</w:t>
      </w:r>
      <w:r>
        <w:t>а</w:t>
      </w:r>
      <w:r>
        <w:t xml:space="preserve">зы, уровня билирубина, в меньшей степени щелочной фосфатазы отражало </w:t>
      </w:r>
      <w:r w:rsidR="0001153D">
        <w:t>тенденции в развитии и исходе г</w:t>
      </w:r>
      <w:r>
        <w:t>епатодистрофии.</w:t>
      </w:r>
      <w:r w:rsidR="0001153D">
        <w:t xml:space="preserve"> </w:t>
      </w:r>
    </w:p>
    <w:p w:rsidR="0001153D" w:rsidRDefault="00F4654E">
      <w:pPr>
        <w:pStyle w:val="a6"/>
      </w:pPr>
      <w:r>
        <w:t>Такие показатели, как активность трансаминаз, содержание глюкозы, общих белков, β-липопротеидов, уровень ацетилирующей способности крови хотя и отражали характер течения патологического процесса, но б</w:t>
      </w:r>
      <w:r>
        <w:t>ы</w:t>
      </w:r>
      <w:r>
        <w:t>ли информативны в оценке тяжести патологии лишь в динамике и в соч</w:t>
      </w:r>
      <w:r>
        <w:t>е</w:t>
      </w:r>
      <w:r>
        <w:t>тании с вышеуказанными показателями.</w:t>
      </w:r>
      <w:r w:rsidR="0001153D">
        <w:t xml:space="preserve"> </w:t>
      </w:r>
    </w:p>
    <w:p w:rsidR="00F4654E" w:rsidRDefault="00F4654E">
      <w:pPr>
        <w:pStyle w:val="a6"/>
      </w:pPr>
      <w:r>
        <w:t>Скрининг гистохимических показателей, информативных при гепат</w:t>
      </w:r>
      <w:r>
        <w:t>о</w:t>
      </w:r>
      <w:r>
        <w:t>дистрофиях поросят позволили уст</w:t>
      </w:r>
      <w:r>
        <w:t>а</w:t>
      </w:r>
      <w:r>
        <w:t>новить, что наиболее существенным является количественное содержание в печени гликоген и нейтральных жиров. Снижение их уровня в печёно</w:t>
      </w:r>
      <w:r>
        <w:t>ч</w:t>
      </w:r>
      <w:r>
        <w:t>ной паренхиме достоверно отражало как начальные стадии развития геп</w:t>
      </w:r>
      <w:r>
        <w:t>а</w:t>
      </w:r>
      <w:r>
        <w:t>топатологии, так и далеко зашедшие стадии функци</w:t>
      </w:r>
      <w:r>
        <w:t>о</w:t>
      </w:r>
      <w:r>
        <w:t>нальных расстройств.</w:t>
      </w:r>
    </w:p>
    <w:p w:rsidR="0001153D" w:rsidRDefault="00F4654E">
      <w:pPr>
        <w:pStyle w:val="a6"/>
      </w:pPr>
      <w:r>
        <w:t>Таким образом, в качестве наиболее информативных маркеров ранней диагностики гепатодистрофий являются такие «классические» показатели, как содержание в гепатоцитах гликогена и нейтральных жиров с учётом активности кислой и щелочной фосфатаз. Несколько позже развивающиеся изменения начинали затрагивать ферментные системы: наблюдалась реа</w:t>
      </w:r>
      <w:r>
        <w:t>к</w:t>
      </w:r>
      <w:r>
        <w:t>ция со стороны ферментов цикла Кребса (СДГ) и окислительного фосф</w:t>
      </w:r>
      <w:r>
        <w:t>о</w:t>
      </w:r>
      <w:r>
        <w:t>рилирования (ЦХО) и, как следствие, снижение содержания продуктов синт6еза в гепатоцитах.</w:t>
      </w:r>
      <w:r w:rsidR="0001153D">
        <w:t xml:space="preserve"> </w:t>
      </w:r>
    </w:p>
    <w:p w:rsidR="00F4654E" w:rsidRDefault="00F4654E">
      <w:pPr>
        <w:pStyle w:val="a6"/>
      </w:pPr>
      <w:r>
        <w:t>Относительно морфометрических показателей достаточно информ</w:t>
      </w:r>
      <w:r>
        <w:t>а</w:t>
      </w:r>
      <w:r>
        <w:t>тивным является объём ядер гепатоцитов и показатель паренхимально-стромального соотношения, отражающий разрастание стромальных эл</w:t>
      </w:r>
      <w:r>
        <w:t>е</w:t>
      </w:r>
      <w:r>
        <w:t>ментов, как один из наиболее часто встречающихся признаков при гепат</w:t>
      </w:r>
      <w:r>
        <w:t>о</w:t>
      </w:r>
      <w:r>
        <w:t>дистрофиях.</w:t>
      </w:r>
    </w:p>
    <w:p w:rsidR="0001153D" w:rsidRDefault="0001153D">
      <w:pPr>
        <w:pStyle w:val="a4"/>
      </w:pPr>
    </w:p>
    <w:p w:rsidR="00F4654E" w:rsidRDefault="00F4654E">
      <w:pPr>
        <w:pStyle w:val="a4"/>
      </w:pPr>
      <w:r>
        <w:lastRenderedPageBreak/>
        <w:t>УДК 619:611.36-018:616-099-02:615.916</w:t>
      </w:r>
    </w:p>
    <w:p w:rsidR="00F4654E" w:rsidRDefault="00F4654E">
      <w:pPr>
        <w:pStyle w:val="1"/>
      </w:pPr>
      <w:bookmarkStart w:id="4144" w:name="_Toc11137947"/>
      <w:bookmarkStart w:id="4145" w:name="_Toc11138365"/>
      <w:bookmarkStart w:id="4146" w:name="_Toc11138783"/>
      <w:bookmarkStart w:id="4147" w:name="_Toc11139201"/>
      <w:bookmarkStart w:id="4148" w:name="_Toc11139619"/>
      <w:bookmarkStart w:id="4149" w:name="_Toc11140037"/>
      <w:bookmarkStart w:id="4150" w:name="_Toc11140455"/>
      <w:bookmarkStart w:id="4151" w:name="_Toc11390563"/>
      <w:bookmarkStart w:id="4152" w:name="_Toc11840248"/>
      <w:bookmarkStart w:id="4153" w:name="_Toc11937784"/>
      <w:r>
        <w:t>МОРФОФУНКЦИОНАЛЬНАЯ ХАРАКТЕРИСТИКА ПЕЧЕНИ БЕЛЫХ МЫШЕЙ ПРИ ЭКСПЕРИМЕНТАЛЬНОМ ВОСПРОИЗВЕДЕНИИ ОСТРОГО СВИНЦОВОГО ОТРАВЛЕНИЯ</w:t>
      </w:r>
      <w:bookmarkEnd w:id="4144"/>
      <w:bookmarkEnd w:id="4145"/>
      <w:bookmarkEnd w:id="4146"/>
      <w:bookmarkEnd w:id="4147"/>
      <w:bookmarkEnd w:id="4148"/>
      <w:bookmarkEnd w:id="4149"/>
      <w:bookmarkEnd w:id="4150"/>
      <w:bookmarkEnd w:id="4151"/>
      <w:bookmarkEnd w:id="4152"/>
      <w:bookmarkEnd w:id="4153"/>
    </w:p>
    <w:p w:rsidR="00F4654E" w:rsidRDefault="00F4654E">
      <w:pPr>
        <w:pStyle w:val="2"/>
      </w:pPr>
      <w:bookmarkStart w:id="4154" w:name="_Toc11032334"/>
      <w:bookmarkStart w:id="4155" w:name="_Toc11137948"/>
      <w:bookmarkStart w:id="4156" w:name="_Toc11138366"/>
      <w:bookmarkStart w:id="4157" w:name="_Toc11138784"/>
      <w:bookmarkStart w:id="4158" w:name="_Toc11139202"/>
      <w:bookmarkStart w:id="4159" w:name="_Toc11139620"/>
      <w:bookmarkStart w:id="4160" w:name="_Toc11140038"/>
      <w:bookmarkStart w:id="4161" w:name="_Toc11140456"/>
      <w:bookmarkStart w:id="4162" w:name="_Toc11390564"/>
      <w:bookmarkStart w:id="4163" w:name="_Toc11937785"/>
      <w:r>
        <w:t>Подъяблонский А. Н., Гребенщиков А. В.</w:t>
      </w:r>
      <w:bookmarkEnd w:id="4154"/>
      <w:bookmarkEnd w:id="4155"/>
      <w:bookmarkEnd w:id="4156"/>
      <w:bookmarkEnd w:id="4157"/>
      <w:bookmarkEnd w:id="4158"/>
      <w:bookmarkEnd w:id="4159"/>
      <w:bookmarkEnd w:id="4160"/>
      <w:bookmarkEnd w:id="4161"/>
      <w:bookmarkEnd w:id="4162"/>
      <w:bookmarkEnd w:id="4163"/>
    </w:p>
    <w:p w:rsidR="00F4654E" w:rsidRDefault="00F4654E">
      <w:pPr>
        <w:pStyle w:val="a5"/>
      </w:pPr>
      <w:r>
        <w:t>Всероссийский НИВИ патологии, фармакологии и терапии</w:t>
      </w:r>
    </w:p>
    <w:p w:rsidR="00F4654E" w:rsidRDefault="00F4654E">
      <w:pPr>
        <w:pStyle w:val="a6"/>
      </w:pPr>
      <w:r>
        <w:t>В настоящее время в разных регионах страны специалисты констат</w:t>
      </w:r>
      <w:r>
        <w:t>и</w:t>
      </w:r>
      <w:r>
        <w:t>руют загрязнение воздуха, воды, почвы, кормов опасными для здоровья человека и животных химическими веществами. Загрязнение промышле</w:t>
      </w:r>
      <w:r>
        <w:t>н</w:t>
      </w:r>
      <w:r>
        <w:t>ными выбросами воздушного бассейна, территорий вокруг мегаполисов и крупных промышленных предприятий достигают десятков километров, превышая предельно допустимые концентрации в десятки раз (Аргунов М. Н. с соавт., 1998).</w:t>
      </w:r>
    </w:p>
    <w:p w:rsidR="00F4654E" w:rsidRDefault="00F4654E">
      <w:pPr>
        <w:pStyle w:val="a6"/>
      </w:pPr>
      <w:r>
        <w:t>Свинецсодержащие соединения являются высокотоксичными вещес</w:t>
      </w:r>
      <w:r>
        <w:t>т</w:t>
      </w:r>
      <w:r>
        <w:t>вами кумулятивного действия, для которых свойственно постепенное пр</w:t>
      </w:r>
      <w:r>
        <w:t>о</w:t>
      </w:r>
      <w:r>
        <w:t xml:space="preserve">явление токсического действия по мере накопления в жизненно важных органах (Жуленко В. Н. с соавт., 2001). Поэтому, принципиально важным является выявление тяжёлых металлов в ткани и изучение вызываемых ими изменений. </w:t>
      </w:r>
    </w:p>
    <w:p w:rsidR="00F4654E" w:rsidRDefault="00F4654E">
      <w:pPr>
        <w:pStyle w:val="a6"/>
      </w:pPr>
      <w:r>
        <w:t>В этой связи, было воспроизведено острое свинцовое отравление на лабораторных животных (белых мышах). Паренхиматозные органы мышей подвергались морфологическим исследованиям.</w:t>
      </w:r>
    </w:p>
    <w:p w:rsidR="00F4654E" w:rsidRDefault="00F4654E">
      <w:pPr>
        <w:pStyle w:val="a6"/>
      </w:pPr>
      <w:r>
        <w:t>При этом в печени обнаруживались структурные нарушения в паре</w:t>
      </w:r>
      <w:r>
        <w:t>н</w:t>
      </w:r>
      <w:r>
        <w:t>химе, деформация балок, сдавливание гепатоцитов, уплотнение их цит</w:t>
      </w:r>
      <w:r>
        <w:t>о</w:t>
      </w:r>
      <w:r>
        <w:t>плазмы. В пространствах Диссе обнаруживались в значительном количес</w:t>
      </w:r>
      <w:r>
        <w:t>т</w:t>
      </w:r>
      <w:r>
        <w:t>ве эритроциты. Дольчатость в структуре печени была выражена плохо, о</w:t>
      </w:r>
      <w:r>
        <w:t>т</w:t>
      </w:r>
      <w:r>
        <w:t>мечались единичные кровоизлияния.</w:t>
      </w:r>
    </w:p>
    <w:p w:rsidR="00F4654E" w:rsidRDefault="00F4654E">
      <w:pPr>
        <w:pStyle w:val="a6"/>
      </w:pPr>
      <w:r>
        <w:t>В почках обнаруживалось увеличение объёма клубочков, деструкти</w:t>
      </w:r>
      <w:r>
        <w:t>в</w:t>
      </w:r>
      <w:r>
        <w:t>ные изменения в эпителиях извитых канальцев. Были видны отдельные эритроцитарные инфильтраты, разрыхление почечной ткани.</w:t>
      </w:r>
    </w:p>
    <w:p w:rsidR="00F4654E" w:rsidRDefault="00F4654E">
      <w:pPr>
        <w:pStyle w:val="a6"/>
      </w:pPr>
      <w:r>
        <w:t>В головном мозге обнаруживали расширение просвета кровеносных сосудов, разрыхление ткани, отёчность.</w:t>
      </w:r>
    </w:p>
    <w:p w:rsidR="00F4654E" w:rsidRDefault="00F4654E">
      <w:pPr>
        <w:pStyle w:val="a6"/>
      </w:pPr>
      <w:r>
        <w:t>При гистохимическом обнаружении свинца выяснили, что в печени он выявлялся преимущественно в центре дольки в цитоплазме гепатоцитов в виде чёрных гранул, и лишь незначительные включения встречались по периферии в виде пылевидной зернистости. В почках и головном мозге отмечались отдельные скопления.</w:t>
      </w:r>
    </w:p>
    <w:p w:rsidR="00F4654E" w:rsidRDefault="00F4654E">
      <w:pPr>
        <w:pStyle w:val="a6"/>
      </w:pPr>
      <w:r>
        <w:t>Таким образом, при остром отравлении у белых мышей обнаружив</w:t>
      </w:r>
      <w:r>
        <w:t>а</w:t>
      </w:r>
      <w:r>
        <w:t>лись структурные нарушения в паренхиме печени и головного мозга, ра</w:t>
      </w:r>
      <w:r>
        <w:t>с</w:t>
      </w:r>
      <w:r>
        <w:t>стройства кровообращения. Кроме того, свинецсодержащие вещества в почках повреждали проксимальные канальцы, в которых происходила р</w:t>
      </w:r>
      <w:r>
        <w:t>е</w:t>
      </w:r>
      <w:r>
        <w:t xml:space="preserve">абсорбция низкомолекулярных белков, аминокислот и др. Гистохимически </w:t>
      </w:r>
      <w:r>
        <w:lastRenderedPageBreak/>
        <w:t>соединения свинца обнаруживались в основном в центральной части дол</w:t>
      </w:r>
      <w:r>
        <w:t>ь</w:t>
      </w:r>
      <w:r>
        <w:t xml:space="preserve">ки печени в виде чёрных гранул и пылевой зернистости. </w:t>
      </w:r>
    </w:p>
    <w:p w:rsidR="00F4654E" w:rsidRDefault="00F4654E">
      <w:pPr>
        <w:pStyle w:val="a4"/>
      </w:pPr>
      <w:r>
        <w:t>УДК 619:616.233-003:636.2</w:t>
      </w:r>
    </w:p>
    <w:p w:rsidR="00F4654E" w:rsidRDefault="00F4654E">
      <w:pPr>
        <w:pStyle w:val="1"/>
      </w:pPr>
      <w:bookmarkStart w:id="4164" w:name="_Toc10731498"/>
      <w:bookmarkStart w:id="4165" w:name="_Toc11137949"/>
      <w:bookmarkStart w:id="4166" w:name="_Toc11138367"/>
      <w:bookmarkStart w:id="4167" w:name="_Toc11138785"/>
      <w:bookmarkStart w:id="4168" w:name="_Toc11139203"/>
      <w:bookmarkStart w:id="4169" w:name="_Toc11139621"/>
      <w:bookmarkStart w:id="4170" w:name="_Toc11140039"/>
      <w:bookmarkStart w:id="4171" w:name="_Toc11140457"/>
      <w:bookmarkStart w:id="4172" w:name="_Toc11390565"/>
      <w:bookmarkStart w:id="4173" w:name="_Toc11840250"/>
      <w:bookmarkStart w:id="4174" w:name="_Toc11937786"/>
      <w:r>
        <w:t>ЛЕЧЕНИЕ ТЕЛЯТ БОЛЬНЫХ БРОНХОПНЕВМОНИЕЙ</w:t>
      </w:r>
      <w:bookmarkEnd w:id="4164"/>
      <w:bookmarkEnd w:id="4165"/>
      <w:bookmarkEnd w:id="4166"/>
      <w:bookmarkEnd w:id="4167"/>
      <w:bookmarkEnd w:id="4168"/>
      <w:bookmarkEnd w:id="4169"/>
      <w:bookmarkEnd w:id="4170"/>
      <w:bookmarkEnd w:id="4171"/>
      <w:bookmarkEnd w:id="4172"/>
      <w:bookmarkEnd w:id="4173"/>
      <w:bookmarkEnd w:id="4174"/>
    </w:p>
    <w:p w:rsidR="00F4654E" w:rsidRDefault="00F4654E">
      <w:pPr>
        <w:pStyle w:val="2"/>
      </w:pPr>
      <w:bookmarkStart w:id="4175" w:name="_Toc10731499"/>
      <w:bookmarkStart w:id="4176" w:name="_Toc11032335"/>
      <w:bookmarkStart w:id="4177" w:name="_Toc11137950"/>
      <w:bookmarkStart w:id="4178" w:name="_Toc11138368"/>
      <w:bookmarkStart w:id="4179" w:name="_Toc11138786"/>
      <w:bookmarkStart w:id="4180" w:name="_Toc11139204"/>
      <w:bookmarkStart w:id="4181" w:name="_Toc11139622"/>
      <w:bookmarkStart w:id="4182" w:name="_Toc11140040"/>
      <w:bookmarkStart w:id="4183" w:name="_Toc11140458"/>
      <w:bookmarkStart w:id="4184" w:name="_Toc11390566"/>
      <w:bookmarkStart w:id="4185" w:name="_Toc11937787"/>
      <w:r>
        <w:t>Полозюк О.Н., Лысухо А.С., Лысухо Т.Н.</w:t>
      </w:r>
      <w:bookmarkEnd w:id="4175"/>
      <w:bookmarkEnd w:id="4176"/>
      <w:bookmarkEnd w:id="4177"/>
      <w:bookmarkEnd w:id="4178"/>
      <w:bookmarkEnd w:id="4179"/>
      <w:bookmarkEnd w:id="4180"/>
      <w:bookmarkEnd w:id="4181"/>
      <w:bookmarkEnd w:id="4182"/>
      <w:bookmarkEnd w:id="4183"/>
      <w:bookmarkEnd w:id="4184"/>
      <w:bookmarkEnd w:id="4185"/>
    </w:p>
    <w:p w:rsidR="00F4654E" w:rsidRDefault="00F4654E">
      <w:pPr>
        <w:pStyle w:val="a5"/>
      </w:pPr>
      <w:r>
        <w:t>Донской государственный аграрный университет</w:t>
      </w:r>
    </w:p>
    <w:p w:rsidR="00F4654E" w:rsidRDefault="00F4654E">
      <w:pPr>
        <w:pStyle w:val="a6"/>
      </w:pPr>
      <w:r>
        <w:t>Среди всех патологий сельскохозяйственных животных, обусловле</w:t>
      </w:r>
      <w:r>
        <w:t>н</w:t>
      </w:r>
      <w:r>
        <w:t>ных недостатками технологий содержания, кормления и использования животных, наибольшее количество занимают незаразные болезни моло</w:t>
      </w:r>
      <w:r>
        <w:t>д</w:t>
      </w:r>
      <w:r>
        <w:t>няка. Интенсификация животноводства и  концентрация поголовья скота на небольших территориях влекут за собой быстрое развитие патогенных и условно-патогенных микроорганизмов и повышение их вирулентности. Среди незаразных болезней второе место по частоте, после заболеваний желудочно-кишечного тракта занимают респираторные болезни,   в том числе бронхопневмонии. Для лечения этой патологии  предложены мног</w:t>
      </w:r>
      <w:r>
        <w:t>о</w:t>
      </w:r>
      <w:r>
        <w:t>численные схемы, однако, изыскание новых методов и средств терапии до настоящего времени является актуальным. Исходя из вышеизложенного были поставлены следующие задачи: установить причину вызвавшую ос</w:t>
      </w:r>
      <w:r>
        <w:t>т</w:t>
      </w:r>
      <w:r>
        <w:t>рую катаральную бронхопневмонию телят в совхозе «Федуловский» Баг</w:t>
      </w:r>
      <w:r>
        <w:t>а</w:t>
      </w:r>
      <w:r>
        <w:t>евского района; разработать и внедрить в производство схемы лечения т</w:t>
      </w:r>
      <w:r>
        <w:t>е</w:t>
      </w:r>
      <w:r>
        <w:t>лят, больных  бронхопневмонией.</w:t>
      </w:r>
    </w:p>
    <w:p w:rsidR="00F4654E" w:rsidRDefault="00F4654E">
      <w:pPr>
        <w:pStyle w:val="a6"/>
      </w:pPr>
      <w:r>
        <w:t>Работу проводили в совхозе «Федуловский» Багаевского района  Ро</w:t>
      </w:r>
      <w:r>
        <w:t>с</w:t>
      </w:r>
      <w:r>
        <w:t>товской области в 1999 году. Для оценки терапевтической эффективности схем лечения было создано две опытных и контрольная группы телят-аналогов (по10 голов в каждой) в  возрасте 40-60 дней. Опыты проводили в мае месяце, в период перехода поголовья на летние лагери. В начале мая наблюдалось  резкое похолодание с затяжными холодными дождями. В связи с отсутствием помещения и недостатком навесов часть телят бол</w:t>
      </w:r>
      <w:r>
        <w:t>ь</w:t>
      </w:r>
      <w:r>
        <w:t>шую часть времени проводила под дождем и ветром. В результате набл</w:t>
      </w:r>
      <w:r>
        <w:t>ю</w:t>
      </w:r>
      <w:r>
        <w:t>далось переохлаждение организма, что способствовало развитию бронхо</w:t>
      </w:r>
      <w:r>
        <w:t>п</w:t>
      </w:r>
      <w:r>
        <w:t xml:space="preserve">невмонии. </w:t>
      </w:r>
    </w:p>
    <w:p w:rsidR="00F4654E" w:rsidRDefault="00F4654E">
      <w:pPr>
        <w:pStyle w:val="a6"/>
      </w:pPr>
      <w:r>
        <w:t>Диагноз на бронхопневмонию ставили на основании анамнестических данных (переохлаждение), клинических признаков. У заболевших телят отмечали общее угнетение, снижение или потерю аппетита, повышение температуры тела на 1-2</w:t>
      </w:r>
      <w:r>
        <w:sym w:font="Symbol" w:char="F0B0"/>
      </w:r>
      <w:r>
        <w:t>С, тахикардию, одышку. На вторые – третьи с</w:t>
      </w:r>
      <w:r>
        <w:t>у</w:t>
      </w:r>
      <w:r>
        <w:t>тки заболевания появлялся   глубокий кашель, наблюдалось напряженное дыхание, одышка, катаральные истечения из носовых отверстий, телята подолгу лежат, реакция на внешние раздражители снижена. При аускул</w:t>
      </w:r>
      <w:r>
        <w:t>ь</w:t>
      </w:r>
      <w:r>
        <w:t xml:space="preserve">тации легких – жесткое везикулярное дыхание, в дальнейшем сухие и влажные хрипы. При перкуссии в верхушечных и  сердечных долях легких </w:t>
      </w:r>
      <w:r>
        <w:lastRenderedPageBreak/>
        <w:t>обнаруживали очаги притупления, граничащие с участками нормального легочного звука.</w:t>
      </w:r>
    </w:p>
    <w:p w:rsidR="00F4654E" w:rsidRDefault="00F4654E">
      <w:pPr>
        <w:pStyle w:val="a6"/>
      </w:pPr>
      <w:r>
        <w:t>Инфекционные болезни исключали путем патологоанатомического вскрытия трупов павших животных и лабораторного исследования патм</w:t>
      </w:r>
      <w:r>
        <w:t>а</w:t>
      </w:r>
      <w:r>
        <w:t>териала. При лечении бронхопневмонии нами применялись средства, н</w:t>
      </w:r>
      <w:r>
        <w:t>а</w:t>
      </w:r>
      <w:r>
        <w:t>правленные на подавление микрофлоры и повышение неспецифической резистентности организма.</w:t>
      </w:r>
    </w:p>
    <w:p w:rsidR="00F4654E" w:rsidRDefault="00F4654E">
      <w:pPr>
        <w:pStyle w:val="a6"/>
      </w:pPr>
      <w:r>
        <w:t>Эффективность различных схем лечения определяли на двух опытных и контрольной группах телят. Схема 1 (контроль): Внутримышечно бе</w:t>
      </w:r>
      <w:r>
        <w:t>н</w:t>
      </w:r>
      <w:r>
        <w:t>зилпенициллина натриевая соль со стрептомицином по 500000 ЕД 2 раза в день. Внутрь хлорид аммония по 2 г два раза в день. Внутримышечно ци</w:t>
      </w:r>
      <w:r>
        <w:t>т</w:t>
      </w:r>
      <w:r>
        <w:t>ратная кровь по 5 мл 1 раз в три дня. Схема 2: Внутримышечно бензилп</w:t>
      </w:r>
      <w:r>
        <w:t>е</w:t>
      </w:r>
      <w:r>
        <w:t>нициллина натриевую соль со стрептомицином по 500000 ЕД два раза в день. Внутрь хлорид аммония по 2 г два раза в день. Внутритрахеально 10 мл 10%-ного  раствора норсульфазола натриевой соли, за 15 минут до его введения внутримышечно 4 мл 2,4%-ного раствора эуфиллина. Внутр</w:t>
      </w:r>
      <w:r>
        <w:t>и</w:t>
      </w:r>
      <w:r>
        <w:t>мышечно 5 мл цитратной крови один раз в три дня. Схема 3: Аналогично схеме 1, кроме введения не внутритрахеально, а дачи внутрь норсульфаз</w:t>
      </w:r>
      <w:r>
        <w:t>о</w:t>
      </w:r>
      <w:r>
        <w:t>ла натрия 1,5 г один раз в день.</w:t>
      </w:r>
    </w:p>
    <w:p w:rsidR="00F4654E" w:rsidRDefault="00F4654E">
      <w:pPr>
        <w:pStyle w:val="a6"/>
      </w:pPr>
      <w:r>
        <w:t>При применении комплексных схем лечения клинический статус и</w:t>
      </w:r>
      <w:r>
        <w:t>з</w:t>
      </w:r>
      <w:r>
        <w:t>меняется неодинаково,  так у телят первой опытной группы на 4-5 сутки лечения отмечалось отсутствие одышки, истечения из носовых отверстий, нормализация температуры тела, урежение кашля. При аускультацции о</w:t>
      </w:r>
      <w:r>
        <w:t>т</w:t>
      </w:r>
      <w:r>
        <w:t>мечалось жесткое везикулярное дыхание. На седьмые сутки состояние ст</w:t>
      </w:r>
      <w:r>
        <w:t>а</w:t>
      </w:r>
      <w:r>
        <w:t>билизировалось, результаты перкуссии и аускультации легких были без патологии, телята отлично принимали предложенный корм, хорошо реаг</w:t>
      </w:r>
      <w:r>
        <w:t>и</w:t>
      </w:r>
      <w:r>
        <w:t>ровали на внешние раздражители. Во второй опытной группе выздоровл</w:t>
      </w:r>
      <w:r>
        <w:t>е</w:t>
      </w:r>
      <w:r>
        <w:t xml:space="preserve">ние наступило на 8-9 сутки. </w:t>
      </w:r>
    </w:p>
    <w:p w:rsidR="00F4654E" w:rsidRDefault="00F4654E">
      <w:pPr>
        <w:pStyle w:val="a6"/>
      </w:pPr>
      <w:r>
        <w:t>При лечении животных по схеме 1 выздоровление проходило гораздо медленнее, на 5-6 сутки лечения отмечалось незначительное улучшение состояния: кашель менее интенсивный и более редкий, количество дых</w:t>
      </w:r>
      <w:r>
        <w:t>а</w:t>
      </w:r>
      <w:r>
        <w:t>тельных движений снизилось с 36 до 25. При аускультации отмечалось п</w:t>
      </w:r>
      <w:r>
        <w:t>е</w:t>
      </w:r>
      <w:r>
        <w:t>строе дыхание, при перкуссии отдельные очажки притупления. К 10-11 дню лечения у телят наступало выздоровление.</w:t>
      </w:r>
    </w:p>
    <w:p w:rsidR="00F4654E" w:rsidRDefault="00F4654E">
      <w:pPr>
        <w:pStyle w:val="a6"/>
      </w:pPr>
      <w:r>
        <w:t>При морфологическом исследовании крови в начале заболевания о</w:t>
      </w:r>
      <w:r>
        <w:t>т</w:t>
      </w:r>
      <w:r>
        <w:t>мечалось снижение количества гемоглобина и повышение лейкоцитов. П</w:t>
      </w:r>
      <w:r>
        <w:t>о</w:t>
      </w:r>
      <w:r>
        <w:t>сле применения комплексных схем лечения во всех трех группах эти пок</w:t>
      </w:r>
      <w:r>
        <w:t>а</w:t>
      </w:r>
      <w:r>
        <w:t>затели находились в пределах физиологической нормы.</w:t>
      </w:r>
    </w:p>
    <w:p w:rsidR="00F4654E" w:rsidRDefault="00F4654E">
      <w:pPr>
        <w:pStyle w:val="a6"/>
      </w:pPr>
      <w:r>
        <w:t>Таким образом, применение комплексного метода лечения телят, больных бронхопневмонией, состоящего из внутритрахеального введения раствора норсульфазола натрия, внутримышечного введения эуфиллина, бензинпеницилина натриевой соли и стрептомицина, и дачи внутрь хлор</w:t>
      </w:r>
      <w:r>
        <w:t>и</w:t>
      </w:r>
      <w:r>
        <w:lastRenderedPageBreak/>
        <w:t xml:space="preserve">стого аммония позволило сократить сроки лечения на 4 дня по сравнению с контрольной и на 2 дня со второй  опытной группой.  </w:t>
      </w:r>
    </w:p>
    <w:p w:rsidR="00F4654E" w:rsidRDefault="00F4654E">
      <w:pPr>
        <w:pStyle w:val="a4"/>
      </w:pPr>
      <w:r>
        <w:t>УДК  619:618/636.22/28</w:t>
      </w:r>
    </w:p>
    <w:p w:rsidR="00F4654E" w:rsidRDefault="00F4654E">
      <w:pPr>
        <w:pStyle w:val="1"/>
      </w:pPr>
      <w:bookmarkStart w:id="4186" w:name="_Toc10731500"/>
      <w:bookmarkStart w:id="4187" w:name="_Toc11137951"/>
      <w:bookmarkStart w:id="4188" w:name="_Toc11138369"/>
      <w:bookmarkStart w:id="4189" w:name="_Toc11138787"/>
      <w:bookmarkStart w:id="4190" w:name="_Toc11139205"/>
      <w:bookmarkStart w:id="4191" w:name="_Toc11139623"/>
      <w:bookmarkStart w:id="4192" w:name="_Toc11140041"/>
      <w:bookmarkStart w:id="4193" w:name="_Toc11140459"/>
      <w:bookmarkStart w:id="4194" w:name="_Toc11390567"/>
      <w:bookmarkStart w:id="4195" w:name="_Toc11840252"/>
      <w:bookmarkStart w:id="4196" w:name="_Toc11937788"/>
      <w:r>
        <w:t>ВЗАИМОСВЯЗЬ МАСТИТОВ И ГИНЕКОЛОГИЧЕСКИХ БОЛЕЗНЕЙ У КОРОВ</w:t>
      </w:r>
      <w:bookmarkEnd w:id="4186"/>
      <w:bookmarkEnd w:id="4187"/>
      <w:bookmarkEnd w:id="4188"/>
      <w:bookmarkEnd w:id="4189"/>
      <w:bookmarkEnd w:id="4190"/>
      <w:bookmarkEnd w:id="4191"/>
      <w:bookmarkEnd w:id="4192"/>
      <w:bookmarkEnd w:id="4193"/>
      <w:bookmarkEnd w:id="4194"/>
      <w:bookmarkEnd w:id="4195"/>
      <w:bookmarkEnd w:id="4196"/>
    </w:p>
    <w:p w:rsidR="00F4654E" w:rsidRDefault="00F4654E">
      <w:pPr>
        <w:pStyle w:val="2"/>
      </w:pPr>
      <w:bookmarkStart w:id="4197" w:name="_Toc10731501"/>
      <w:bookmarkStart w:id="4198" w:name="_Toc11032336"/>
      <w:bookmarkStart w:id="4199" w:name="_Toc11137952"/>
      <w:bookmarkStart w:id="4200" w:name="_Toc11138370"/>
      <w:bookmarkStart w:id="4201" w:name="_Toc11138788"/>
      <w:bookmarkStart w:id="4202" w:name="_Toc11139206"/>
      <w:bookmarkStart w:id="4203" w:name="_Toc11139624"/>
      <w:bookmarkStart w:id="4204" w:name="_Toc11140042"/>
      <w:bookmarkStart w:id="4205" w:name="_Toc11140460"/>
      <w:bookmarkStart w:id="4206" w:name="_Toc11390568"/>
      <w:bookmarkStart w:id="4207" w:name="_Toc11937789"/>
      <w:r>
        <w:t>Пономарев В.К.</w:t>
      </w:r>
      <w:bookmarkEnd w:id="4197"/>
      <w:bookmarkEnd w:id="4198"/>
      <w:bookmarkEnd w:id="4199"/>
      <w:bookmarkEnd w:id="4200"/>
      <w:bookmarkEnd w:id="4201"/>
      <w:bookmarkEnd w:id="4202"/>
      <w:bookmarkEnd w:id="4203"/>
      <w:bookmarkEnd w:id="4204"/>
      <w:bookmarkEnd w:id="4205"/>
      <w:bookmarkEnd w:id="4206"/>
      <w:bookmarkEnd w:id="4207"/>
    </w:p>
    <w:p w:rsidR="00F4654E" w:rsidRDefault="00F4654E">
      <w:pPr>
        <w:pStyle w:val="a5"/>
      </w:pPr>
      <w:r>
        <w:t>Оренбургский государственный аграрный университет</w:t>
      </w:r>
    </w:p>
    <w:p w:rsidR="00F4654E" w:rsidRDefault="00F4654E">
      <w:pPr>
        <w:pStyle w:val="a6"/>
      </w:pPr>
      <w:r>
        <w:t>Мастит у коров нередко протекает одновременно с болезнями пол</w:t>
      </w:r>
      <w:r>
        <w:t>о</w:t>
      </w:r>
      <w:r>
        <w:t>вых органов, что усугубляет патологический процесс, усложняет и сниж</w:t>
      </w:r>
      <w:r>
        <w:t>а</w:t>
      </w:r>
      <w:r>
        <w:t>ет эффективность лечения.</w:t>
      </w:r>
    </w:p>
    <w:p w:rsidR="00F4654E" w:rsidRDefault="00F4654E">
      <w:pPr>
        <w:pStyle w:val="a6"/>
      </w:pPr>
      <w:r>
        <w:t>Целью наших исследований было установить степень заболеваемости коров маститом, выявить частоту сочетания его с болезнями гениталий.</w:t>
      </w:r>
    </w:p>
    <w:p w:rsidR="00F4654E" w:rsidRDefault="00F4654E">
      <w:pPr>
        <w:pStyle w:val="a6"/>
      </w:pPr>
      <w:r>
        <w:t>Под наблюдением находились 620 коров симментальской и черно – пестрой породы, принадлежавших АОЗТ «Овощевод» г. Оренбурга. За ж</w:t>
      </w:r>
      <w:r>
        <w:t>и</w:t>
      </w:r>
      <w:r>
        <w:t>вотными вели регулярные клинические наблюдения в течение 1998 года. Мастит выявляли по мере заболеваемости коров, а субклинический - по р</w:t>
      </w:r>
      <w:r>
        <w:t>е</w:t>
      </w:r>
      <w:r>
        <w:t>зультатам регулярного исследования молока у всех животных в конце к</w:t>
      </w:r>
      <w:r>
        <w:t>а</w:t>
      </w:r>
      <w:r>
        <w:t>ждого месяца. Учитывали влияние мастита на сроки наступления родов, первой стадии возбуждения полового цикла и оплодотворения, индекс осеменения и количество дней бесплодия.</w:t>
      </w:r>
    </w:p>
    <w:p w:rsidR="00F4654E" w:rsidRDefault="00F4654E">
      <w:pPr>
        <w:pStyle w:val="a6"/>
      </w:pPr>
      <w:r>
        <w:t>Из общего числа больных коров у 25 (19,1 %) пораженной была одна доля, у 76 (58,0 %) - две, у 17 (13,0 %) - четыре доли. При субклиническом, серозном и катаральном мастите в воспалительный процесс были вовлеч</w:t>
      </w:r>
      <w:r>
        <w:t>е</w:t>
      </w:r>
      <w:r>
        <w:t>ны 1-2 доли, при гнойном - 1-3 доли, при фибринозном и геморрагическом - по 2-4 доли. Установили, что у 41,1-46,7 % коров мастит протекал одн</w:t>
      </w:r>
      <w:r>
        <w:t>о</w:t>
      </w:r>
      <w:r>
        <w:t>временно с болезнями матки и яичников .</w:t>
      </w:r>
    </w:p>
    <w:p w:rsidR="00F4654E" w:rsidRDefault="00F4654E">
      <w:pPr>
        <w:pStyle w:val="a6"/>
      </w:pPr>
      <w:r>
        <w:t>Наши исследования подтверждают сведения А.П. Береснева (1973), А.И. Ивашуры (1991) указывающие на нарушения воспроизводительной функции коров, больных маститом. По их мнению это происходит из-за переноса гематогенным путем (по промежностной вене) патогенных ми</w:t>
      </w:r>
      <w:r>
        <w:t>к</w:t>
      </w:r>
      <w:r>
        <w:t>роорганизмов и передачи рефлекторным путем болевых ощущений из м</w:t>
      </w:r>
      <w:r>
        <w:t>о</w:t>
      </w:r>
      <w:r>
        <w:t>лочной железы к половым органам.</w:t>
      </w:r>
    </w:p>
    <w:p w:rsidR="00F4654E" w:rsidRDefault="00F4654E">
      <w:pPr>
        <w:pStyle w:val="a6"/>
      </w:pPr>
      <w:r>
        <w:t>Исследования, по изучению влияния маститов на последующую во</w:t>
      </w:r>
      <w:r>
        <w:t>с</w:t>
      </w:r>
      <w:r>
        <w:t>производительную функцию, были продолжены на беременных лакт</w:t>
      </w:r>
      <w:r>
        <w:t>и</w:t>
      </w:r>
      <w:r>
        <w:t>рующих коровах, реагирующих на диагностикумы. Установлено, что у здоровых коров первая стадия возбуждения полового цикла наступила на 7,3 дня раньше, что существенно отличается от аналогичных показателей животных, переболевших маститом (р</w:t>
      </w:r>
      <w:r>
        <w:sym w:font="Symbol" w:char="F03C"/>
      </w:r>
      <w:r>
        <w:t>0,05). У здоровых коров, переб</w:t>
      </w:r>
      <w:r>
        <w:t>о</w:t>
      </w:r>
      <w:r>
        <w:t>левших маститом, по сравнению со здоровыми, индекс осеменения был выше на 0,3  (р</w:t>
      </w:r>
      <w:r>
        <w:sym w:font="Symbol" w:char="F03C"/>
      </w:r>
      <w:r>
        <w:t>0,01).</w:t>
      </w:r>
    </w:p>
    <w:p w:rsidR="00F4654E" w:rsidRDefault="00F4654E">
      <w:pPr>
        <w:pStyle w:val="a6"/>
      </w:pPr>
      <w:r>
        <w:t>Наиболее важным показателем воспроизводства являются сроки во</w:t>
      </w:r>
      <w:r>
        <w:t>с</w:t>
      </w:r>
      <w:r>
        <w:t>становления половой цикличности и способности коров к оплодотвор</w:t>
      </w:r>
      <w:r>
        <w:t>е</w:t>
      </w:r>
      <w:r>
        <w:lastRenderedPageBreak/>
        <w:t>нию. Анализ результатов осеменения показал, что за весь период набл</w:t>
      </w:r>
      <w:r>
        <w:t>ю</w:t>
      </w:r>
      <w:r>
        <w:t>дения у клинически здоровых животных, по сравнению с переболевшими, интервал от родов до оплодотворения был короче на 8,4 суток (р</w:t>
      </w:r>
      <w:r>
        <w:sym w:font="Symbol" w:char="F03C"/>
      </w:r>
      <w:r>
        <w:t>0,05).</w:t>
      </w:r>
    </w:p>
    <w:p w:rsidR="00F4654E" w:rsidRDefault="00F4654E">
      <w:pPr>
        <w:pStyle w:val="a6"/>
      </w:pPr>
      <w:r>
        <w:t>Длительность бесплодия у коров первой группы составила 31,9 дня, тогда как у переболевших маститом - 40,3 суток. Уровень достоверности (р</w:t>
      </w:r>
      <w:r>
        <w:sym w:font="Symbol" w:char="F03C"/>
      </w:r>
      <w:r>
        <w:t>0,05).</w:t>
      </w:r>
    </w:p>
    <w:p w:rsidR="00F4654E" w:rsidRDefault="00F4654E">
      <w:pPr>
        <w:pStyle w:val="a6"/>
      </w:pPr>
      <w:r>
        <w:t>Таким образом, у 44,3 % коров мастит протекает одновременно с г</w:t>
      </w:r>
      <w:r>
        <w:t>и</w:t>
      </w:r>
      <w:r>
        <w:t>некологическими болезнями. По сравнению со здоровыми животными у них позднее наступает первая после родов стадия возбуждения полового цикла и оплодотворения, увеличивается индекс осеменения и количество дней бесплодия. Анализ полученных результатов согласуется с данными В.И. Рубцова (1980), Е.В. Ильинского (1983), А.Ф. Колчиной (1983). Ими установлено, что воспаление вымени вызывает удлинение срока инвол</w:t>
      </w:r>
      <w:r>
        <w:t>ю</w:t>
      </w:r>
      <w:r>
        <w:t>ции репродуктивных органов и продолжительности сервис-периода.</w:t>
      </w:r>
    </w:p>
    <w:p w:rsidR="00F4654E" w:rsidRDefault="00F4654E">
      <w:pPr>
        <w:pStyle w:val="a4"/>
      </w:pPr>
      <w:bookmarkStart w:id="4208" w:name="_Toc10731502"/>
      <w:r>
        <w:t>УДК 619:618.2/.7.636.22/28</w:t>
      </w:r>
    </w:p>
    <w:p w:rsidR="00F4654E" w:rsidRDefault="00F4654E">
      <w:pPr>
        <w:pStyle w:val="1"/>
      </w:pPr>
      <w:bookmarkStart w:id="4209" w:name="_Toc10731504"/>
      <w:bookmarkStart w:id="4210" w:name="_Toc11137953"/>
      <w:bookmarkStart w:id="4211" w:name="_Toc11138371"/>
      <w:bookmarkStart w:id="4212" w:name="_Toc11138789"/>
      <w:bookmarkStart w:id="4213" w:name="_Toc11139207"/>
      <w:bookmarkStart w:id="4214" w:name="_Toc11139625"/>
      <w:bookmarkStart w:id="4215" w:name="_Toc11140043"/>
      <w:bookmarkStart w:id="4216" w:name="_Toc11140461"/>
      <w:bookmarkStart w:id="4217" w:name="_Toc11390569"/>
      <w:bookmarkStart w:id="4218" w:name="_Toc11840254"/>
      <w:bookmarkStart w:id="4219" w:name="_Toc11937790"/>
      <w:r>
        <w:t>ПРОБЛЕМЫ ВОСПРОИЗВОДСТВА КРУПНОГО РОГАТОГО СКОТА</w:t>
      </w:r>
      <w:bookmarkEnd w:id="4209"/>
      <w:bookmarkEnd w:id="4210"/>
      <w:bookmarkEnd w:id="4211"/>
      <w:bookmarkEnd w:id="4212"/>
      <w:bookmarkEnd w:id="4213"/>
      <w:bookmarkEnd w:id="4214"/>
      <w:bookmarkEnd w:id="4215"/>
      <w:bookmarkEnd w:id="4216"/>
      <w:bookmarkEnd w:id="4217"/>
      <w:bookmarkEnd w:id="4218"/>
      <w:bookmarkEnd w:id="4219"/>
    </w:p>
    <w:p w:rsidR="00F4654E" w:rsidRDefault="00F4654E">
      <w:pPr>
        <w:pStyle w:val="2"/>
      </w:pPr>
      <w:bookmarkStart w:id="4220" w:name="_Toc10731505"/>
      <w:bookmarkStart w:id="4221" w:name="_Toc11032338"/>
      <w:bookmarkStart w:id="4222" w:name="_Toc11137954"/>
      <w:bookmarkStart w:id="4223" w:name="_Toc11138372"/>
      <w:bookmarkStart w:id="4224" w:name="_Toc11138790"/>
      <w:bookmarkStart w:id="4225" w:name="_Toc11139208"/>
      <w:bookmarkStart w:id="4226" w:name="_Toc11139626"/>
      <w:bookmarkStart w:id="4227" w:name="_Toc11140044"/>
      <w:bookmarkStart w:id="4228" w:name="_Toc11140462"/>
      <w:bookmarkStart w:id="4229" w:name="_Toc11390570"/>
      <w:bookmarkStart w:id="4230" w:name="_Toc11937791"/>
      <w:r>
        <w:t>Попов Ю.Г.</w:t>
      </w:r>
      <w:bookmarkEnd w:id="4220"/>
      <w:bookmarkEnd w:id="4221"/>
      <w:bookmarkEnd w:id="4222"/>
      <w:bookmarkEnd w:id="4223"/>
      <w:bookmarkEnd w:id="4224"/>
      <w:bookmarkEnd w:id="4225"/>
      <w:bookmarkEnd w:id="4226"/>
      <w:bookmarkEnd w:id="4227"/>
      <w:bookmarkEnd w:id="4228"/>
      <w:bookmarkEnd w:id="4229"/>
      <w:bookmarkEnd w:id="4230"/>
    </w:p>
    <w:p w:rsidR="00F4654E" w:rsidRDefault="00F4654E">
      <w:pPr>
        <w:pStyle w:val="a5"/>
      </w:pPr>
      <w:r>
        <w:t>Новосибирский государственный аграрный университет</w:t>
      </w:r>
    </w:p>
    <w:p w:rsidR="00F4654E" w:rsidRDefault="00F4654E">
      <w:pPr>
        <w:pStyle w:val="a6"/>
      </w:pPr>
      <w:r>
        <w:t>Среди незаразных заболеваний важное место занимают болезни, св</w:t>
      </w:r>
      <w:r>
        <w:t>я</w:t>
      </w:r>
      <w:r>
        <w:t xml:space="preserve">занные с воспроизводством поголовья: задержание последа, эндометриты, патологии молочной железы, рождение слабого приплода, заболевающего в первые дни жизни желудочно-кишечными, а затем и респираторными болезнями. </w:t>
      </w:r>
    </w:p>
    <w:p w:rsidR="00F4654E" w:rsidRDefault="00F4654E">
      <w:pPr>
        <w:pStyle w:val="a6"/>
      </w:pPr>
      <w:r>
        <w:t>Основными причинами такого рода заболеваний являются качество кормов (протеин, клетчатка, энергия и т.п.), глубокие нарушения обмена веществ (дисфункция эндокринной системы, гепатозы, кетоз, снижение общей и местной резистентности тканей), отсутствие систематического а</w:t>
      </w:r>
      <w:r>
        <w:t>к</w:t>
      </w:r>
      <w:r>
        <w:t>тивного моциона (общая гиподинамия, атония матки, скопление в ней с</w:t>
      </w:r>
      <w:r>
        <w:t>о</w:t>
      </w:r>
      <w:r>
        <w:t>держимого и развитие условно-патогенной микрофлоры), антисанитарное состояние помещений (отсутствие дезинфекции, накопление микрофлоры).</w:t>
      </w:r>
    </w:p>
    <w:p w:rsidR="00F4654E" w:rsidRDefault="00F4654E">
      <w:pPr>
        <w:pStyle w:val="a6"/>
      </w:pPr>
      <w:r>
        <w:t>Качественный состав микрофлоры родовых путей здоровых самок во многом аналогичен основным группам обитателей тела будущего молод</w:t>
      </w:r>
      <w:r>
        <w:t>о</w:t>
      </w:r>
      <w:r>
        <w:t>го организма. В норме эта микрофлора является первой, с которой встреч</w:t>
      </w:r>
      <w:r>
        <w:t>а</w:t>
      </w:r>
      <w:r>
        <w:t>ется еще стерильный плод при прохождении родовых путей. Таким обр</w:t>
      </w:r>
      <w:r>
        <w:t>а</w:t>
      </w:r>
      <w:r>
        <w:t>зом, бактерии родовых путей являются первой расплодкой микрофлоры, которая заселяет организм новорожденного. У здоровых самок это пр</w:t>
      </w:r>
      <w:r>
        <w:t>е</w:t>
      </w:r>
      <w:r>
        <w:t>имущественно лакто-, бифидофлора, энтерококки и незначительное кол</w:t>
      </w:r>
      <w:r>
        <w:t>и</w:t>
      </w:r>
      <w:r>
        <w:t>чество апатогенных энтеробактерий. При гинекологических патологиях это преимущественно энтеробактерии, стафилококки и другие микроорг</w:t>
      </w:r>
      <w:r>
        <w:t>а</w:t>
      </w:r>
      <w:r>
        <w:t xml:space="preserve">низмы с выраженной патогенностью. Причем в абсолютном большинстве </w:t>
      </w:r>
      <w:r>
        <w:lastRenderedPageBreak/>
        <w:t>случаев распространены ассоциированные инфекции. По данным бол</w:t>
      </w:r>
      <w:r>
        <w:t>ь</w:t>
      </w:r>
      <w:r>
        <w:t xml:space="preserve">шинства авторов на моноинфекции приходится не более 5-8 %. </w:t>
      </w:r>
    </w:p>
    <w:p w:rsidR="00F4654E" w:rsidRDefault="00F4654E">
      <w:pPr>
        <w:pStyle w:val="a6"/>
      </w:pPr>
      <w:r>
        <w:t>Теоретическую и практическую значимость имеют отношения между скрытой формой мастита и гинекологическими болезнями у коров. При скрытой форме мастита наиболее часто, по литературным и нашим да</w:t>
      </w:r>
      <w:r>
        <w:t>н</w:t>
      </w:r>
      <w:r>
        <w:t>ным, выявляются гипофункция яичников (40-45 %), эндометриты (10-15 %) и кисты яичников (8-12 %), реже персистентные желтые тела, субинв</w:t>
      </w:r>
      <w:r>
        <w:t>о</w:t>
      </w:r>
      <w:r>
        <w:t>люция матки и сальпингит. Это обусловлено тем, что у коров молочная железа и половые органы имеют общую кровеносную и лимфатическую системы, между ними посредством нервных проводящих путей, опосред</w:t>
      </w:r>
      <w:r>
        <w:t>о</w:t>
      </w:r>
      <w:r>
        <w:t>ванных через гипоталамо-гипофизарную систему, осуществляется рефле</w:t>
      </w:r>
      <w:r>
        <w:t>к</w:t>
      </w:r>
      <w:r>
        <w:t xml:space="preserve">торная связь. </w:t>
      </w:r>
    </w:p>
    <w:p w:rsidR="00F4654E" w:rsidRDefault="00F4654E">
      <w:pPr>
        <w:pStyle w:val="a6"/>
      </w:pPr>
      <w:r>
        <w:t>Поэтому необходимо осуществлять комплексный подход к решению представленной проблемы, проводить своевременную профилактику и л</w:t>
      </w:r>
      <w:r>
        <w:t>е</w:t>
      </w:r>
      <w:r>
        <w:t>чение гинекологических патологий у коров, что позволит предотвращать заболевания у них молочной железы и, в конечном итоге, успешно проф</w:t>
      </w:r>
      <w:r>
        <w:t>и</w:t>
      </w:r>
      <w:r>
        <w:t>лактировать желудочно-кишечные и возникающие позднее респираторные болезни молодняка.</w:t>
      </w:r>
    </w:p>
    <w:p w:rsidR="00F4654E" w:rsidRDefault="00F4654E">
      <w:pPr>
        <w:pStyle w:val="1"/>
      </w:pPr>
      <w:bookmarkStart w:id="4231" w:name="_Toc11137955"/>
      <w:bookmarkStart w:id="4232" w:name="_Toc11138373"/>
      <w:bookmarkStart w:id="4233" w:name="_Toc11138791"/>
      <w:bookmarkStart w:id="4234" w:name="_Toc11139209"/>
      <w:bookmarkStart w:id="4235" w:name="_Toc11139627"/>
      <w:bookmarkStart w:id="4236" w:name="_Toc11140045"/>
      <w:bookmarkStart w:id="4237" w:name="_Toc11140463"/>
      <w:bookmarkStart w:id="4238" w:name="_Toc11390571"/>
      <w:bookmarkStart w:id="4239" w:name="_Toc11840256"/>
      <w:bookmarkStart w:id="4240" w:name="_Toc11937792"/>
      <w:r>
        <w:t xml:space="preserve">НОВОЕ В ПРОФИЛАКТИКЕ И ЛЕЧЕНИИ МАСТИТОВ У СВИНОМАТОК </w:t>
      </w:r>
      <w:r>
        <w:br/>
        <w:t>И ДИАРЕЙ У ПОРОСЯТ-СОСУНОВ</w:t>
      </w:r>
      <w:bookmarkEnd w:id="4208"/>
      <w:bookmarkEnd w:id="4231"/>
      <w:bookmarkEnd w:id="4232"/>
      <w:bookmarkEnd w:id="4233"/>
      <w:bookmarkEnd w:id="4234"/>
      <w:bookmarkEnd w:id="4235"/>
      <w:bookmarkEnd w:id="4236"/>
      <w:bookmarkEnd w:id="4237"/>
      <w:bookmarkEnd w:id="4238"/>
      <w:bookmarkEnd w:id="4239"/>
      <w:bookmarkEnd w:id="4240"/>
    </w:p>
    <w:p w:rsidR="00F4654E" w:rsidRDefault="00F4654E">
      <w:pPr>
        <w:pStyle w:val="2"/>
      </w:pPr>
      <w:bookmarkStart w:id="4241" w:name="_Toc10731503"/>
      <w:bookmarkStart w:id="4242" w:name="_Toc11032337"/>
      <w:bookmarkStart w:id="4243" w:name="_Toc11137956"/>
      <w:bookmarkStart w:id="4244" w:name="_Toc11138374"/>
      <w:bookmarkStart w:id="4245" w:name="_Toc11138792"/>
      <w:bookmarkStart w:id="4246" w:name="_Toc11139210"/>
      <w:bookmarkStart w:id="4247" w:name="_Toc11139628"/>
      <w:bookmarkStart w:id="4248" w:name="_Toc11140046"/>
      <w:bookmarkStart w:id="4249" w:name="_Toc11140464"/>
      <w:bookmarkStart w:id="4250" w:name="_Toc11390572"/>
      <w:bookmarkStart w:id="4251" w:name="_Toc11937793"/>
      <w:r>
        <w:t>Попов Ю.Г.</w:t>
      </w:r>
      <w:bookmarkEnd w:id="4241"/>
      <w:bookmarkEnd w:id="4242"/>
      <w:bookmarkEnd w:id="4243"/>
      <w:bookmarkEnd w:id="4244"/>
      <w:bookmarkEnd w:id="4245"/>
      <w:bookmarkEnd w:id="4246"/>
      <w:bookmarkEnd w:id="4247"/>
      <w:bookmarkEnd w:id="4248"/>
      <w:bookmarkEnd w:id="4249"/>
      <w:bookmarkEnd w:id="4250"/>
      <w:bookmarkEnd w:id="4251"/>
    </w:p>
    <w:p w:rsidR="00F4654E" w:rsidRDefault="00F4654E">
      <w:pPr>
        <w:pStyle w:val="a5"/>
      </w:pPr>
      <w:r>
        <w:t xml:space="preserve">Новосибирский государственный аграрный университет </w:t>
      </w:r>
    </w:p>
    <w:p w:rsidR="00F4654E" w:rsidRDefault="00F4654E">
      <w:pPr>
        <w:pStyle w:val="a5"/>
      </w:pPr>
      <w:r>
        <w:t>ЗАО «Росветфарм»</w:t>
      </w:r>
    </w:p>
    <w:p w:rsidR="00F4654E" w:rsidRDefault="00F4654E">
      <w:pPr>
        <w:pStyle w:val="a6"/>
      </w:pPr>
      <w:r>
        <w:t>Послеродовые маститы свиноматок и связанная с ними дисбактерио</w:t>
      </w:r>
      <w:r>
        <w:t>з</w:t>
      </w:r>
      <w:r>
        <w:t>ная диарея у поросят-сосунов представляют серьезную проблему. Хотя для профилактики и лечения указанных патологий предложено много разли</w:t>
      </w:r>
      <w:r>
        <w:t>ч</w:t>
      </w:r>
      <w:r>
        <w:t>ных лекарственных средств, проблема остается нерешенной. Сложность заключается в том, что больные поросята не едят и не пьют, что не позв</w:t>
      </w:r>
      <w:r>
        <w:t>о</w:t>
      </w:r>
      <w:r>
        <w:t>ляет применять им лекарства с кормом или водой. Вводить же лекарства парентерально трудоемко и хлопотно.</w:t>
      </w:r>
    </w:p>
    <w:p w:rsidR="00F4654E" w:rsidRDefault="00F4654E">
      <w:pPr>
        <w:pStyle w:val="a6"/>
      </w:pPr>
      <w:r>
        <w:t>В связи с вышесказанным представляет интерес трансдермальный препарат перкутан (разработчик – ЗАО "Росветфарм"). Перкутан (ТУ 9336-001-16923913-00) представляет собой раствор желтого цвета со специф</w:t>
      </w:r>
      <w:r>
        <w:t>и</w:t>
      </w:r>
      <w:r>
        <w:t>ческим запахом, содержащий антимикробные, противовоспалительные, репаративные вещества в комплексном растворителе. Препарат наносят на кожу вымени свиноматки из баллончика 2 раза в день на 2-й и 3-й дни п</w:t>
      </w:r>
      <w:r>
        <w:t>о</w:t>
      </w:r>
      <w:r>
        <w:t>сле опороса. Перкутан легко проникает через неповрежденную кожу в п</w:t>
      </w:r>
      <w:r>
        <w:t>а</w:t>
      </w:r>
      <w:r>
        <w:t xml:space="preserve">кеты молочных желез и, действуя антимикробно и противовоспалительно, способствует прекращению мастита. </w:t>
      </w:r>
    </w:p>
    <w:p w:rsidR="00F4654E" w:rsidRDefault="00F4654E">
      <w:pPr>
        <w:pStyle w:val="a6"/>
      </w:pPr>
      <w:r>
        <w:t>С молоком матери действующие вещества препарата попадают в ж</w:t>
      </w:r>
      <w:r>
        <w:t>е</w:t>
      </w:r>
      <w:r>
        <w:t xml:space="preserve">лудочно-кишечный тракт поросят, подавляя рост потенциально патогенной микрофлоры и прекращая диарею в течение 24-48 часов. Препарат наносят </w:t>
      </w:r>
      <w:r>
        <w:lastRenderedPageBreak/>
        <w:t>на вымя после отсасывания молока поросятами, что повышает профила</w:t>
      </w:r>
      <w:r>
        <w:t>к</w:t>
      </w:r>
      <w:r>
        <w:t>тический и лечебный эффект.</w:t>
      </w:r>
    </w:p>
    <w:p w:rsidR="00F4654E" w:rsidRDefault="00F4654E">
      <w:pPr>
        <w:pStyle w:val="a6"/>
      </w:pPr>
      <w:r>
        <w:t>Профилактическое применение Перкутана необходимо группам св</w:t>
      </w:r>
      <w:r>
        <w:t>и</w:t>
      </w:r>
      <w:r>
        <w:t>номаток, у которых наблюдался значительный отход поросят в первую н</w:t>
      </w:r>
      <w:r>
        <w:t>е</w:t>
      </w:r>
      <w:r>
        <w:t>делю жизни, и в группах проверяемых свиноматок.</w:t>
      </w:r>
    </w:p>
    <w:p w:rsidR="00F4654E" w:rsidRDefault="00F4654E">
      <w:pPr>
        <w:pStyle w:val="a6"/>
      </w:pPr>
      <w:r>
        <w:t>Опыты по применению перкутана для профилактики диареи у пор</w:t>
      </w:r>
      <w:r>
        <w:t>о</w:t>
      </w:r>
      <w:r>
        <w:t>сят-сосунов были проведены нами в 90-е гг. Эффективность препарата б</w:t>
      </w:r>
      <w:r>
        <w:t>ы</w:t>
      </w:r>
      <w:r>
        <w:t>ла проверена в ряде крупных хозяйств и комплексов Новосибирской и О</w:t>
      </w:r>
      <w:r>
        <w:t>м</w:t>
      </w:r>
      <w:r>
        <w:t>ской областей.</w:t>
      </w:r>
    </w:p>
    <w:p w:rsidR="00F4654E" w:rsidRDefault="00F4654E">
      <w:pPr>
        <w:pStyle w:val="a6"/>
      </w:pPr>
      <w:r>
        <w:t>Первый опыт проведен в Чунаевском свинокомплексе совхоза "Л</w:t>
      </w:r>
      <w:r>
        <w:t>у</w:t>
      </w:r>
      <w:r>
        <w:t>зинский" Омской области. Для проведения опыта были отобраны 60 оп</w:t>
      </w:r>
      <w:r>
        <w:t>о</w:t>
      </w:r>
      <w:r>
        <w:t>росившихся свиноматок, которых разделили на две группы – опытную (48 голов) и контрольную (12 голов). Свиноматкам опытной группы примен</w:t>
      </w:r>
      <w:r>
        <w:t>я</w:t>
      </w:r>
      <w:r>
        <w:t>ли перкутан в дозе 15 мл на кожу вымени со 2-го дня после опороса 2 раза в день в течение 2-х дней. Контрольной группе животных препарат не применяли. Ежедневно проводили осмотр свиноматок и поросят, учет з</w:t>
      </w:r>
      <w:r>
        <w:t>а</w:t>
      </w:r>
      <w:r>
        <w:t>болевших и павших от диареи и других причин (задавленные, уродцы, г</w:t>
      </w:r>
      <w:r>
        <w:t>и</w:t>
      </w:r>
      <w:r>
        <w:t>потрофики и др.).</w:t>
      </w:r>
    </w:p>
    <w:p w:rsidR="00F4654E" w:rsidRDefault="00F4654E">
      <w:pPr>
        <w:pStyle w:val="a6"/>
      </w:pPr>
      <w:r>
        <w:t xml:space="preserve">Применение Перкутана для профилактики и раннего лечения диареи у поросят в возрасте 1-5 дней позволило снизить заболеваемость в 4,2 раза (с 51,8 до 12;4 %), а падеж в 12,1 раза (с 10,9 до 0,9 %). </w:t>
      </w:r>
    </w:p>
    <w:p w:rsidR="00F4654E" w:rsidRDefault="00F4654E">
      <w:pPr>
        <w:pStyle w:val="a6"/>
      </w:pPr>
      <w:r>
        <w:t>Второй опыт проведен на 2-й очереди свинокомплекса совхоза "Ку</w:t>
      </w:r>
      <w:r>
        <w:t>д</w:t>
      </w:r>
      <w:r>
        <w:t>ряшовский" Новосибирской области. Для проведения опыта были отобр</w:t>
      </w:r>
      <w:r>
        <w:t>а</w:t>
      </w:r>
      <w:r>
        <w:t>ны основные и проверяемые свиноматки в количестве 56 голов, которых разделили на две группы – опытную (34 головы) и контрольную ( 22 гол</w:t>
      </w:r>
      <w:r>
        <w:t>о</w:t>
      </w:r>
      <w:r>
        <w:t>вы). Свиноматкам опытной группы применяли перкутан по указанной в</w:t>
      </w:r>
      <w:r>
        <w:t>ы</w:t>
      </w:r>
      <w:r>
        <w:t xml:space="preserve">ше схеме. Контрольной группе животных препарат не применяли. </w:t>
      </w:r>
    </w:p>
    <w:p w:rsidR="00F4654E" w:rsidRDefault="00F4654E">
      <w:pPr>
        <w:pStyle w:val="a6"/>
      </w:pPr>
      <w:r>
        <w:t xml:space="preserve">Применение перкутана для профилактики и раннего лечения диареи у поросят в возрасте 1-5 дней позволило снизить заболеваемость в 3,1 раза (с 49,8 до 15,9 %), а падеж в 20 раз (с 6,0 до 0,3 %). </w:t>
      </w:r>
    </w:p>
    <w:p w:rsidR="00F4654E" w:rsidRDefault="00F4654E">
      <w:pPr>
        <w:pStyle w:val="a6"/>
      </w:pPr>
      <w:r>
        <w:t>Третий опыт проведен на свинокомплексе совхоза "Коченевский" Н</w:t>
      </w:r>
      <w:r>
        <w:t>о</w:t>
      </w:r>
      <w:r>
        <w:t>восибирской области. Были отобраны основные и проверяемые свинома</w:t>
      </w:r>
      <w:r>
        <w:t>т</w:t>
      </w:r>
      <w:r>
        <w:t>ки в количестве 20 голов с признаками мастита и их поросята (224 головы). Свиноматкам применяли перкутан в дозе 10-15 мл на кожу вымени 2 раза в день до выздоровления. Ежедневно проводили осмотр свиноматок и пор</w:t>
      </w:r>
      <w:r>
        <w:t>о</w:t>
      </w:r>
      <w:r>
        <w:t xml:space="preserve">сят, учет заболевших, выздоровевших и павших от диареи поросят. </w:t>
      </w:r>
    </w:p>
    <w:p w:rsidR="00F4654E" w:rsidRDefault="00F4654E">
      <w:pPr>
        <w:pStyle w:val="a6"/>
      </w:pPr>
      <w:r>
        <w:t xml:space="preserve">Перкутан оказался эффективен при маститах у свиноматок и диареях у поросят, обеспечивая лечебный эффект свыше 95 % (выздоровело 19 свиноматок из 20 и 60 поросят из 63). </w:t>
      </w:r>
    </w:p>
    <w:p w:rsidR="00F4654E" w:rsidRDefault="00F4654E">
      <w:pPr>
        <w:pStyle w:val="a6"/>
      </w:pPr>
      <w:r>
        <w:t>В результате проведенных исследований для лечения маститов у св</w:t>
      </w:r>
      <w:r>
        <w:t>и</w:t>
      </w:r>
      <w:r>
        <w:t>номаток и профилактики и лечения диареи у поросят-сосунов предложен трансдермальный препарат Перкутан. Препарат показал высокий лечебный эффект при маститах у свиноматок (свыше 95 %). Животные выздоравл</w:t>
      </w:r>
      <w:r>
        <w:t>и</w:t>
      </w:r>
      <w:r>
        <w:lastRenderedPageBreak/>
        <w:t>вали в течение 3–4 дней. Перкутан обладал хорошим профилактическим эффектом при диареях у поросят, снижая заболеваемость в 3-4 раза. Пр</w:t>
      </w:r>
      <w:r>
        <w:t>и</w:t>
      </w:r>
      <w:r>
        <w:t>менение Перкутана оказывало высокий лечебный эффект при диареях у поросят и снижало падеж до 0,3-0,9 %. Поросята выздоравливали в течение 2–3 дней. Препарат прост в применении, его могут использовать операт</w:t>
      </w:r>
      <w:r>
        <w:t>о</w:t>
      </w:r>
      <w:r>
        <w:t>ры-свинари без участия ветеринарных специалистов.</w:t>
      </w:r>
    </w:p>
    <w:p w:rsidR="00F4654E" w:rsidRDefault="00F4654E">
      <w:pPr>
        <w:pStyle w:val="a4"/>
      </w:pPr>
      <w:r>
        <w:t>УДК 619:616.98:579.842.14:615.281:636.4.082.35</w:t>
      </w:r>
    </w:p>
    <w:p w:rsidR="00F4654E" w:rsidRDefault="00F4654E">
      <w:pPr>
        <w:pStyle w:val="1"/>
      </w:pPr>
      <w:bookmarkStart w:id="4252" w:name="_Toc10731506"/>
      <w:bookmarkStart w:id="4253" w:name="_Toc11137957"/>
      <w:bookmarkStart w:id="4254" w:name="_Toc11138375"/>
      <w:bookmarkStart w:id="4255" w:name="_Toc11138793"/>
      <w:bookmarkStart w:id="4256" w:name="_Toc11139211"/>
      <w:bookmarkStart w:id="4257" w:name="_Toc11139629"/>
      <w:bookmarkStart w:id="4258" w:name="_Toc11140047"/>
      <w:bookmarkStart w:id="4259" w:name="_Toc11140465"/>
      <w:bookmarkStart w:id="4260" w:name="_Toc11390573"/>
      <w:bookmarkStart w:id="4261" w:name="_Toc11840258"/>
      <w:bookmarkStart w:id="4262" w:name="_Toc11937794"/>
      <w:r>
        <w:t>ЧУВСТВИТЕЛЬНОСТЬ ВОЗБУДИТЕЛЕЙ ЭНТЕРОИНФЕКЦИЙ У ПОРОСЯТ К МИРАМИСТИНУ</w:t>
      </w:r>
      <w:bookmarkEnd w:id="4252"/>
      <w:bookmarkEnd w:id="4253"/>
      <w:bookmarkEnd w:id="4254"/>
      <w:bookmarkEnd w:id="4255"/>
      <w:bookmarkEnd w:id="4256"/>
      <w:bookmarkEnd w:id="4257"/>
      <w:bookmarkEnd w:id="4258"/>
      <w:bookmarkEnd w:id="4259"/>
      <w:bookmarkEnd w:id="4260"/>
      <w:bookmarkEnd w:id="4261"/>
      <w:bookmarkEnd w:id="4262"/>
    </w:p>
    <w:p w:rsidR="00F4654E" w:rsidRDefault="00F4654E">
      <w:pPr>
        <w:pStyle w:val="2"/>
      </w:pPr>
      <w:bookmarkStart w:id="4263" w:name="_Toc10731507"/>
      <w:bookmarkStart w:id="4264" w:name="_Toc11032339"/>
      <w:bookmarkStart w:id="4265" w:name="_Toc11137958"/>
      <w:bookmarkStart w:id="4266" w:name="_Toc11138376"/>
      <w:bookmarkStart w:id="4267" w:name="_Toc11138794"/>
      <w:bookmarkStart w:id="4268" w:name="_Toc11139212"/>
      <w:bookmarkStart w:id="4269" w:name="_Toc11139630"/>
      <w:bookmarkStart w:id="4270" w:name="_Toc11140048"/>
      <w:bookmarkStart w:id="4271" w:name="_Toc11140466"/>
      <w:bookmarkStart w:id="4272" w:name="_Toc11390574"/>
      <w:bookmarkStart w:id="4273" w:name="_Toc11937795"/>
      <w:r>
        <w:t>Пояркова Т.В., Кузьмин Г.Н., Скогорева А.М.</w:t>
      </w:r>
      <w:bookmarkEnd w:id="4263"/>
      <w:bookmarkEnd w:id="4264"/>
      <w:bookmarkEnd w:id="4265"/>
      <w:bookmarkEnd w:id="4266"/>
      <w:bookmarkEnd w:id="4267"/>
      <w:bookmarkEnd w:id="4268"/>
      <w:bookmarkEnd w:id="4269"/>
      <w:bookmarkEnd w:id="4270"/>
      <w:bookmarkEnd w:id="4271"/>
      <w:bookmarkEnd w:id="4272"/>
      <w:bookmarkEnd w:id="4273"/>
    </w:p>
    <w:p w:rsidR="00F4654E" w:rsidRDefault="00F4654E">
      <w:pPr>
        <w:pStyle w:val="a5"/>
      </w:pPr>
      <w:r>
        <w:t>Воронежский государственный аграрный университет им. К.Д. Глинки</w:t>
      </w:r>
    </w:p>
    <w:p w:rsidR="00F4654E" w:rsidRDefault="00F4654E">
      <w:pPr>
        <w:pStyle w:val="a6"/>
      </w:pPr>
      <w:r>
        <w:t>Для терапии животных, больных инфекционными желудочно-кишеч-ными болезнями, предложены и широко используются антибиотики, сул</w:t>
      </w:r>
      <w:r>
        <w:t>ь</w:t>
      </w:r>
      <w:r>
        <w:t xml:space="preserve">фаниламиды, нитрофураны и другие препараты. </w:t>
      </w:r>
      <w:r>
        <w:tab/>
      </w:r>
    </w:p>
    <w:p w:rsidR="00F4654E" w:rsidRDefault="00F4654E">
      <w:pPr>
        <w:pStyle w:val="a6"/>
      </w:pPr>
      <w:r>
        <w:t>Известно, что к большинству из них вырабатывается резистентность микроорганизмов. Например, эшерихии и сальмонеллы быстро приобр</w:t>
      </w:r>
      <w:r>
        <w:t>е</w:t>
      </w:r>
      <w:r>
        <w:t>тают лекарственную устойчивость, как в эксперименте, так и в произво</w:t>
      </w:r>
      <w:r>
        <w:t>д</w:t>
      </w:r>
      <w:r>
        <w:t>ственных условиях (В.С. Хоменко и соавт., 1985; А.Г. Шахов, 1989; Л.И. Ефанова, 1997; Э.П. Карева и соавт., 1997 и др.). Данная особенность ба</w:t>
      </w:r>
      <w:r>
        <w:t>к</w:t>
      </w:r>
      <w:r>
        <w:t>терий диктует необходимость изыскания препаратов, обладающих иным механизмом действия на микробную клетку, чем вышеназванные средства. В этом плане перспективными являются препараты из группы поверхнос</w:t>
      </w:r>
      <w:r>
        <w:t>т</w:t>
      </w:r>
      <w:r>
        <w:t>но-активных веществ (детергентов). Они обладают высокими бактерици</w:t>
      </w:r>
      <w:r>
        <w:t>д</w:t>
      </w:r>
      <w:r>
        <w:t>ными свойствами и широким спектром действия, лекарственная устойч</w:t>
      </w:r>
      <w:r>
        <w:t>и</w:t>
      </w:r>
      <w:r>
        <w:t>вость к ним не развивается (Г.Е. Афиногенов, 1970, 1975; В.Н. Виденин и соавт., 1983). Одним из новых представителей этой группы является мир</w:t>
      </w:r>
      <w:r>
        <w:t>а</w:t>
      </w:r>
      <w:r>
        <w:t>мистин (мирастомидопропилдиметилбензил аммония хлорид), нашедший применение в широкой медицинской практике.</w:t>
      </w:r>
    </w:p>
    <w:p w:rsidR="00F4654E" w:rsidRDefault="00F4654E">
      <w:pPr>
        <w:pStyle w:val="a6"/>
      </w:pPr>
      <w:r>
        <w:t>Цель работы – изучить in vitro антимикробную активность мирам</w:t>
      </w:r>
      <w:r>
        <w:t>и</w:t>
      </w:r>
      <w:r>
        <w:t>стина в отношении музейных и полевых штаммов эшерихиозных и сал</w:t>
      </w:r>
      <w:r>
        <w:t>ь</w:t>
      </w:r>
      <w:r>
        <w:t>монеллезных культур.</w:t>
      </w:r>
    </w:p>
    <w:p w:rsidR="00F4654E" w:rsidRDefault="00F4654E">
      <w:pPr>
        <w:pStyle w:val="a6"/>
      </w:pPr>
      <w:r>
        <w:t>В качестве тест-культур в работе использовали референтные (S. breslau, S. dublin, S. thyphi</w:t>
      </w:r>
      <w:r w:rsidR="007A098E" w:rsidRPr="007A098E">
        <w:t xml:space="preserve"> </w:t>
      </w:r>
      <w:r>
        <w:t>murium, S. cholerae suis, E. сoli 0866) и полевые (S. cholerae suis variant america, S. cholerae suis variant runsendorf) штаммы возбудителей распространенных энтероинфекций поросят. Антимикро</w:t>
      </w:r>
      <w:r>
        <w:t>б</w:t>
      </w:r>
      <w:r>
        <w:t>ную активность мирамистина определяли методом серийных разведений. Для этого из основного раствора (0,01% раствор мирамистина) готовили последовательные двукратные разведения в мясо-пептонном бульоне (МПБ) в объеме 2 мл. В приготовленные разведения вносили суспензию суточной тест-культуры в изотоническом растворе натрия хлорида в кол</w:t>
      </w:r>
      <w:r>
        <w:t>и</w:t>
      </w:r>
      <w:r>
        <w:t>честве 0,2 мл. Посевы инкубировали при 37°С в термостате в течение 24-</w:t>
      </w:r>
      <w:r>
        <w:lastRenderedPageBreak/>
        <w:t>48 часов. По истечении срока инкубации учитывали результат. Минимал</w:t>
      </w:r>
      <w:r>
        <w:t>ь</w:t>
      </w:r>
      <w:r>
        <w:t>ную бактериостатическую концентрацию (МБсК) устанавливали с учетом признаков роста микроорганизмов на мясо-пептонном бульоне (МПБ) (п</w:t>
      </w:r>
      <w:r>
        <w:t>о</w:t>
      </w:r>
      <w:r>
        <w:t>мутнение, образование хлопьев, осадка и т.д.). Критерием МБсК считали концентрацию, которая вызывала задержку роста культуры микрооргани</w:t>
      </w:r>
      <w:r>
        <w:t>з</w:t>
      </w:r>
      <w:r>
        <w:t>мов. Для изучения бактерицидного действия препарата из последних пр</w:t>
      </w:r>
      <w:r>
        <w:t>о</w:t>
      </w:r>
      <w:r>
        <w:t>бирок с МПБ, где не было помутнения среды, делали посевы в чашки Пе</w:t>
      </w:r>
      <w:r>
        <w:t>т</w:t>
      </w:r>
      <w:r>
        <w:t>ри на плотные питательные среды (мясо-пептонный агар - МПА). Инкуб</w:t>
      </w:r>
      <w:r>
        <w:t>а</w:t>
      </w:r>
      <w:r>
        <w:t>цию проводили в термостате при температуре 37°С в течение 24-72 часов. Минимальной бактерицидной концентрацией (МБсК) считали ту, при к</w:t>
      </w:r>
      <w:r>
        <w:t>о</w:t>
      </w:r>
      <w:r>
        <w:t>торой отмечали полное угнетение роста тест-культур.</w:t>
      </w:r>
    </w:p>
    <w:p w:rsidR="00F4654E" w:rsidRDefault="00F4654E">
      <w:pPr>
        <w:pStyle w:val="a6"/>
      </w:pPr>
      <w:r>
        <w:t>Получены следующие результаты. К мирамистину чувствительны все используемые в опыте культуры в диапазоне 12,5-50 мкг/мл, причем их чувствительность почти одинаковая. Наряду с этим следует отметить и</w:t>
      </w:r>
      <w:r>
        <w:t>н</w:t>
      </w:r>
      <w:r>
        <w:t>гибирующее действие мирамистина на антибиотикоустойчивые микроо</w:t>
      </w:r>
      <w:r>
        <w:t>р</w:t>
      </w:r>
      <w:r>
        <w:t>ганизмы, обладающие резистентностью к отдельным антибиотикам (лев</w:t>
      </w:r>
      <w:r>
        <w:t>о</w:t>
      </w:r>
      <w:r>
        <w:t>мицетин, стрептомицин, тетрациклин и т.д.).</w:t>
      </w:r>
    </w:p>
    <w:p w:rsidR="00F4654E" w:rsidRDefault="00F4654E">
      <w:pPr>
        <w:pStyle w:val="a6"/>
      </w:pPr>
      <w:r>
        <w:t>Более чувствительными к мирамистину из испытанных культур ок</w:t>
      </w:r>
      <w:r>
        <w:t>а</w:t>
      </w:r>
      <w:r>
        <w:t>зались S. breslau, S. cholerae suis, Е. coli 0866 (музейные штаммы) и   S. сholerae suis var. runsendorf (полевой штамм). При добавлении в питател</w:t>
      </w:r>
      <w:r>
        <w:t>ь</w:t>
      </w:r>
      <w:r>
        <w:t>ную среду мирамистина в количестве 12,5 мкг/мл рост указанных микр</w:t>
      </w:r>
      <w:r>
        <w:t>о</w:t>
      </w:r>
      <w:r>
        <w:t>организмов прекращался, а концентрация препарата 25,0 мкг/мл (для S. breslau, E. coli 0866, S. cholerae suis var. runsendorf) и 50,0 мкг/мл (для S. cholerae suis) вызывала их гибель.</w:t>
      </w:r>
    </w:p>
    <w:p w:rsidR="00F4654E" w:rsidRDefault="00F4654E">
      <w:pPr>
        <w:pStyle w:val="a6"/>
      </w:pPr>
      <w:r>
        <w:t>Более резистентными к исследуемому препарату оказались S. thyphi</w:t>
      </w:r>
      <w:r w:rsidR="006840C8" w:rsidRPr="006840C8">
        <w:t xml:space="preserve"> </w:t>
      </w:r>
      <w:r>
        <w:t>murium, S. dublin (из музейных штаммов) и S. cholerae suis var. america (из полевых штаммов). Минимальная бактериостатическая концентрация с</w:t>
      </w:r>
      <w:r>
        <w:t>о</w:t>
      </w:r>
      <w:r>
        <w:t>ставила 12,5-25,0 мкг/мл (для S. dublin) и 25,0 мкг/мл (для S. thyphi</w:t>
      </w:r>
      <w:r w:rsidR="006840C8" w:rsidRPr="006840C8">
        <w:t xml:space="preserve"> </w:t>
      </w:r>
      <w:r>
        <w:t>murium и S. cholerae suis var. america), а минимальная бактерицидная концентрация – 25,0–50,0 мкг/мл и 50,0 мкг/мл, соответственно.</w:t>
      </w:r>
    </w:p>
    <w:p w:rsidR="00F4654E" w:rsidRDefault="00F4654E">
      <w:pPr>
        <w:pStyle w:val="a6"/>
      </w:pPr>
      <w:r>
        <w:t>Мирамистин обладает противомикробным действием по отношению к эшерихиям и сальмонеллам, в том числе и антибиотикоустойчивым, в ко</w:t>
      </w:r>
      <w:r>
        <w:t>н</w:t>
      </w:r>
      <w:r>
        <w:t>центрации 12,5-50,0 мкг/мл и перспективен для клинических испытаний при колибактериозе и сальмонеллезе у поросят.</w:t>
      </w:r>
    </w:p>
    <w:p w:rsidR="00F4654E" w:rsidRDefault="00F4654E">
      <w:pPr>
        <w:pStyle w:val="a4"/>
      </w:pPr>
      <w:r>
        <w:t>УДК 619:618.19-002:636.22/.28</w:t>
      </w:r>
    </w:p>
    <w:p w:rsidR="00F4654E" w:rsidRDefault="00F4654E">
      <w:pPr>
        <w:pStyle w:val="1"/>
      </w:pPr>
      <w:bookmarkStart w:id="4274" w:name="_Toc11137959"/>
      <w:bookmarkStart w:id="4275" w:name="_Toc11138377"/>
      <w:bookmarkStart w:id="4276" w:name="_Toc11138795"/>
      <w:bookmarkStart w:id="4277" w:name="_Toc11139213"/>
      <w:bookmarkStart w:id="4278" w:name="_Toc11139631"/>
      <w:bookmarkStart w:id="4279" w:name="_Toc11140049"/>
      <w:bookmarkStart w:id="4280" w:name="_Toc11140467"/>
      <w:bookmarkStart w:id="4281" w:name="_Toc11390575"/>
      <w:bookmarkStart w:id="4282" w:name="_Toc11840260"/>
      <w:bookmarkStart w:id="4283" w:name="_Toc11937796"/>
      <w:r>
        <w:t>РАСПРОСТРАНЕНИЕ И ФОРМЫ ПРОЯВЛЕНИЯ МАСТИТА У КОРОВ В СУХОСТОЙНЫЙ ПЕРИОД</w:t>
      </w:r>
      <w:bookmarkEnd w:id="4274"/>
      <w:bookmarkEnd w:id="4275"/>
      <w:bookmarkEnd w:id="4276"/>
      <w:bookmarkEnd w:id="4277"/>
      <w:bookmarkEnd w:id="4278"/>
      <w:bookmarkEnd w:id="4279"/>
      <w:bookmarkEnd w:id="4280"/>
      <w:bookmarkEnd w:id="4281"/>
      <w:bookmarkEnd w:id="4282"/>
      <w:bookmarkEnd w:id="4283"/>
    </w:p>
    <w:p w:rsidR="00F4654E" w:rsidRDefault="00F4654E">
      <w:pPr>
        <w:pStyle w:val="2"/>
      </w:pPr>
      <w:bookmarkStart w:id="4284" w:name="_Toc11032340"/>
      <w:bookmarkStart w:id="4285" w:name="_Toc11137960"/>
      <w:bookmarkStart w:id="4286" w:name="_Toc11138378"/>
      <w:bookmarkStart w:id="4287" w:name="_Toc11138796"/>
      <w:bookmarkStart w:id="4288" w:name="_Toc11139214"/>
      <w:bookmarkStart w:id="4289" w:name="_Toc11139632"/>
      <w:bookmarkStart w:id="4290" w:name="_Toc11140050"/>
      <w:bookmarkStart w:id="4291" w:name="_Toc11140468"/>
      <w:bookmarkStart w:id="4292" w:name="_Toc11390576"/>
      <w:bookmarkStart w:id="4293" w:name="_Toc11937797"/>
      <w:r>
        <w:t>Притыкин Н.В.</w:t>
      </w:r>
      <w:bookmarkEnd w:id="4284"/>
      <w:bookmarkEnd w:id="4285"/>
      <w:bookmarkEnd w:id="4286"/>
      <w:bookmarkEnd w:id="4287"/>
      <w:bookmarkEnd w:id="4288"/>
      <w:bookmarkEnd w:id="4289"/>
      <w:bookmarkEnd w:id="4290"/>
      <w:bookmarkEnd w:id="4291"/>
      <w:bookmarkEnd w:id="4292"/>
      <w:bookmarkEnd w:id="4293"/>
    </w:p>
    <w:p w:rsidR="00F4654E" w:rsidRDefault="00F4654E">
      <w:pPr>
        <w:pStyle w:val="a5"/>
      </w:pPr>
      <w:r>
        <w:t>Всероссийский НИВИ патологии, фармакологии и терапии</w:t>
      </w:r>
    </w:p>
    <w:p w:rsidR="00F4654E" w:rsidRDefault="00F4654E">
      <w:pPr>
        <w:pStyle w:val="a6"/>
      </w:pPr>
      <w:r>
        <w:t>Заболеваемость коров маститом значительно снижает эффективность использования животного и в целом отражается на экономике отрасли м</w:t>
      </w:r>
      <w:r>
        <w:t>о</w:t>
      </w:r>
      <w:r>
        <w:lastRenderedPageBreak/>
        <w:t>лочного животноводства. Установлено, что телята, родившиеся от коров, больных маститом и получавшие их молозиво, болеют диспепсией чаще, чем их сверстники, родившиеся и получавшие молозиво от здоровых мат</w:t>
      </w:r>
      <w:r>
        <w:t>е</w:t>
      </w:r>
      <w:r>
        <w:t>рей. В сухостойный период альвеолы и мелкие протоки спадаются, зам</w:t>
      </w:r>
      <w:r>
        <w:t>е</w:t>
      </w:r>
      <w:r>
        <w:t>щаясь соединительной и жировой тканью. Имеются данные, что за 10 дней до отела идет перестройка физиологических и биохимических процессов, активная гиперемия тканей и выработка секрета. В это время латентные микроорганизмы, попавшие в молочную железу в период сухостоя, акт</w:t>
      </w:r>
      <w:r>
        <w:t>и</w:t>
      </w:r>
      <w:r>
        <w:t>визируются и происходит мощная воспалительная реакция, также имеется тенденция перехода субклинического воспаления в клиническую форму.</w:t>
      </w:r>
    </w:p>
    <w:p w:rsidR="00F4654E" w:rsidRDefault="00F4654E">
      <w:pPr>
        <w:pStyle w:val="a6"/>
      </w:pPr>
      <w:r>
        <w:t>Нами было изучено распространение и формы проявления мастита в период сухостоя в ОПХ ВНИИСС Рамонского района и ФГУ ППЗ «Киро</w:t>
      </w:r>
      <w:r>
        <w:t>в</w:t>
      </w:r>
      <w:r>
        <w:t>ский» Новоусманского района Воронежской области, а также Госсемхозе «Петровский» Добринского района Липецкой области.</w:t>
      </w:r>
    </w:p>
    <w:p w:rsidR="00F4654E" w:rsidRDefault="00F4654E">
      <w:pPr>
        <w:pStyle w:val="a6"/>
      </w:pPr>
      <w:r>
        <w:t>Секрет молочной железы исследовали с 2% мастидином и подсчит</w:t>
      </w:r>
      <w:r>
        <w:t>ы</w:t>
      </w:r>
      <w:r>
        <w:t>вали количество соматических клеток (СК) на приборе «Фоссоматик».</w:t>
      </w:r>
    </w:p>
    <w:p w:rsidR="00F4654E" w:rsidRDefault="00F4654E">
      <w:pPr>
        <w:pStyle w:val="a6"/>
      </w:pPr>
      <w:r>
        <w:t>После запуска в здоровых долях вымени наблюдается повышение СК до 2,3</w:t>
      </w:r>
      <w:r>
        <w:sym w:font="Symbol" w:char="F0B1"/>
      </w:r>
      <w:r>
        <w:t>0,3 млн/мл, на 20-30 день сухостоя – до 3,3</w:t>
      </w:r>
      <w:r>
        <w:sym w:font="Symbol" w:char="F0B1"/>
      </w:r>
      <w:r>
        <w:t>0,5 млн/мл, на 40 день число соматических клеток уменьшается до 1,7</w:t>
      </w:r>
      <w:r>
        <w:sym w:font="Symbol" w:char="F0B1"/>
      </w:r>
      <w:r>
        <w:t>0,1 млн/мл. У коров, бол</w:t>
      </w:r>
      <w:r>
        <w:t>ь</w:t>
      </w:r>
      <w:r>
        <w:t>ных субклиническим маститом, количество СК после запуска составило 5,9</w:t>
      </w:r>
      <w:r>
        <w:sym w:font="Symbol" w:char="F0B1"/>
      </w:r>
      <w:r>
        <w:t>0,5 млн/мл, на 20-30 день – 7,1</w:t>
      </w:r>
      <w:r>
        <w:sym w:font="Symbol" w:char="F0B1"/>
      </w:r>
      <w:r>
        <w:t>2,7 млн/мл, на 40 день – 2,3</w:t>
      </w:r>
      <w:r>
        <w:sym w:font="Symbol" w:char="F0B1"/>
      </w:r>
      <w:r>
        <w:t xml:space="preserve">0,4 </w:t>
      </w:r>
      <w:r>
        <w:br/>
        <w:t>млн/ мл. В тех долях, в которых секрет отсутствовал, после отёла устано</w:t>
      </w:r>
      <w:r>
        <w:t>в</w:t>
      </w:r>
      <w:r>
        <w:t>лен субклинический мастит и повышенное количество СК до 4,0</w:t>
      </w:r>
      <w:r>
        <w:sym w:font="Symbol" w:char="F0B1"/>
      </w:r>
      <w:r>
        <w:t xml:space="preserve">0,2 </w:t>
      </w:r>
      <w:r>
        <w:br/>
        <w:t>млн/ мл. В четвертях вымени, поражённых клинически выраженным ма</w:t>
      </w:r>
      <w:r>
        <w:t>с</w:t>
      </w:r>
      <w:r>
        <w:t>титом, патологический процесс сохраняется и после отёла, с  содержанием СК до 14,0</w:t>
      </w:r>
      <w:r>
        <w:sym w:font="Symbol" w:char="F0B1"/>
      </w:r>
      <w:r>
        <w:t>0,6 млн/мл. При отрицательных показаниях с 2% мастидином и количестве СК от 1 до 4 млн/мл в 44,4% случаев после отёла установлен субклинический мастит и повышенное количество СК до 5 млн/мл.</w:t>
      </w:r>
    </w:p>
    <w:p w:rsidR="00F4654E" w:rsidRDefault="00F4654E">
      <w:pPr>
        <w:pStyle w:val="a6"/>
      </w:pPr>
      <w:r>
        <w:t>Таким образом, в периоде сухостоя у коров наблюдается высокая з</w:t>
      </w:r>
      <w:r>
        <w:t>а</w:t>
      </w:r>
      <w:r>
        <w:t>болеваемость маститом (50,0-57,0%). Из форм проявления воспаления в</w:t>
      </w:r>
      <w:r>
        <w:t>ы</w:t>
      </w:r>
      <w:r>
        <w:t>мени преобладает субклинический мастит – 72,2-78,6%, а клинически в</w:t>
      </w:r>
      <w:r>
        <w:t>ы</w:t>
      </w:r>
      <w:r>
        <w:t xml:space="preserve">раженный – 21,4-27,8%. </w:t>
      </w:r>
    </w:p>
    <w:p w:rsidR="00F4654E" w:rsidRDefault="00F4654E">
      <w:pPr>
        <w:pStyle w:val="a4"/>
      </w:pPr>
      <w:r>
        <w:t>УДК 619:614:636.93</w:t>
      </w:r>
    </w:p>
    <w:p w:rsidR="00F4654E" w:rsidRDefault="00F4654E">
      <w:pPr>
        <w:pStyle w:val="1"/>
      </w:pPr>
      <w:bookmarkStart w:id="4294" w:name="_Toc10731514"/>
      <w:bookmarkStart w:id="4295" w:name="_Toc11137961"/>
      <w:bookmarkStart w:id="4296" w:name="_Toc11138379"/>
      <w:bookmarkStart w:id="4297" w:name="_Toc11138797"/>
      <w:bookmarkStart w:id="4298" w:name="_Toc11139215"/>
      <w:bookmarkStart w:id="4299" w:name="_Toc11139633"/>
      <w:bookmarkStart w:id="4300" w:name="_Toc11140051"/>
      <w:bookmarkStart w:id="4301" w:name="_Toc11140469"/>
      <w:bookmarkStart w:id="4302" w:name="_Toc11390577"/>
      <w:bookmarkStart w:id="4303" w:name="_Toc11840262"/>
      <w:bookmarkStart w:id="4304" w:name="_Toc11937798"/>
      <w:r>
        <w:t>ВЛИЯНИЕ МИКРОКЛИМАТА НА СОХРАННОСТЬ И МЕТАБОЛИЗМ МОЛОДНЯКА НУТРИИ</w:t>
      </w:r>
      <w:bookmarkEnd w:id="4294"/>
      <w:bookmarkEnd w:id="4295"/>
      <w:bookmarkEnd w:id="4296"/>
      <w:bookmarkEnd w:id="4297"/>
      <w:bookmarkEnd w:id="4298"/>
      <w:bookmarkEnd w:id="4299"/>
      <w:bookmarkEnd w:id="4300"/>
      <w:bookmarkEnd w:id="4301"/>
      <w:bookmarkEnd w:id="4302"/>
      <w:bookmarkEnd w:id="4303"/>
      <w:bookmarkEnd w:id="4304"/>
    </w:p>
    <w:p w:rsidR="00F4654E" w:rsidRDefault="00F4654E">
      <w:pPr>
        <w:pStyle w:val="2"/>
      </w:pPr>
      <w:bookmarkStart w:id="4305" w:name="_Toc10731515"/>
      <w:bookmarkStart w:id="4306" w:name="_Toc11032344"/>
      <w:bookmarkStart w:id="4307" w:name="_Toc11137962"/>
      <w:bookmarkStart w:id="4308" w:name="_Toc11138380"/>
      <w:bookmarkStart w:id="4309" w:name="_Toc11138798"/>
      <w:bookmarkStart w:id="4310" w:name="_Toc11139216"/>
      <w:bookmarkStart w:id="4311" w:name="_Toc11139634"/>
      <w:bookmarkStart w:id="4312" w:name="_Toc11140052"/>
      <w:bookmarkStart w:id="4313" w:name="_Toc11140470"/>
      <w:bookmarkStart w:id="4314" w:name="_Toc11390578"/>
      <w:bookmarkStart w:id="4315" w:name="_Toc11937799"/>
      <w:r>
        <w:t>Плотников И.А., Беспятых О.Ю.</w:t>
      </w:r>
      <w:bookmarkEnd w:id="4305"/>
      <w:bookmarkEnd w:id="4306"/>
      <w:bookmarkEnd w:id="4307"/>
      <w:bookmarkEnd w:id="4308"/>
      <w:bookmarkEnd w:id="4309"/>
      <w:bookmarkEnd w:id="4310"/>
      <w:bookmarkEnd w:id="4311"/>
      <w:bookmarkEnd w:id="4312"/>
      <w:bookmarkEnd w:id="4313"/>
      <w:bookmarkEnd w:id="4314"/>
      <w:bookmarkEnd w:id="4315"/>
    </w:p>
    <w:p w:rsidR="00F4654E" w:rsidRDefault="00F4654E">
      <w:pPr>
        <w:pStyle w:val="a5"/>
      </w:pPr>
      <w:r>
        <w:t xml:space="preserve">Всероссийский НИИ охотничьего хозяйства и звероводства им. проф. Б.М.Житкова </w:t>
      </w:r>
    </w:p>
    <w:p w:rsidR="00F4654E" w:rsidRDefault="00F4654E">
      <w:pPr>
        <w:pStyle w:val="a6"/>
      </w:pPr>
      <w:r>
        <w:t>Нутрия (Myocastor coypus Molina, 1782) является наиболее распр</w:t>
      </w:r>
      <w:r>
        <w:t>о</w:t>
      </w:r>
      <w:r>
        <w:t>страненным объектом зверей клеточного разведения из отряда грызунов (Roden-tia). От них получают диетическое мясо и ценные шкурки разли</w:t>
      </w:r>
      <w:r>
        <w:t>ч</w:t>
      </w:r>
      <w:r w:rsidR="007717AC">
        <w:lastRenderedPageBreak/>
        <w:t>ных расцве</w:t>
      </w:r>
      <w:r>
        <w:t>ток, которые широко используются для пошива меховых изд</w:t>
      </w:r>
      <w:r>
        <w:t>е</w:t>
      </w:r>
      <w:r>
        <w:t>лий.</w:t>
      </w:r>
    </w:p>
    <w:p w:rsidR="00F4654E" w:rsidRDefault="00F4654E">
      <w:pPr>
        <w:pStyle w:val="a6"/>
      </w:pPr>
      <w:r>
        <w:t>Целесообразность и необходимость дальнейшего  увеличения погол</w:t>
      </w:r>
      <w:r>
        <w:t>о</w:t>
      </w:r>
      <w:r>
        <w:t>вья растительноядных пушных зверей клеточного разведения осложняется проблемой формирования условий содержания животных, их сохранности и получения максимальной продукции.</w:t>
      </w:r>
    </w:p>
    <w:p w:rsidR="00F4654E" w:rsidRDefault="00F4654E">
      <w:pPr>
        <w:pStyle w:val="a6"/>
        <w:rPr>
          <w:snapToGrid w:val="0"/>
        </w:rPr>
      </w:pPr>
      <w:r>
        <w:rPr>
          <w:snapToGrid w:val="0"/>
        </w:rPr>
        <w:t>Выращивание нутрии в крупных звероводческих специализированных  хозяйствах  привело к значительной концентрации поголовья на небол</w:t>
      </w:r>
      <w:r>
        <w:rPr>
          <w:snapToGrid w:val="0"/>
        </w:rPr>
        <w:t>ь</w:t>
      </w:r>
      <w:r>
        <w:rPr>
          <w:snapToGrid w:val="0"/>
        </w:rPr>
        <w:t>шой территории, ограничению двигательной активности зверей. В закр</w:t>
      </w:r>
      <w:r>
        <w:rPr>
          <w:snapToGrid w:val="0"/>
        </w:rPr>
        <w:t>ы</w:t>
      </w:r>
      <w:r>
        <w:rPr>
          <w:snapToGrid w:val="0"/>
        </w:rPr>
        <w:t>тых помещениях для животных определяющее значение приобретают зо</w:t>
      </w:r>
      <w:r>
        <w:rPr>
          <w:snapToGrid w:val="0"/>
        </w:rPr>
        <w:t>о</w:t>
      </w:r>
      <w:r>
        <w:rPr>
          <w:snapToGrid w:val="0"/>
        </w:rPr>
        <w:t>гигиенические параметры, а также технологические нормативы, оказ</w:t>
      </w:r>
      <w:r>
        <w:rPr>
          <w:snapToGrid w:val="0"/>
        </w:rPr>
        <w:t>ы</w:t>
      </w:r>
      <w:r>
        <w:rPr>
          <w:snapToGrid w:val="0"/>
        </w:rPr>
        <w:t>вающие непосредственное влияние на сохранность зверей, их метаболизм и продуктивность (Афанасьев, 1972; Волков, 1973; Голосов, 1974; Пл</w:t>
      </w:r>
      <w:r>
        <w:rPr>
          <w:snapToGrid w:val="0"/>
        </w:rPr>
        <w:t>я</w:t>
      </w:r>
      <w:r>
        <w:rPr>
          <w:snapToGrid w:val="0"/>
        </w:rPr>
        <w:t>щенко и др., 1976; и др.).</w:t>
      </w:r>
    </w:p>
    <w:p w:rsidR="00F4654E" w:rsidRDefault="00F4654E">
      <w:pPr>
        <w:pStyle w:val="a6"/>
      </w:pPr>
      <w:r>
        <w:rPr>
          <w:snapToGrid w:val="0"/>
        </w:rPr>
        <w:t>Микроклимат в закрытых помещениях и, в первую очередь темпер</w:t>
      </w:r>
      <w:r>
        <w:rPr>
          <w:snapToGrid w:val="0"/>
        </w:rPr>
        <w:t>а</w:t>
      </w:r>
      <w:r>
        <w:rPr>
          <w:snapToGrid w:val="0"/>
        </w:rPr>
        <w:t>тура и влажность среды, являются по значимости вторым фактором после кормления, от которого зависит жизнедеятельность животных и, следов</w:t>
      </w:r>
      <w:r>
        <w:rPr>
          <w:snapToGrid w:val="0"/>
        </w:rPr>
        <w:t>а</w:t>
      </w:r>
      <w:r>
        <w:rPr>
          <w:snapToGrid w:val="0"/>
        </w:rPr>
        <w:t xml:space="preserve">тельно, их сохранность и продуктивность. </w:t>
      </w:r>
      <w:r>
        <w:t>Известно, что неблагоприятный микроклимат является причиной снижения продуктивности животных на 20-30 % и перерасхода корма на 15-25 % (Семенюта, 1981; Хабибулов, 1979; Черных и др., 1983), а также повышения общей заболеваемости и п</w:t>
      </w:r>
      <w:r>
        <w:t>а</w:t>
      </w:r>
      <w:r>
        <w:t xml:space="preserve">дежа животных  в 1,5-3 раза (Волков, 1973; Онегов, 1977). </w:t>
      </w:r>
    </w:p>
    <w:p w:rsidR="00F4654E" w:rsidRDefault="00F4654E">
      <w:pPr>
        <w:pStyle w:val="a6"/>
      </w:pPr>
      <w:r>
        <w:t>Улучшение технологических условий содержания  растительноядных  пушных зверей в зверохозяйствах наряду с зоогигиеническими и ветер</w:t>
      </w:r>
      <w:r>
        <w:t>и</w:t>
      </w:r>
      <w:r>
        <w:t>нарно-санитарными мероприятиями позволяет надежно  профилактировать ряд заболеваний, повышает сохранность и продуктивность зверей, улу</w:t>
      </w:r>
      <w:r>
        <w:t>ч</w:t>
      </w:r>
      <w:r>
        <w:t>шает качество их шкурки.</w:t>
      </w:r>
    </w:p>
    <w:p w:rsidR="00F4654E" w:rsidRDefault="00F4654E">
      <w:pPr>
        <w:pStyle w:val="a6"/>
      </w:pPr>
      <w:r>
        <w:t>Исследования проводили во Всероссийском НИИ охотничьего хозя</w:t>
      </w:r>
      <w:r>
        <w:t>й</w:t>
      </w:r>
      <w:r>
        <w:t>ства и звероводства им. проф. Б.М. Житкова РАСХН и на комплексе ра</w:t>
      </w:r>
      <w:r>
        <w:t>с</w:t>
      </w:r>
      <w:r>
        <w:t>тительноядных пушных зверей ООО НПО «Пушнина» (Кировская о</w:t>
      </w:r>
      <w:r>
        <w:t>б</w:t>
      </w:r>
      <w:r>
        <w:t>ласть). Изучали влияние параметров микроклимата на сохранность моло</w:t>
      </w:r>
      <w:r>
        <w:t>д</w:t>
      </w:r>
      <w:r>
        <w:t>няка нутрии стандартного и черного окрасов, на его морфо-биохимические и иммунологические показатели сыворотки крови. Опыты проводили на зверях 4-6 месячного возраста, которых содержали в здании арочного типа, преобразованного из складского помещения, при искусственном освещ</w:t>
      </w:r>
      <w:r>
        <w:t>е</w:t>
      </w:r>
      <w:r>
        <w:t xml:space="preserve">нии и без регулируемого отопления и принудительной приточно-вытяжной вентиляции. </w:t>
      </w:r>
    </w:p>
    <w:p w:rsidR="00F4654E" w:rsidRDefault="00F4654E">
      <w:pPr>
        <w:pStyle w:val="a6"/>
      </w:pPr>
      <w:r>
        <w:t>Изучение параметров микроклимата осуществляли в осенний период по общепринятым в зоогигиене методикам (Минх, 1961; Волков и др., 1986). Измерение контролируемых показателей микроклимата проводили на уровне нахождения зверей в выгулах. По горизонтали параметры ми</w:t>
      </w:r>
      <w:r>
        <w:t>к</w:t>
      </w:r>
      <w:r>
        <w:t xml:space="preserve">роклимата определяли в трех точках по диагонали – в начале, середине и конце  помещения три  раза в сутки. Температуру воздуха определяли </w:t>
      </w:r>
      <w:r>
        <w:lastRenderedPageBreak/>
        <w:t>ртутным термометром; относительную влажность воздуха -  психрометром Ассмана; скорость движения воздуха - шаровым кататермометром и крыльчатым анемометром; концентрацию аммиака в воздухе - универсал</w:t>
      </w:r>
      <w:r>
        <w:t>ь</w:t>
      </w:r>
      <w:r>
        <w:t>ным газоанализатором (УГ-2); бактериальную обсемененность - по методу Матусевича; освещенность  - люксметром Ю-116.</w:t>
      </w:r>
    </w:p>
    <w:p w:rsidR="00F4654E" w:rsidRDefault="00F4654E">
      <w:pPr>
        <w:pStyle w:val="a6"/>
      </w:pPr>
      <w:r>
        <w:t>Кровь для морфо-биохимических и иммунологических исследований брали у зверей из хвостовой артерии. Общий белок определяли с помощью рефрактометра УРЛ-1; белковые фракции – нефелометрическим методом по Олла и Маккорда в модификации Карпюка (Карпюк, 1962); глюкозу – глюкозооксидазным методом с помощью реактива «Фотоглюкоза 2/4» ООО «Импакт»; количество эритроцитов и лейкоцитов – путем подсчета в камере Горяева; гемоглобин – по способу Сали; показатель фагоцитоза – по Лабинской (1978).</w:t>
      </w:r>
    </w:p>
    <w:p w:rsidR="00F4654E" w:rsidRDefault="00F4654E">
      <w:pPr>
        <w:pStyle w:val="a6"/>
      </w:pPr>
      <w:r>
        <w:t xml:space="preserve">В нутриеводческом помещении были зарегистрированы следующие параметры микроклимата: температура воздуха 19,8 </w:t>
      </w:r>
      <w:r>
        <w:rPr>
          <w:vertAlign w:val="superscript"/>
        </w:rPr>
        <w:t>о</w:t>
      </w:r>
      <w:r>
        <w:t>С (по нормам техн</w:t>
      </w:r>
      <w:r>
        <w:t>о</w:t>
      </w:r>
      <w:r>
        <w:t xml:space="preserve">логического проектирования - 15 </w:t>
      </w:r>
      <w:r>
        <w:rPr>
          <w:vertAlign w:val="superscript"/>
        </w:rPr>
        <w:t>о</w:t>
      </w:r>
      <w:r>
        <w:t>С), относительная влажность воздуха 95,4 % (50-85 %), скорость движения воздуха 0,56 м/с (0,30 м/с), конце</w:t>
      </w:r>
      <w:r>
        <w:t>н</w:t>
      </w:r>
      <w:r>
        <w:t>трация углекислого газа в воздухе 0,17 %, содержание аммиака в воздухе 3,6 мг/м</w:t>
      </w:r>
      <w:r>
        <w:rPr>
          <w:vertAlign w:val="superscript"/>
        </w:rPr>
        <w:t>3</w:t>
      </w:r>
      <w:r>
        <w:t>, бактериальная обсемененность воздуха 48,7 тыс. микробных тел/м</w:t>
      </w:r>
      <w:r>
        <w:rPr>
          <w:vertAlign w:val="superscript"/>
        </w:rPr>
        <w:t>3</w:t>
      </w:r>
      <w:r>
        <w:t>. Освещенность в помещении равнялась 35 лк (75 лк).</w:t>
      </w:r>
    </w:p>
    <w:p w:rsidR="00F4654E" w:rsidRDefault="00F4654E">
      <w:pPr>
        <w:pStyle w:val="a6"/>
      </w:pPr>
      <w:r>
        <w:t>Высокая температура, относительная влажность, скорость движения воздуха, и бактериальная загрязненность при пониженной освещенности создали неблагоприятный микроклимат для содержания молодняка ну</w:t>
      </w:r>
      <w:r>
        <w:t>т</w:t>
      </w:r>
      <w:r>
        <w:t>рии, что повлияло на заболеваемость и сохранность животных. Так, с</w:t>
      </w:r>
      <w:r>
        <w:t>о</w:t>
      </w:r>
      <w:r>
        <w:t>хранность составила в среднем 85 %. При этом от общего числа павших и вынужденно убитых животных установлены: заболевание дыхательной системы (пневмония) у 60,45 % зверей, заболевания желудочно-кишечного тракта – у 5,9 %, травматические повреждения – у 20,9 % и другая патол</w:t>
      </w:r>
      <w:r>
        <w:t>о</w:t>
      </w:r>
      <w:r>
        <w:t>гия – у 12,7 % зверей. То есть, из всех заболеваний около 2/3 занимают б</w:t>
      </w:r>
      <w:r>
        <w:t>о</w:t>
      </w:r>
      <w:r>
        <w:t>лезни дыхательной системы, через которую осуществляется связь орг</w:t>
      </w:r>
      <w:r>
        <w:t>а</w:t>
      </w:r>
      <w:r>
        <w:t>низма с окружающей средой.</w:t>
      </w:r>
    </w:p>
    <w:p w:rsidR="00F4654E" w:rsidRDefault="00F4654E">
      <w:pPr>
        <w:pStyle w:val="a6"/>
      </w:pPr>
      <w:r>
        <w:t>Затем была проведена реконструкция нутриеводческого помещения, в ходе которой было установлено необходимое дополнительное оборудов</w:t>
      </w:r>
      <w:r>
        <w:t>а</w:t>
      </w:r>
      <w:r>
        <w:t>ние: электрокалорифер, приточно-вытяжная вентиляционная установка, люминесцентные лампы.</w:t>
      </w:r>
    </w:p>
    <w:p w:rsidR="00F4654E" w:rsidRDefault="00F4654E">
      <w:pPr>
        <w:pStyle w:val="a6"/>
      </w:pPr>
      <w:r>
        <w:t xml:space="preserve">В результате реконструкции здания параметры микроклимата в нем изменились:  температура воздуха уменьшилась на 14,1 % (до 17,0 </w:t>
      </w:r>
      <w:r>
        <w:rPr>
          <w:vertAlign w:val="superscript"/>
        </w:rPr>
        <w:t>о</w:t>
      </w:r>
      <w:r>
        <w:t>С), о</w:t>
      </w:r>
      <w:r>
        <w:t>т</w:t>
      </w:r>
      <w:r>
        <w:t>нос</w:t>
      </w:r>
      <w:r>
        <w:t>и</w:t>
      </w:r>
      <w:r>
        <w:t>тельная влажность воздуха – на 18,2 % (до 78 %), скорость движения воздуха – на 28,6 % (до 0,40 м/с), концентрация углекислого газа в воздухе – на 58,8 % (до 0,07%), содержание аммиака в воздухе – на 77,8 % (до 0,8 мг/л), бактериальная обсемененность воздуха – на 34,1 % (до 32,1 тыс. микробных тел/м</w:t>
      </w:r>
      <w:r>
        <w:rPr>
          <w:vertAlign w:val="superscript"/>
        </w:rPr>
        <w:t>3</w:t>
      </w:r>
      <w:r>
        <w:t>). Освещенность в помещении увеличилась на 42,9 %  (до 50 лк).</w:t>
      </w:r>
    </w:p>
    <w:p w:rsidR="00F4654E" w:rsidRDefault="00F4654E">
      <w:pPr>
        <w:pStyle w:val="a6"/>
      </w:pPr>
      <w:r>
        <w:lastRenderedPageBreak/>
        <w:t>Оптимизация параметров микроклимата в помещении позволила п</w:t>
      </w:r>
      <w:r>
        <w:t>о</w:t>
      </w:r>
      <w:r>
        <w:t>высить сохранность молодняка нутрии до 91 %. Кроме того, она повлияла на морфо-биохимические и иммунологические показатели сыворотки кр</w:t>
      </w:r>
      <w:r>
        <w:t>о</w:t>
      </w:r>
      <w:r>
        <w:t>ви молодняка нутрии. Так, количество эритроцитов повысилось на 2,6 % (до 3,9 млн/мл), лейкоцитов – на 35,5 % (до 8,4 тыс./мл). Содержание о</w:t>
      </w:r>
      <w:r>
        <w:t>б</w:t>
      </w:r>
      <w:r>
        <w:t>щего белка увеличилось на 17,6 % (до 8,7 г%), альбуминов – на 14,6 % (до 62,1 %). Фракция глобулинов снизилась на 17,2 % (р&lt;0,05): альфа-глобулины – на 16,7 % (до 15,5 %), бета-глобулины – на 25,9 % (до 10,3 %) и гамма-глобулины – на 9,0 % (до 12,1 %). Произошло достоверное сниж</w:t>
      </w:r>
      <w:r>
        <w:t>е</w:t>
      </w:r>
      <w:r>
        <w:t>ние концентрации глюкозы на 20,5 % (до 57,0 мг%) (р&lt;0,01). Аналогичное изменение в показателе фагоцитоза – на 31,1 % (до 9,3) (р&lt;0,001).</w:t>
      </w:r>
    </w:p>
    <w:p w:rsidR="00F4654E" w:rsidRDefault="00F4654E">
      <w:pPr>
        <w:pStyle w:val="a6"/>
      </w:pPr>
      <w:r>
        <w:t>Таким образом, параметры микроклимата нутриеводческого помещ</w:t>
      </w:r>
      <w:r>
        <w:t>е</w:t>
      </w:r>
      <w:r>
        <w:t>ния оказывают влияние на сохранность молодняка зверей, а также на его метаболизм. Оптимизация условий окружающей среды позволяет пов</w:t>
      </w:r>
      <w:r>
        <w:t>ы</w:t>
      </w:r>
      <w:r>
        <w:t>сить сохранность молодняка животных,  улучшить белковый и углеводный обмены, уменьшить напряженный иммунологический статус организма, в сравнении с неблагоприятными условиями содержания.</w:t>
      </w:r>
    </w:p>
    <w:p w:rsidR="00F4654E" w:rsidRDefault="00F4654E">
      <w:pPr>
        <w:pStyle w:val="a4"/>
      </w:pPr>
      <w:r>
        <w:t>УДК.619:616.-0532:636.3.</w:t>
      </w:r>
    </w:p>
    <w:p w:rsidR="00F4654E" w:rsidRDefault="00F4654E">
      <w:pPr>
        <w:pStyle w:val="1"/>
      </w:pPr>
      <w:bookmarkStart w:id="4316" w:name="_Toc10731516"/>
      <w:bookmarkStart w:id="4317" w:name="_Toc11137965"/>
      <w:bookmarkStart w:id="4318" w:name="_Toc11138383"/>
      <w:bookmarkStart w:id="4319" w:name="_Toc11138801"/>
      <w:bookmarkStart w:id="4320" w:name="_Toc11139219"/>
      <w:bookmarkStart w:id="4321" w:name="_Toc11139637"/>
      <w:bookmarkStart w:id="4322" w:name="_Toc11140055"/>
      <w:bookmarkStart w:id="4323" w:name="_Toc11140473"/>
      <w:bookmarkStart w:id="4324" w:name="_Toc11390581"/>
      <w:bookmarkStart w:id="4325" w:name="_Toc11840264"/>
      <w:bookmarkStart w:id="4326" w:name="_Toc11937800"/>
      <w:r>
        <w:t>СИТУАЦИЯ В ВОСПРОИЗВОДСТВЕ И СОХРАННОСТИ МОЛОДНЯКА СКОТА</w:t>
      </w:r>
      <w:bookmarkEnd w:id="4316"/>
      <w:bookmarkEnd w:id="4317"/>
      <w:bookmarkEnd w:id="4318"/>
      <w:bookmarkEnd w:id="4319"/>
      <w:bookmarkEnd w:id="4320"/>
      <w:bookmarkEnd w:id="4321"/>
      <w:bookmarkEnd w:id="4322"/>
      <w:bookmarkEnd w:id="4323"/>
      <w:bookmarkEnd w:id="4324"/>
      <w:bookmarkEnd w:id="4325"/>
      <w:bookmarkEnd w:id="4326"/>
    </w:p>
    <w:p w:rsidR="00F4654E" w:rsidRDefault="00F4654E">
      <w:pPr>
        <w:pStyle w:val="2"/>
      </w:pPr>
      <w:bookmarkStart w:id="4327" w:name="_Toc10731517"/>
      <w:bookmarkStart w:id="4328" w:name="_Toc11032346"/>
      <w:bookmarkStart w:id="4329" w:name="_Toc11137966"/>
      <w:bookmarkStart w:id="4330" w:name="_Toc11138384"/>
      <w:bookmarkStart w:id="4331" w:name="_Toc11138802"/>
      <w:bookmarkStart w:id="4332" w:name="_Toc11139220"/>
      <w:bookmarkStart w:id="4333" w:name="_Toc11139638"/>
      <w:bookmarkStart w:id="4334" w:name="_Toc11140056"/>
      <w:bookmarkStart w:id="4335" w:name="_Toc11140474"/>
      <w:bookmarkStart w:id="4336" w:name="_Toc11390582"/>
      <w:bookmarkStart w:id="4337" w:name="_Toc11937801"/>
      <w:r>
        <w:t>Попов В.Г., Джамалутдинов Ш.А.</w:t>
      </w:r>
      <w:bookmarkEnd w:id="4327"/>
      <w:bookmarkEnd w:id="4328"/>
      <w:bookmarkEnd w:id="4329"/>
      <w:bookmarkEnd w:id="4330"/>
      <w:bookmarkEnd w:id="4331"/>
      <w:bookmarkEnd w:id="4332"/>
      <w:bookmarkEnd w:id="4333"/>
      <w:bookmarkEnd w:id="4334"/>
      <w:bookmarkEnd w:id="4335"/>
      <w:bookmarkEnd w:id="4336"/>
      <w:bookmarkEnd w:id="4337"/>
    </w:p>
    <w:p w:rsidR="00F4654E" w:rsidRDefault="00F4654E">
      <w:pPr>
        <w:pStyle w:val="a5"/>
      </w:pPr>
      <w:r>
        <w:t>Дагестанская государственная сельскохозяйственная академия</w:t>
      </w:r>
    </w:p>
    <w:p w:rsidR="00F4654E" w:rsidRDefault="00F4654E">
      <w:pPr>
        <w:pStyle w:val="a6"/>
      </w:pPr>
      <w:r>
        <w:t>Прошло десятилетие, когда скотоводство оказалось в кризисном с</w:t>
      </w:r>
      <w:r>
        <w:t>о</w:t>
      </w:r>
      <w:r>
        <w:t>стоянии. В нашей республике колхозное и совхозное количество коров с</w:t>
      </w:r>
      <w:r>
        <w:t>о</w:t>
      </w:r>
      <w:r>
        <w:t>кратилось почти в два с половиной раза, получение телят от каждых 100 коров и телок – в два раза.</w:t>
      </w:r>
    </w:p>
    <w:p w:rsidR="00F4654E" w:rsidRDefault="00F4654E">
      <w:pPr>
        <w:pStyle w:val="a6"/>
      </w:pPr>
      <w:r>
        <w:t>Продолжительная работа на племенной ферме совхоза «Шамхал</w:t>
      </w:r>
      <w:r>
        <w:t>ь</w:t>
      </w:r>
      <w:r>
        <w:t>ский» Кировского района г. Махачкалы свидетельствует о том, как до</w:t>
      </w:r>
      <w:r>
        <w:t>с</w:t>
      </w:r>
      <w:r>
        <w:t>тигший к девяностым годам образца для республики молочный комплекс к 2000 году стал молочной фермой. Количество коров сократилось с 500 до 150, уменьшились средний удой с 2000 до 1300 кг, жирность молока – с 4,1% до 3,2 %, живая масса рождающегося молодняка с 26-35 до 18-27 кг.</w:t>
      </w:r>
    </w:p>
    <w:p w:rsidR="00F4654E" w:rsidRDefault="00F4654E">
      <w:pPr>
        <w:pStyle w:val="a6"/>
      </w:pPr>
      <w:r>
        <w:t>Значительно ухудшились зоотехнический учет, селекционно-племен-ная работа, расстроились хорошо наработанные технологии осеменения, доения, получения, выращивания и сохранения молодняка. Совхоз разд</w:t>
      </w:r>
      <w:r>
        <w:t>е</w:t>
      </w:r>
      <w:r>
        <w:t>лился на два колхоза, сменились ветврач, зоотехник, техник искусственн</w:t>
      </w:r>
      <w:r>
        <w:t>о</w:t>
      </w:r>
      <w:r>
        <w:t>го осеменения, заведующий фермой, большинство доярок. Стало очеви</w:t>
      </w:r>
      <w:r>
        <w:t>д</w:t>
      </w:r>
      <w:r>
        <w:t>ным, что пришло время ликвидировать создавшийся кризис.</w:t>
      </w:r>
    </w:p>
    <w:p w:rsidR="00F4654E" w:rsidRDefault="00F4654E">
      <w:pPr>
        <w:pStyle w:val="a6"/>
      </w:pPr>
      <w:r>
        <w:t>Особый контраст проявился в воспроизводстве стада. От хорошо о</w:t>
      </w:r>
      <w:r>
        <w:t>р</w:t>
      </w:r>
      <w:r>
        <w:t>ганизованного ранее искусственного осеменения скатились к ручной слу</w:t>
      </w:r>
      <w:r>
        <w:t>ч</w:t>
      </w:r>
      <w:r>
        <w:lastRenderedPageBreak/>
        <w:t>ке коров и к вольной – телок, живая масса новорожденных уменьшилась до 18-27 кг.</w:t>
      </w:r>
    </w:p>
    <w:p w:rsidR="00F4654E" w:rsidRDefault="00F4654E">
      <w:pPr>
        <w:pStyle w:val="a6"/>
      </w:pPr>
      <w:r>
        <w:t>Почти ушли из практики контроль за показателями воспроизвод</w:t>
      </w:r>
      <w:r>
        <w:t>и</w:t>
      </w:r>
      <w:r>
        <w:t>тельной способности коров, телок и планирование мероприятий по проф</w:t>
      </w:r>
      <w:r>
        <w:t>и</w:t>
      </w:r>
      <w:r>
        <w:t>лактике и ликвидации бесплодия. Поэтому стали получать от каждых 100 коров не по 96-100 телят, а по 52-63.</w:t>
      </w:r>
    </w:p>
    <w:p w:rsidR="00F4654E" w:rsidRDefault="00F4654E">
      <w:pPr>
        <w:pStyle w:val="a6"/>
      </w:pPr>
      <w:r>
        <w:t>Особую тревогу вызывала работа в родильном отделении: перестали представлять моцион, делать регулярные дезинфекции, практиковать от</w:t>
      </w:r>
      <w:r>
        <w:t>е</w:t>
      </w:r>
      <w:r>
        <w:t>лы в боксах, подготовку коров и телок к отелу, ухудшилась санитария из-за отсутствия необходимого количества полотенец, теплой воды для обм</w:t>
      </w:r>
      <w:r>
        <w:t>ы</w:t>
      </w:r>
      <w:r>
        <w:t>вания вымени, в молоке оказывалась грязь. Отсутствие резиновых сосок к молокопоилкам обуславливало выпойку молока из ведра, что, как извес</w:t>
      </w:r>
      <w:r>
        <w:t>т</w:t>
      </w:r>
      <w:r>
        <w:t>но, приводит к переполнению и образованию створоженной массы в рубце. Этому способствует и упрощенный подход к режиму выпаивания молозива и молока. Требуется, чтобы первое выпаивание было через час-полтора и в сутки повторялось 3-5 раз, в действительности, особенно при отелах в ночное время, когда нет доярок проходит до первого выпаивания от двух до семи часов, а в течение суток повторяют только дважды. При выпаив</w:t>
      </w:r>
      <w:r>
        <w:t>а</w:t>
      </w:r>
      <w:r>
        <w:t>нии нарушается соблюдение температурного фактора – подогревать мол</w:t>
      </w:r>
      <w:r>
        <w:t>о</w:t>
      </w:r>
      <w:r>
        <w:t>ко до 37-38 градусов. Перечисленные погрешности способствовали во</w:t>
      </w:r>
      <w:r>
        <w:t>з</w:t>
      </w:r>
      <w:r>
        <w:t>никновению диареи, диспепсии.</w:t>
      </w:r>
    </w:p>
    <w:p w:rsidR="00F4654E" w:rsidRDefault="00F4654E">
      <w:pPr>
        <w:pStyle w:val="a6"/>
      </w:pPr>
      <w:r>
        <w:t>Нарушение организации подготовки коров и телок к отелу стало пр</w:t>
      </w:r>
      <w:r>
        <w:t>и</w:t>
      </w:r>
      <w:r>
        <w:t>водить к тому, что они телятся на пастбище или на месте постоянного с</w:t>
      </w:r>
      <w:r>
        <w:t>о</w:t>
      </w:r>
      <w:r>
        <w:t>держания. Иногда теленок оказывается по несколько часов около прив</w:t>
      </w:r>
      <w:r>
        <w:t>я</w:t>
      </w:r>
      <w:r>
        <w:t>занной матери или лежит вдали от нее. Сквозняк, холод, повышенная влажность воздуха и мокрый шерстяной покров способствовали переохл</w:t>
      </w:r>
      <w:r>
        <w:t>а</w:t>
      </w:r>
      <w:r>
        <w:t>ждению организма и вели к простудным заболеваниям.</w:t>
      </w:r>
    </w:p>
    <w:p w:rsidR="00F4654E" w:rsidRPr="0001153D" w:rsidRDefault="00F4654E">
      <w:pPr>
        <w:pStyle w:val="a6"/>
        <w:rPr>
          <w:spacing w:val="2"/>
        </w:rPr>
      </w:pPr>
      <w:r w:rsidRPr="0001153D">
        <w:rPr>
          <w:spacing w:val="2"/>
        </w:rPr>
        <w:t>Вышесказанное, а также неполноценное кормление беременных, особенно в сухостойный период, приводило к рождению гипотрофиков, мертвых, вмешательству по оказанию помощи при родах, к лечению больных в послеродовой период чаще на 30-40% по сравнению со ст</w:t>
      </w:r>
      <w:r w:rsidRPr="0001153D">
        <w:rPr>
          <w:spacing w:val="2"/>
        </w:rPr>
        <w:t>а</w:t>
      </w:r>
      <w:r w:rsidRPr="0001153D">
        <w:rPr>
          <w:spacing w:val="2"/>
        </w:rPr>
        <w:t>бильным пери</w:t>
      </w:r>
      <w:r w:rsidRPr="0001153D">
        <w:rPr>
          <w:spacing w:val="2"/>
        </w:rPr>
        <w:t>о</w:t>
      </w:r>
      <w:r w:rsidRPr="0001153D">
        <w:rPr>
          <w:spacing w:val="2"/>
        </w:rPr>
        <w:t>дом.</w:t>
      </w:r>
    </w:p>
    <w:p w:rsidR="00F4654E" w:rsidRDefault="00F4654E">
      <w:pPr>
        <w:pStyle w:val="a6"/>
      </w:pPr>
      <w:r>
        <w:t>На воспроизводство и сохранность молодняка существенно сказалось и продолжает сказываться совместное содержание телок и бычков. Нек</w:t>
      </w:r>
      <w:r>
        <w:t>о</w:t>
      </w:r>
      <w:r>
        <w:t>торые становятся стельными в одиннадцать месяцев, и потомство от них в основном гибнет во время родов, слабее сверстниц и вынуждено оставл</w:t>
      </w:r>
      <w:r>
        <w:t>я</w:t>
      </w:r>
      <w:r>
        <w:t>ется для пополнения стада. Учитывая вышесказанное, в 2000, 2001 годах и в настоящее время коллектив молочной фермы постепенно ликвидирует отмеченные недостатки.</w:t>
      </w:r>
    </w:p>
    <w:p w:rsidR="00F4654E" w:rsidRDefault="00F4654E">
      <w:pPr>
        <w:pStyle w:val="a6"/>
      </w:pPr>
      <w:r>
        <w:t xml:space="preserve">В заключении можно сказать, что положительные результаты есть. В 2000 и 2001 годах увеличилось количество коров до 200, получили от 185 коров 165 телят и от 202 – 185. В 2000 году из 165 телят заболели 100, в 2001 – 137 диспепсией, бронхопневмонией, колибактериозом, эймериозом, </w:t>
      </w:r>
      <w:r>
        <w:lastRenderedPageBreak/>
        <w:t>фасциолезом, парафистаматозом, эмкаром; мертворожденных 3, абортов 3. В 2000 году пало от диспепсии 1, колибактериоза 2, эмкара 2; убито с пр</w:t>
      </w:r>
      <w:r>
        <w:t>и</w:t>
      </w:r>
      <w:r>
        <w:t>знаками диспепсии 2, колибактериоза 6, эймериоза 11. В 2001 году данные почти такие же, но они лучше, чем были в период дестабилизации.</w:t>
      </w:r>
    </w:p>
    <w:p w:rsidR="00F4654E" w:rsidRDefault="00F4654E">
      <w:pPr>
        <w:pStyle w:val="a4"/>
      </w:pPr>
      <w:r>
        <w:t xml:space="preserve">УДК 619:618.19.-002:616-085636.2 </w:t>
      </w:r>
    </w:p>
    <w:p w:rsidR="00F4654E" w:rsidRDefault="00F4654E">
      <w:pPr>
        <w:pStyle w:val="1"/>
      </w:pPr>
      <w:bookmarkStart w:id="4338" w:name="_Toc10731518"/>
      <w:bookmarkStart w:id="4339" w:name="_Toc11137963"/>
      <w:bookmarkStart w:id="4340" w:name="_Toc11138381"/>
      <w:bookmarkStart w:id="4341" w:name="_Toc11138799"/>
      <w:bookmarkStart w:id="4342" w:name="_Toc11139217"/>
      <w:bookmarkStart w:id="4343" w:name="_Toc11139635"/>
      <w:bookmarkStart w:id="4344" w:name="_Toc11140053"/>
      <w:bookmarkStart w:id="4345" w:name="_Toc11140471"/>
      <w:bookmarkStart w:id="4346" w:name="_Toc11390579"/>
      <w:bookmarkStart w:id="4347" w:name="_Toc11840266"/>
      <w:bookmarkStart w:id="4348" w:name="_Toc11937802"/>
      <w:r>
        <w:t>ВЕТЕРИНАРНЫЕ КРЕМЫ В ТЕРАПИИ МАСТИТА У КОРОВ</w:t>
      </w:r>
      <w:bookmarkEnd w:id="4338"/>
      <w:bookmarkEnd w:id="4339"/>
      <w:bookmarkEnd w:id="4340"/>
      <w:bookmarkEnd w:id="4341"/>
      <w:bookmarkEnd w:id="4342"/>
      <w:bookmarkEnd w:id="4343"/>
      <w:bookmarkEnd w:id="4344"/>
      <w:bookmarkEnd w:id="4345"/>
      <w:bookmarkEnd w:id="4346"/>
      <w:bookmarkEnd w:id="4347"/>
      <w:bookmarkEnd w:id="4348"/>
    </w:p>
    <w:p w:rsidR="00F4654E" w:rsidRDefault="00F4654E">
      <w:pPr>
        <w:pStyle w:val="2"/>
      </w:pPr>
      <w:bookmarkStart w:id="4349" w:name="_Toc10731519"/>
      <w:bookmarkStart w:id="4350" w:name="_Toc11032345"/>
      <w:bookmarkStart w:id="4351" w:name="_Toc11137964"/>
      <w:bookmarkStart w:id="4352" w:name="_Toc11138382"/>
      <w:bookmarkStart w:id="4353" w:name="_Toc11138800"/>
      <w:bookmarkStart w:id="4354" w:name="_Toc11139218"/>
      <w:bookmarkStart w:id="4355" w:name="_Toc11139636"/>
      <w:bookmarkStart w:id="4356" w:name="_Toc11140054"/>
      <w:bookmarkStart w:id="4357" w:name="_Toc11140472"/>
      <w:bookmarkStart w:id="4358" w:name="_Toc11390580"/>
      <w:bookmarkStart w:id="4359" w:name="_Toc11937803"/>
      <w:r>
        <w:t>Попов Ю.И. Турченко А.Н.</w:t>
      </w:r>
      <w:bookmarkEnd w:id="4349"/>
      <w:bookmarkEnd w:id="4350"/>
      <w:bookmarkEnd w:id="4351"/>
      <w:bookmarkEnd w:id="4352"/>
      <w:bookmarkEnd w:id="4353"/>
      <w:bookmarkEnd w:id="4354"/>
      <w:bookmarkEnd w:id="4355"/>
      <w:bookmarkEnd w:id="4356"/>
      <w:bookmarkEnd w:id="4357"/>
      <w:bookmarkEnd w:id="4358"/>
      <w:bookmarkEnd w:id="4359"/>
    </w:p>
    <w:p w:rsidR="00F4654E" w:rsidRDefault="00F4654E">
      <w:pPr>
        <w:pStyle w:val="a5"/>
      </w:pPr>
      <w:r>
        <w:t>Краснодарский научно-исследовательский ветеринарный институт</w:t>
      </w:r>
    </w:p>
    <w:p w:rsidR="00F4654E" w:rsidRDefault="00F4654E">
      <w:pPr>
        <w:pStyle w:val="a6"/>
      </w:pPr>
      <w:r>
        <w:t>Молочное скотоводство является важнейшей отраслью животново</w:t>
      </w:r>
      <w:r>
        <w:t>д</w:t>
      </w:r>
      <w:r>
        <w:t>ства в Краснодарском крае. Поэтому проблемы здоровья животных не т</w:t>
      </w:r>
      <w:r>
        <w:t>е</w:t>
      </w:r>
      <w:r>
        <w:t>ряют своей актуальности, в частности проблема маститов у коров. Знач</w:t>
      </w:r>
      <w:r>
        <w:t>и</w:t>
      </w:r>
      <w:r>
        <w:t>тельный экономический ущерб, приносимый маститами коров, выражается в снижении молочной продуктивности, преждевременной выбраковке к</w:t>
      </w:r>
      <w:r>
        <w:t>о</w:t>
      </w:r>
      <w:r>
        <w:t>ров, увеличении заболеваемости телят и числа бесплодных коров, а также в ухудшении питательных и технологических свойств молока.</w:t>
      </w:r>
    </w:p>
    <w:p w:rsidR="00F4654E" w:rsidRDefault="00F4654E">
      <w:pPr>
        <w:pStyle w:val="a6"/>
      </w:pPr>
      <w:r>
        <w:t>По статистической отчётности крайветотдела на фоне снижения пог</w:t>
      </w:r>
      <w:r>
        <w:t>о</w:t>
      </w:r>
      <w:r>
        <w:t>ловья коров наблюдается рост заболеваемости коров маститом. При этом поголовье коров с 1996 г. по 1997 уменьшилось на 15%, а в последующие годы поголовье уменьшалось на 2-3% ежегодно. Процент заболевших ма</w:t>
      </w:r>
      <w:r>
        <w:t>с</w:t>
      </w:r>
      <w:r>
        <w:t>титом коров увеличился с 15% в 1996 году до 42% в 2001 в среднем по краю. Поэтому маститы коров являются важнейшей проблемой животн</w:t>
      </w:r>
      <w:r>
        <w:t>о</w:t>
      </w:r>
      <w:r>
        <w:t>водства в крае.</w:t>
      </w:r>
    </w:p>
    <w:p w:rsidR="00F4654E" w:rsidRDefault="00F4654E">
      <w:pPr>
        <w:pStyle w:val="a6"/>
      </w:pPr>
      <w:r>
        <w:t>Одним из главных пунктов в борьбе с маститами коров является пр</w:t>
      </w:r>
      <w:r>
        <w:t>о</w:t>
      </w:r>
      <w:r>
        <w:t>филактика. Из многочисленных факторов, вызывающих мастит, наиболее значимым является неправильный уход за выменем.</w:t>
      </w:r>
    </w:p>
    <w:p w:rsidR="00F4654E" w:rsidRDefault="00F4654E">
      <w:pPr>
        <w:pStyle w:val="a6"/>
      </w:pPr>
      <w:r>
        <w:t>Многие средства, применяемые для терапии мастита вводятся вну</w:t>
      </w:r>
      <w:r>
        <w:t>т</w:t>
      </w:r>
      <w:r>
        <w:t>рицистернально, что ведёт к многочисленным осложнениям, таким как п</w:t>
      </w:r>
      <w:r>
        <w:t>е</w:t>
      </w:r>
      <w:r>
        <w:t>рераздражение тканей молочной железы, трудоёмкость введения, выз</w:t>
      </w:r>
      <w:r>
        <w:t>ы</w:t>
      </w:r>
      <w:r>
        <w:t>вающая дополнительный стресс животного. Многие препараты, применя</w:t>
      </w:r>
      <w:r>
        <w:t>е</w:t>
      </w:r>
      <w:r>
        <w:t>мые для лечения мастита обладают антимикробным действием и часто в условиях ферм применяются бессистемно, что ведёт к появлению рез</w:t>
      </w:r>
      <w:r>
        <w:t>и</w:t>
      </w:r>
      <w:r>
        <w:t>стентных форм бактерий, переводу острой формы мастита в хроническую.</w:t>
      </w:r>
    </w:p>
    <w:p w:rsidR="00F4654E" w:rsidRDefault="00F4654E">
      <w:pPr>
        <w:pStyle w:val="a6"/>
      </w:pPr>
      <w:r>
        <w:t>Нами, для лечения и профилактики маститов у коров предложены крем ветеринарный смягчающий (</w:t>
      </w:r>
      <w:r>
        <w:rPr>
          <w:caps/>
        </w:rPr>
        <w:t>квс</w:t>
      </w:r>
      <w:r>
        <w:t>) и крем ветеринарный антисепт</w:t>
      </w:r>
      <w:r>
        <w:t>и</w:t>
      </w:r>
      <w:r>
        <w:t>ческий (</w:t>
      </w:r>
      <w:r>
        <w:rPr>
          <w:caps/>
        </w:rPr>
        <w:t>ква</w:t>
      </w:r>
      <w:r>
        <w:t>). Крем КВС обладает мягчительным, гидрофильным, и пр</w:t>
      </w:r>
      <w:r>
        <w:t>о</w:t>
      </w:r>
      <w:r>
        <w:t>тивовоспалительным действием. Воздействуя на обветренную и сухую к</w:t>
      </w:r>
      <w:r>
        <w:t>о</w:t>
      </w:r>
      <w:r>
        <w:t>жу сосков вымени крем увлажняет верхний слой кожи, делает его эласти</w:t>
      </w:r>
      <w:r>
        <w:t>ч</w:t>
      </w:r>
      <w:r>
        <w:t xml:space="preserve">ным, жировые компоненты предотвращают потери влаги кожей. </w:t>
      </w:r>
    </w:p>
    <w:p w:rsidR="00F4654E" w:rsidRDefault="00F4654E">
      <w:pPr>
        <w:pStyle w:val="a6"/>
      </w:pPr>
      <w:r>
        <w:t xml:space="preserve">Крем не обладает токсическим действием. Применение крема КВС после доения позволяет предупредить раздражения, трещины и ссадины на молочных сосках у коров. Для испытании крема КВС в производственных </w:t>
      </w:r>
      <w:r>
        <w:lastRenderedPageBreak/>
        <w:t>условиях было подобрано две группы животных по принципу аналогов, В опытной группе коров при регулярном использовании крема КВС не отм</w:t>
      </w:r>
      <w:r>
        <w:t>е</w:t>
      </w:r>
      <w:r>
        <w:t>чено трещин сосков, в то время как в контрольной группе в 21,3% случаев были отмечены трещины кожи сосков.</w:t>
      </w:r>
    </w:p>
    <w:p w:rsidR="00F4654E" w:rsidRDefault="00F4654E">
      <w:pPr>
        <w:pStyle w:val="a6"/>
      </w:pPr>
      <w:r>
        <w:t>Для терапии острых форм мастита был создан крем ветеринарный а</w:t>
      </w:r>
      <w:r>
        <w:t>н</w:t>
      </w:r>
      <w:r>
        <w:t>тисептический (КВА). Были проведены производственные опыты по опр</w:t>
      </w:r>
      <w:r>
        <w:t>е</w:t>
      </w:r>
      <w:r>
        <w:t>делению лечебной эффективности крема при серозно-катаральном и кат</w:t>
      </w:r>
      <w:r>
        <w:t>а</w:t>
      </w:r>
      <w:r>
        <w:t>ральном мастите. Для этого отобрали две группы животных по принципу аналогов. Коров опытной группы лечили кремом КВА, крем наносили на поражённую долю вымени 2 раза в сутки после доения. Коров контрол</w:t>
      </w:r>
      <w:r>
        <w:t>ь</w:t>
      </w:r>
      <w:r>
        <w:t>ной группы лечили ихтиоловой мазью согласно наставления по примен</w:t>
      </w:r>
      <w:r>
        <w:t>е</w:t>
      </w:r>
      <w:r>
        <w:t>нию до клинического выздоровления. Продолжительность лечения кремом КВА оказалось на 5,6 дня меньше чем при лечении ихтиоловой мазью. Крем ветеринарный антисептический оказался высокоэффективным л</w:t>
      </w:r>
      <w:r>
        <w:t>е</w:t>
      </w:r>
      <w:r>
        <w:t>чебным средством, превосходя по эффективности ихтиоловую мазь.</w:t>
      </w:r>
    </w:p>
    <w:p w:rsidR="00F4654E" w:rsidRDefault="00F4654E">
      <w:pPr>
        <w:pStyle w:val="a6"/>
      </w:pPr>
      <w:r>
        <w:t>При лечение гнойно-катарального мастита крем КВА применяли с</w:t>
      </w:r>
      <w:r>
        <w:t>о</w:t>
      </w:r>
      <w:r>
        <w:t>вместно с антимикробным препаратом. Крем КВА наносился на пораже</w:t>
      </w:r>
      <w:r>
        <w:t>н</w:t>
      </w:r>
      <w:r>
        <w:t>ную долю вымени, а внутрицистернально вводился мастисан-А согласно наставления по применению. В контрольной группе на пораженную долю вымени наносили ихтиоловую мазь, а внутрицистернально вводили маст</w:t>
      </w:r>
      <w:r>
        <w:t>и</w:t>
      </w:r>
      <w:r>
        <w:t>сан-А. В результате опыта было установлено, что продолжительность л</w:t>
      </w:r>
      <w:r>
        <w:t>е</w:t>
      </w:r>
      <w:r>
        <w:t>чения гнойно-катарального мастита с использованием крема КВА соста</w:t>
      </w:r>
      <w:r>
        <w:t>в</w:t>
      </w:r>
      <w:r>
        <w:t>ляет в среднем 4,1 дня, а продолжительность лечения с применением и</w:t>
      </w:r>
      <w:r>
        <w:t>х</w:t>
      </w:r>
      <w:r>
        <w:t>тиоловой мази - в среднем 8,3 дня.</w:t>
      </w:r>
    </w:p>
    <w:p w:rsidR="00F4654E" w:rsidRDefault="00F4654E">
      <w:pPr>
        <w:pStyle w:val="a6"/>
        <w:rPr>
          <w:color w:val="FF0000"/>
        </w:rPr>
      </w:pPr>
      <w:r>
        <w:t>Таким образом, мы рекомендуем регулярное использование крема КВС для профилактики заболеваний молочной железы, и применение кр</w:t>
      </w:r>
      <w:r>
        <w:t>е</w:t>
      </w:r>
      <w:r>
        <w:t>ма КВА в сочетании с антимикробными препаратами для лечения маст</w:t>
      </w:r>
      <w:r>
        <w:t>и</w:t>
      </w:r>
      <w:r>
        <w:t>тов у коров.</w:t>
      </w:r>
    </w:p>
    <w:p w:rsidR="00F4654E" w:rsidRDefault="00F4654E">
      <w:pPr>
        <w:pStyle w:val="a4"/>
      </w:pPr>
      <w:r>
        <w:t>УДК 636.4:612.18.11/12:619:616.98:578.833.31</w:t>
      </w:r>
    </w:p>
    <w:p w:rsidR="00F4654E" w:rsidRDefault="00F4654E">
      <w:pPr>
        <w:pStyle w:val="1"/>
      </w:pPr>
      <w:bookmarkStart w:id="4360" w:name="_Toc10731508"/>
      <w:bookmarkStart w:id="4361" w:name="_Toc11137969"/>
      <w:bookmarkStart w:id="4362" w:name="_Toc11138387"/>
      <w:bookmarkStart w:id="4363" w:name="_Toc11138805"/>
      <w:bookmarkStart w:id="4364" w:name="_Toc11139223"/>
      <w:bookmarkStart w:id="4365" w:name="_Toc11139641"/>
      <w:bookmarkStart w:id="4366" w:name="_Toc11140059"/>
      <w:bookmarkStart w:id="4367" w:name="_Toc11140477"/>
      <w:bookmarkStart w:id="4368" w:name="_Toc11390583"/>
      <w:bookmarkStart w:id="4369" w:name="_Toc11840268"/>
      <w:bookmarkStart w:id="4370" w:name="_Toc11937804"/>
      <w:r>
        <w:t>ВЛИЯНИЕ НАТРИЯ ТИОСУЛЬФАТА НА НЕКОТОРЫЕ МОРФОЛОГИЧЕСКИЕ ПОКАЗАТЕЛИ КРОВИ И ТИТРЫ СПЕЦИФИЧЕСКИХ АНТИТЕЛ У ПОРОСЯТ, ВАКЦИНИРОВАННЫХ ПРОТИВ КЛАССИЧЕСКОЙ ЧУМЫ СВИНЕЙ</w:t>
      </w:r>
      <w:bookmarkEnd w:id="4360"/>
      <w:bookmarkEnd w:id="4361"/>
      <w:bookmarkEnd w:id="4362"/>
      <w:bookmarkEnd w:id="4363"/>
      <w:bookmarkEnd w:id="4364"/>
      <w:bookmarkEnd w:id="4365"/>
      <w:bookmarkEnd w:id="4366"/>
      <w:bookmarkEnd w:id="4367"/>
      <w:bookmarkEnd w:id="4368"/>
      <w:bookmarkEnd w:id="4369"/>
      <w:bookmarkEnd w:id="4370"/>
    </w:p>
    <w:p w:rsidR="00F4654E" w:rsidRDefault="00F4654E">
      <w:pPr>
        <w:pStyle w:val="2"/>
      </w:pPr>
      <w:bookmarkStart w:id="4371" w:name="_Toc10731509"/>
      <w:bookmarkStart w:id="4372" w:name="_Toc11032341"/>
      <w:bookmarkStart w:id="4373" w:name="_Toc11137970"/>
      <w:bookmarkStart w:id="4374" w:name="_Toc11138388"/>
      <w:bookmarkStart w:id="4375" w:name="_Toc11138806"/>
      <w:bookmarkStart w:id="4376" w:name="_Toc11139224"/>
      <w:bookmarkStart w:id="4377" w:name="_Toc11139642"/>
      <w:bookmarkStart w:id="4378" w:name="_Toc11140060"/>
      <w:bookmarkStart w:id="4379" w:name="_Toc11140478"/>
      <w:bookmarkStart w:id="4380" w:name="_Toc11390584"/>
      <w:bookmarkStart w:id="4381" w:name="_Toc11937805"/>
      <w:r>
        <w:t>Прудников В.С., Жалдыбин В.В., Прудников А.В.</w:t>
      </w:r>
      <w:bookmarkEnd w:id="4371"/>
      <w:bookmarkEnd w:id="4372"/>
      <w:bookmarkEnd w:id="4373"/>
      <w:bookmarkEnd w:id="4374"/>
      <w:bookmarkEnd w:id="4375"/>
      <w:bookmarkEnd w:id="4376"/>
      <w:bookmarkEnd w:id="4377"/>
      <w:bookmarkEnd w:id="4378"/>
      <w:bookmarkEnd w:id="4379"/>
      <w:bookmarkEnd w:id="4380"/>
      <w:bookmarkEnd w:id="4381"/>
    </w:p>
    <w:p w:rsidR="00F4654E" w:rsidRDefault="00F4654E">
      <w:pPr>
        <w:pStyle w:val="a5"/>
      </w:pPr>
      <w:r>
        <w:t>Витебская государственная академия ветеринарной медицины</w:t>
      </w:r>
    </w:p>
    <w:p w:rsidR="00F4654E" w:rsidRDefault="00F4654E">
      <w:pPr>
        <w:pStyle w:val="a6"/>
      </w:pPr>
      <w:r>
        <w:t>В настоящее время в ветеринарной практике широкое применение п</w:t>
      </w:r>
      <w:r>
        <w:t>о</w:t>
      </w:r>
      <w:r>
        <w:t>лучили иммуностимуляторы.</w:t>
      </w:r>
    </w:p>
    <w:p w:rsidR="00F4654E" w:rsidRDefault="00F4654E">
      <w:pPr>
        <w:pStyle w:val="a6"/>
      </w:pPr>
      <w:r>
        <w:t>Целью нашей работы явилось изучение влияния иммуностимулятора натрия тиосульфата на морфологические показатели крови и напряже</w:t>
      </w:r>
      <w:r>
        <w:t>н</w:t>
      </w:r>
      <w:r>
        <w:t>ность гуморального иммунитета у поросят, вакцинированных против кла</w:t>
      </w:r>
      <w:r>
        <w:t>с</w:t>
      </w:r>
      <w:r>
        <w:t xml:space="preserve">сической чумы. </w:t>
      </w:r>
    </w:p>
    <w:p w:rsidR="00F4654E" w:rsidRDefault="00F4654E">
      <w:pPr>
        <w:pStyle w:val="a6"/>
      </w:pPr>
      <w:r>
        <w:lastRenderedPageBreak/>
        <w:t>Опыты проводились на 60 поросятах 5-месячного возраста. Животные были подобраны по принципу аналогов и разделены на 3 группы по 20 г</w:t>
      </w:r>
      <w:r>
        <w:t>о</w:t>
      </w:r>
      <w:r>
        <w:t>лов в каждой. Кормление поросят проводилось спецкомбикормом для да</w:t>
      </w:r>
      <w:r>
        <w:t>н</w:t>
      </w:r>
      <w:r>
        <w:t>ного возраста. Животных 1-ой группы иммунизировали сухой живой в</w:t>
      </w:r>
      <w:r>
        <w:t>и</w:t>
      </w:r>
      <w:r>
        <w:t>русвакциной из штамма «ЛК ВНИИЭВ и М» согласно Наставления. При иммунизации поросят 2-ой группы в качестве разбавителя данной вакцины использовали 30%-ный раствор натрия тиосульфата. Интактные поросята 3-ей группы служили контролем. Морфологическое исследование крови проводили на 5, 14-ый дни и через 3 месяца после вакцинации. Титры сп</w:t>
      </w:r>
      <w:r>
        <w:t>е</w:t>
      </w:r>
      <w:r>
        <w:t>цифических антител в сыворотке крови выявляли через 3 месяца после вакцинации.</w:t>
      </w:r>
    </w:p>
    <w:p w:rsidR="00F4654E" w:rsidRDefault="00F4654E">
      <w:pPr>
        <w:pStyle w:val="a6"/>
      </w:pPr>
      <w:r>
        <w:t>Проведенные нами исследования показали, что под действием натрия тиосульфата в периферической крови вакцинированных животных, ос</w:t>
      </w:r>
      <w:r>
        <w:t>о</w:t>
      </w:r>
      <w:r>
        <w:t>бенно на 14-й день после иммунизации, статистически достоверно возра</w:t>
      </w:r>
      <w:r>
        <w:t>с</w:t>
      </w:r>
      <w:r>
        <w:t>тало, по сравнению с поросятами, вакцинированными одной вакциной, к</w:t>
      </w:r>
      <w:r>
        <w:t>о</w:t>
      </w:r>
      <w:r>
        <w:t>личество эритроцитов (с 5,7±0,11 до 6,78±0,13,  10</w:t>
      </w:r>
      <w:r>
        <w:rPr>
          <w:vertAlign w:val="superscript"/>
        </w:rPr>
        <w:t>12</w:t>
      </w:r>
      <w:r>
        <w:t>/л, Р&lt;0,05), лейкоцитов (с 17,0±0,43 до 20,88±0,42, 10</w:t>
      </w:r>
      <w:r>
        <w:rPr>
          <w:vertAlign w:val="superscript"/>
        </w:rPr>
        <w:t>9</w:t>
      </w:r>
      <w:r>
        <w:t>/л, Р&lt;0,05) и гемоглобина (с 95,45±0,80 до 101,45±0,129 г/л, Р&lt;0,02). Титры специфических антител через 3 месяца после вакцинации п</w:t>
      </w:r>
      <w:r>
        <w:t>о</w:t>
      </w:r>
      <w:r>
        <w:t>росят, иммунизированных с иммуностимулятором, были 1:32-1:64, без иммуностимулятора – 1:16-1:32. Иммунная защище</w:t>
      </w:r>
      <w:r>
        <w:t>н</w:t>
      </w:r>
      <w:r>
        <w:t>ность составляла, соотве</w:t>
      </w:r>
      <w:r>
        <w:t>т</w:t>
      </w:r>
      <w:r>
        <w:t>ственно, 100 и 75%.</w:t>
      </w:r>
    </w:p>
    <w:p w:rsidR="00F4654E" w:rsidRDefault="00F4654E">
      <w:pPr>
        <w:pStyle w:val="a6"/>
      </w:pPr>
      <w:r>
        <w:t>Применение 30%-ного раствора натрия тиосульфата в качестве разб</w:t>
      </w:r>
      <w:r>
        <w:t>а</w:t>
      </w:r>
      <w:r>
        <w:t>вителя сухой живой вакцины против классической чумы способствует а</w:t>
      </w:r>
      <w:r>
        <w:t>к</w:t>
      </w:r>
      <w:r>
        <w:t>тивизации гемопоэза и стимулирует выработку вирус</w:t>
      </w:r>
      <w:r w:rsidR="0001153D">
        <w:t>-</w:t>
      </w:r>
      <w:r>
        <w:t>нейтрализующих а</w:t>
      </w:r>
      <w:r>
        <w:t>н</w:t>
      </w:r>
      <w:r>
        <w:t>тител.</w:t>
      </w:r>
    </w:p>
    <w:p w:rsidR="00F4654E" w:rsidRDefault="00F4654E">
      <w:pPr>
        <w:pStyle w:val="a4"/>
      </w:pPr>
      <w:r>
        <w:t>УКД 619.616.98-078</w:t>
      </w:r>
    </w:p>
    <w:p w:rsidR="00F4654E" w:rsidRDefault="00F4654E">
      <w:pPr>
        <w:pStyle w:val="1"/>
      </w:pPr>
      <w:bookmarkStart w:id="4382" w:name="_Toc10731522"/>
      <w:bookmarkStart w:id="4383" w:name="_Toc11137971"/>
      <w:bookmarkStart w:id="4384" w:name="_Toc11138389"/>
      <w:bookmarkStart w:id="4385" w:name="_Toc11138807"/>
      <w:bookmarkStart w:id="4386" w:name="_Toc11139225"/>
      <w:bookmarkStart w:id="4387" w:name="_Toc11139643"/>
      <w:bookmarkStart w:id="4388" w:name="_Toc11140061"/>
      <w:bookmarkStart w:id="4389" w:name="_Toc11140479"/>
      <w:bookmarkStart w:id="4390" w:name="_Toc11390585"/>
      <w:bookmarkStart w:id="4391" w:name="_Toc11840270"/>
      <w:bookmarkStart w:id="4392" w:name="_Toc11937806"/>
      <w:r>
        <w:t>ДИАГНОСТИТЕЧЕСКАЯ ЭФФЕКТИВНОСТЬ ЦВЕТНОГО АНТИГЕНА ПРИ ЛИСТЕРИОЗЕ ЖИВОТНЫХ И ЧЕЛОВЕКА</w:t>
      </w:r>
      <w:bookmarkEnd w:id="4382"/>
      <w:bookmarkEnd w:id="4383"/>
      <w:bookmarkEnd w:id="4384"/>
      <w:bookmarkEnd w:id="4385"/>
      <w:bookmarkEnd w:id="4386"/>
      <w:bookmarkEnd w:id="4387"/>
      <w:bookmarkEnd w:id="4388"/>
      <w:bookmarkEnd w:id="4389"/>
      <w:bookmarkEnd w:id="4390"/>
      <w:bookmarkEnd w:id="4391"/>
      <w:bookmarkEnd w:id="4392"/>
    </w:p>
    <w:p w:rsidR="00F4654E" w:rsidRDefault="00F4654E">
      <w:pPr>
        <w:pStyle w:val="2"/>
      </w:pPr>
      <w:bookmarkStart w:id="4393" w:name="_Toc10731523"/>
      <w:bookmarkStart w:id="4394" w:name="_Toc11032348"/>
      <w:bookmarkStart w:id="4395" w:name="_Toc11137972"/>
      <w:bookmarkStart w:id="4396" w:name="_Toc11138390"/>
      <w:bookmarkStart w:id="4397" w:name="_Toc11138808"/>
      <w:bookmarkStart w:id="4398" w:name="_Toc11139226"/>
      <w:bookmarkStart w:id="4399" w:name="_Toc11139644"/>
      <w:bookmarkStart w:id="4400" w:name="_Toc11140062"/>
      <w:bookmarkStart w:id="4401" w:name="_Toc11140480"/>
      <w:bookmarkStart w:id="4402" w:name="_Toc11390586"/>
      <w:bookmarkStart w:id="4403" w:name="_Toc11937807"/>
      <w:r>
        <w:t>Рагимова Г.А., Бабаева С.А.*</w:t>
      </w:r>
      <w:bookmarkEnd w:id="4393"/>
      <w:bookmarkEnd w:id="4394"/>
      <w:bookmarkEnd w:id="4395"/>
      <w:bookmarkEnd w:id="4396"/>
      <w:bookmarkEnd w:id="4397"/>
      <w:bookmarkEnd w:id="4398"/>
      <w:bookmarkEnd w:id="4399"/>
      <w:bookmarkEnd w:id="4400"/>
      <w:bookmarkEnd w:id="4401"/>
      <w:bookmarkEnd w:id="4402"/>
      <w:bookmarkEnd w:id="4403"/>
    </w:p>
    <w:p w:rsidR="00F4654E" w:rsidRDefault="00F4654E">
      <w:pPr>
        <w:pStyle w:val="a5"/>
      </w:pPr>
      <w:r>
        <w:t xml:space="preserve">Азербайджанский научно-исследовательский ветеринарный институт </w:t>
      </w:r>
      <w:r>
        <w:br/>
        <w:t>*Министерство здравоохранения Азербайджанской Республики</w:t>
      </w:r>
    </w:p>
    <w:p w:rsidR="00F4654E" w:rsidRDefault="00F4654E">
      <w:pPr>
        <w:pStyle w:val="a6"/>
      </w:pPr>
      <w:r>
        <w:t>Листериоз является острым (или хроническим) инфекционным заб</w:t>
      </w:r>
      <w:r>
        <w:t>о</w:t>
      </w:r>
      <w:r>
        <w:t>леванием вызываемым и передаваемым человеку домашними или дикими животными. Листериоз относится к инфекциям с природной очаговостью. В природных очагах болезни циркуляциям возбудителя происходить в о</w:t>
      </w:r>
      <w:r>
        <w:t>с</w:t>
      </w:r>
      <w:r>
        <w:t>новном среди мелких диких млекопитающих. Имеются сведения об уч</w:t>
      </w:r>
      <w:r>
        <w:t>а</w:t>
      </w:r>
      <w:r>
        <w:t>стии в циркуляции возбудителя иксодовых и гамазовых клещей (А.А. А</w:t>
      </w:r>
      <w:r>
        <w:t>н</w:t>
      </w:r>
      <w:r>
        <w:t>нагиев,1980 и др.). За последние годы внимание к листериозной инфекции усилилось. Однако, достоверных сведений о распространенности листер</w:t>
      </w:r>
      <w:r>
        <w:t>и</w:t>
      </w:r>
      <w:r>
        <w:t xml:space="preserve">озной инфекции нет. В медицинских учреждениях источником заражения могут служить инфицированные отделяемые, околоплодные воды, послед </w:t>
      </w:r>
      <w:r>
        <w:lastRenderedPageBreak/>
        <w:t>и лохии родильниц и др. По этому своевременная диагностики данный з</w:t>
      </w:r>
      <w:r>
        <w:t>а</w:t>
      </w:r>
      <w:r>
        <w:t>болевания у животных и человека имеет огромное значения.</w:t>
      </w:r>
    </w:p>
    <w:p w:rsidR="00F4654E" w:rsidRDefault="00F4654E">
      <w:pPr>
        <w:pStyle w:val="a6"/>
      </w:pPr>
      <w:r>
        <w:t>Прижизненная диагностика листериоза серологическом методом им</w:t>
      </w:r>
      <w:r>
        <w:t>е</w:t>
      </w:r>
      <w:r>
        <w:t>ет большое значение при своевременном проведении профилактических мероприятий. Еще в 1972 году в резолюции симпозиума «Профилактика и меры борьбы с листериозом и лептоспирозом животных была отмечена н</w:t>
      </w:r>
      <w:r>
        <w:t>е</w:t>
      </w:r>
      <w:r>
        <w:t>обходимость разработки компонентов для пробирочной реакции агглют</w:t>
      </w:r>
      <w:r>
        <w:t>и</w:t>
      </w:r>
      <w:r>
        <w:t>нации (РА) листериоза.</w:t>
      </w:r>
    </w:p>
    <w:p w:rsidR="00F4654E" w:rsidRDefault="00F4654E">
      <w:pPr>
        <w:pStyle w:val="a6"/>
      </w:pPr>
      <w:r>
        <w:t>Исследователями установлено, что применение цветных диагност</w:t>
      </w:r>
      <w:r>
        <w:t>и</w:t>
      </w:r>
      <w:r>
        <w:t>кумов при прижизненной серологической диагностике инфекционных б</w:t>
      </w:r>
      <w:r>
        <w:t>о</w:t>
      </w:r>
      <w:r>
        <w:t>лезной усиливает чувствительность серологических реакций.</w:t>
      </w:r>
    </w:p>
    <w:p w:rsidR="00F4654E" w:rsidRDefault="00F4654E">
      <w:pPr>
        <w:pStyle w:val="a6"/>
      </w:pPr>
      <w:r>
        <w:t>В связи с этим сотрудниками АзНИВИ совместно с медработниками были проведены исследования, направленные на усовершенствование р</w:t>
      </w:r>
      <w:r>
        <w:t>е</w:t>
      </w:r>
      <w:r>
        <w:t>акция агглютинации при серологической диагностике за счет среды, и</w:t>
      </w:r>
      <w:r>
        <w:t>с</w:t>
      </w:r>
      <w:r>
        <w:t>пользуемой для ее постановки и изыскание более активного и специфич</w:t>
      </w:r>
      <w:r>
        <w:t>е</w:t>
      </w:r>
      <w:r>
        <w:t>ского к нему антигена. Учитывая, что листериоз вызывается не одним с</w:t>
      </w:r>
      <w:r>
        <w:t>е</w:t>
      </w:r>
      <w:r>
        <w:t>ротипом, то взяв в основу ранее предложенной цветной антиген первого серотипа, приготовили листериозный поливалентный антиген путем по</w:t>
      </w:r>
      <w:r>
        <w:t>д</w:t>
      </w:r>
      <w:r>
        <w:t>бора агглютиабильных штаммов из других серотипов листерий относ</w:t>
      </w:r>
      <w:r>
        <w:t>я</w:t>
      </w:r>
      <w:r>
        <w:t>щихся к 1 и 2 серогруппам.</w:t>
      </w:r>
    </w:p>
    <w:p w:rsidR="00F4654E" w:rsidRDefault="00F4654E">
      <w:pPr>
        <w:pStyle w:val="a6"/>
      </w:pPr>
      <w:r>
        <w:t>Для установления диагностической эффективности поливалентного цветного антигена в 1997 году обследовали 335 проб, 1998 году – 480 проб, 1999 году – 737 проб, 2000 году – 910 проб крови, взятых от беременных женщин. При этом получены положительные результаты в 890 провере</w:t>
      </w:r>
      <w:r>
        <w:t>н</w:t>
      </w:r>
      <w:r>
        <w:t>ных проб крови на РА.</w:t>
      </w:r>
    </w:p>
    <w:p w:rsidR="00F4654E" w:rsidRDefault="00F4654E">
      <w:pPr>
        <w:pStyle w:val="a6"/>
      </w:pPr>
      <w:r>
        <w:t>Таким образом цветной антиген, предложенный АзНИВИ дает пол</w:t>
      </w:r>
      <w:r>
        <w:t>о</w:t>
      </w:r>
      <w:r>
        <w:t>жительной результат при исследовании и листериоза человека.</w:t>
      </w:r>
      <w:r w:rsidR="0001153D">
        <w:t xml:space="preserve"> </w:t>
      </w:r>
      <w:r>
        <w:t>Данный а</w:t>
      </w:r>
      <w:r>
        <w:t>н</w:t>
      </w:r>
      <w:r>
        <w:t>тиген также широко и успешно используется в медици</w:t>
      </w:r>
      <w:r>
        <w:t>н</w:t>
      </w:r>
      <w:r>
        <w:t>ских учреждениях.</w:t>
      </w:r>
    </w:p>
    <w:p w:rsidR="00F4654E" w:rsidRDefault="00F4654E">
      <w:pPr>
        <w:pStyle w:val="a4"/>
      </w:pPr>
      <w:r>
        <w:t>УДК  619:616.992.28:636.2</w:t>
      </w:r>
    </w:p>
    <w:p w:rsidR="00F4654E" w:rsidRDefault="00F4654E">
      <w:pPr>
        <w:pStyle w:val="1"/>
        <w:ind w:firstLine="680"/>
      </w:pPr>
      <w:bookmarkStart w:id="4404" w:name="_Toc10731524"/>
      <w:bookmarkStart w:id="4405" w:name="_Toc11137973"/>
      <w:bookmarkStart w:id="4406" w:name="_Toc11138391"/>
      <w:bookmarkStart w:id="4407" w:name="_Toc11138809"/>
      <w:bookmarkStart w:id="4408" w:name="_Toc11139227"/>
      <w:bookmarkStart w:id="4409" w:name="_Toc11139645"/>
      <w:bookmarkStart w:id="4410" w:name="_Toc11140063"/>
      <w:bookmarkStart w:id="4411" w:name="_Toc11140481"/>
      <w:bookmarkStart w:id="4412" w:name="_Toc11390587"/>
      <w:bookmarkStart w:id="4413" w:name="_Toc11840272"/>
      <w:bookmarkStart w:id="4414" w:name="_Toc11937808"/>
      <w:r>
        <w:t>К ПРОБЛЕМЕ УРОГЕНИТАЛЬНОЙ ФОРМЫ ХЛАМИДИОЗА кРУПНОГО РОГАТОГО СКОТА</w:t>
      </w:r>
      <w:bookmarkEnd w:id="4404"/>
      <w:bookmarkEnd w:id="4405"/>
      <w:bookmarkEnd w:id="4406"/>
      <w:bookmarkEnd w:id="4407"/>
      <w:bookmarkEnd w:id="4408"/>
      <w:bookmarkEnd w:id="4409"/>
      <w:bookmarkEnd w:id="4410"/>
      <w:bookmarkEnd w:id="4411"/>
      <w:bookmarkEnd w:id="4412"/>
      <w:bookmarkEnd w:id="4413"/>
      <w:bookmarkEnd w:id="4414"/>
    </w:p>
    <w:p w:rsidR="00F4654E" w:rsidRDefault="00F4654E">
      <w:pPr>
        <w:pStyle w:val="2"/>
      </w:pPr>
      <w:bookmarkStart w:id="4415" w:name="_Toc10731525"/>
      <w:bookmarkStart w:id="4416" w:name="_Toc11032349"/>
      <w:bookmarkStart w:id="4417" w:name="_Toc11137974"/>
      <w:bookmarkStart w:id="4418" w:name="_Toc11138392"/>
      <w:bookmarkStart w:id="4419" w:name="_Toc11138810"/>
      <w:bookmarkStart w:id="4420" w:name="_Toc11139228"/>
      <w:bookmarkStart w:id="4421" w:name="_Toc11139646"/>
      <w:bookmarkStart w:id="4422" w:name="_Toc11140064"/>
      <w:bookmarkStart w:id="4423" w:name="_Toc11140482"/>
      <w:bookmarkStart w:id="4424" w:name="_Toc11390588"/>
      <w:bookmarkStart w:id="4425" w:name="_Toc11937809"/>
      <w:r>
        <w:t>Распутина О.В.</w:t>
      </w:r>
      <w:bookmarkEnd w:id="4415"/>
      <w:bookmarkEnd w:id="4416"/>
      <w:bookmarkEnd w:id="4417"/>
      <w:bookmarkEnd w:id="4418"/>
      <w:bookmarkEnd w:id="4419"/>
      <w:bookmarkEnd w:id="4420"/>
      <w:bookmarkEnd w:id="4421"/>
      <w:bookmarkEnd w:id="4422"/>
      <w:bookmarkEnd w:id="4423"/>
      <w:bookmarkEnd w:id="4424"/>
      <w:bookmarkEnd w:id="4425"/>
    </w:p>
    <w:p w:rsidR="00F4654E" w:rsidRDefault="00F4654E">
      <w:pPr>
        <w:pStyle w:val="a5"/>
      </w:pPr>
      <w:r>
        <w:t>ЗАО «Росветфарм»</w:t>
      </w:r>
    </w:p>
    <w:p w:rsidR="00F4654E" w:rsidRDefault="00F4654E">
      <w:pPr>
        <w:pStyle w:val="a6"/>
      </w:pPr>
      <w:r>
        <w:t>Большая роль в возникновении заболеваний, оказывающих опред</w:t>
      </w:r>
      <w:r>
        <w:t>е</w:t>
      </w:r>
      <w:r>
        <w:t>ленное влияние на показатели воспроизводства стада  и сохранность м</w:t>
      </w:r>
      <w:r>
        <w:t>о</w:t>
      </w:r>
      <w:r>
        <w:t>лодняка отводится хламидиям. Хламидии - облигатные внутриклеточные паразиты, объединенные в порядок Сhlamydiaceae, род Clamydia, вкл</w:t>
      </w:r>
      <w:r>
        <w:t>ю</w:t>
      </w:r>
      <w:r>
        <w:t>чающий четыре вида: Chl. trachomatis, Chl.pecorum, Chl.pneumoniae, Chl.psitacci. Цикл развития хламидий происходит в вакуолях, образова</w:t>
      </w:r>
      <w:r>
        <w:t>н</w:t>
      </w:r>
      <w:r>
        <w:t>ных цитоплазматической мембраной клетки-хозяина, по схеме: элемента</w:t>
      </w:r>
      <w:r>
        <w:t>р</w:t>
      </w:r>
      <w:r>
        <w:t xml:space="preserve">ное тельце </w:t>
      </w:r>
      <w:r>
        <w:sym w:font="Symbol" w:char="F0AE"/>
      </w:r>
      <w:r>
        <w:t xml:space="preserve"> (ЭТ) </w:t>
      </w:r>
      <w:r>
        <w:sym w:font="Symbol" w:char="F0AE"/>
      </w:r>
      <w:r>
        <w:t xml:space="preserve"> ретикулярное тельце (РТ) </w:t>
      </w:r>
      <w:r>
        <w:sym w:font="Symbol" w:char="F0AE"/>
      </w:r>
      <w:r>
        <w:t xml:space="preserve"> ретикулярные тельца </w:t>
      </w:r>
      <w:r>
        <w:sym w:font="Symbol" w:char="F0AE"/>
      </w:r>
      <w:r>
        <w:t xml:space="preserve"> </w:t>
      </w:r>
      <w:r>
        <w:lastRenderedPageBreak/>
        <w:t xml:space="preserve">промежуточные тельца </w:t>
      </w:r>
      <w:r>
        <w:sym w:font="Symbol" w:char="F0AE"/>
      </w:r>
      <w:r>
        <w:t xml:space="preserve"> элементарные тельца, длится от двух до трех с</w:t>
      </w:r>
      <w:r>
        <w:t>у</w:t>
      </w:r>
      <w:r>
        <w:t>ток и заканчивается выходом ЭТ из клетки-хозяина с последующим зар</w:t>
      </w:r>
      <w:r>
        <w:t>а</w:t>
      </w:r>
      <w:r>
        <w:t>жением новых клеток. ЭТ обладают инфекционностью и ограниченной м</w:t>
      </w:r>
      <w:r>
        <w:t>е</w:t>
      </w:r>
      <w:r>
        <w:t>таболической активностью, РТ – неинфекционные, с выраженной метаб</w:t>
      </w:r>
      <w:r>
        <w:t>о</w:t>
      </w:r>
      <w:r>
        <w:t>лической активностью.</w:t>
      </w:r>
    </w:p>
    <w:p w:rsidR="00F4654E" w:rsidRDefault="00F4654E">
      <w:pPr>
        <w:pStyle w:val="a6"/>
      </w:pPr>
      <w:r>
        <w:t>Обладая уникальным циклом развития, хламидии вступают в особые взаимоотношения с клеткой-хозяином, которые, чаще всего сопровожда-ются гибелью последней. В некоторых случаях хламидии высвобождаются через узкий ободок цитоплазмы и клетка сохраняет жизнеспособность в т.ч. способность к делению и передаче хламидий дочерним клеткам. В клетках мононуклеарно-фагоцитарной системы (макрофагах) хламидии персистируют длительное время и лишь при активизации специфического иммунитета  у макрофагов появляется способность  к внутриклеточному “перевариванию” хламидий. Макрофагальная персистенция хламидий - это своеобразная защита от действия лекарственных веществ и возможность распространения по всему организму. Макрофагальная персистенция и, наряду с этим, возможность сохранения жизнеспособности клетки после ее инфицирования хламидиями объясняют явление бессимптомного течения хламидийной инфекции.</w:t>
      </w:r>
    </w:p>
    <w:p w:rsidR="00F4654E" w:rsidRDefault="00F4654E">
      <w:pPr>
        <w:pStyle w:val="a6"/>
      </w:pPr>
      <w:r>
        <w:t>Заболевание у животных вызывают C.psittaci,  C.pecorum. Хламидии обладают широким спектром патогенности и поражают 130 видов птиц и 32 вида млекопитающих, включая человека.</w:t>
      </w:r>
    </w:p>
    <w:p w:rsidR="00F4654E" w:rsidRDefault="00F4654E">
      <w:pPr>
        <w:pStyle w:val="a6"/>
      </w:pPr>
      <w:r>
        <w:t>Известно несколько нозологических единиц хламидиоза крупного р</w:t>
      </w:r>
      <w:r>
        <w:t>о</w:t>
      </w:r>
      <w:r>
        <w:t>гатого скота, среди которых особой значимостью выделяется  уроген</w:t>
      </w:r>
      <w:r>
        <w:t>и</w:t>
      </w:r>
      <w:r>
        <w:t>тальная форма: у самок –  аборт, задержание последа, эндометрит, вагинит; у самцов – орхит, периорхит, баланопостит, уретрит и различные их соч</w:t>
      </w:r>
      <w:r>
        <w:t>е</w:t>
      </w:r>
      <w:r>
        <w:t>тания. Симптомы заболевания не имеют специфических черт и во многих случаях ассоциируются с другими половыми инфекциями (микоплазмоз). Латентная форма – наиболее часто встречаемая нозологическая единица, которая клинически проявляется в момент усиленной функциональной н</w:t>
      </w:r>
      <w:r>
        <w:t>а</w:t>
      </w:r>
      <w:r>
        <w:t>грузки (роды, послеродовой период), при воздействии неблагоприятных факторов внешней среды, способствующих снижению общей резистентн</w:t>
      </w:r>
      <w:r>
        <w:t>о</w:t>
      </w:r>
      <w:r>
        <w:t>сти организма и активизации условно-патогенной микрофлоры. При н</w:t>
      </w:r>
      <w:r>
        <w:t>е</w:t>
      </w:r>
      <w:r>
        <w:t>адекватном лечении острая форма заболевания сопровождается осложн</w:t>
      </w:r>
      <w:r>
        <w:t>е</w:t>
      </w:r>
      <w:r>
        <w:t xml:space="preserve">ниями, имеющими тенденцию к хронизации и приводящими к бесплодию. </w:t>
      </w:r>
    </w:p>
    <w:p w:rsidR="00F4654E" w:rsidRDefault="00F4654E">
      <w:pPr>
        <w:pStyle w:val="a6"/>
      </w:pPr>
      <w:r>
        <w:t>Заболевание коров хламидиозом может сопровождаться рождением маложизнеспособного потомства или мертворождениями. Заражение плода происходит трансплацентарно (внутриутробный хламидиоз), в родовых путях при отеле (ранний постнатальный хламидиоз), при контакте с бол</w:t>
      </w:r>
      <w:r>
        <w:t>ь</w:t>
      </w:r>
      <w:r>
        <w:t>ными животными–источниками инфекции (постнатальный хламидиоз). Отличительная особенность внутриутробного хламидиоза – генера-лизованная инфекция с ярко выраженными клиническими признаками п</w:t>
      </w:r>
      <w:r>
        <w:t>о</w:t>
      </w:r>
      <w:r>
        <w:t xml:space="preserve">ражения центральной нервной системы, желудочно-кишечного тракта, </w:t>
      </w:r>
      <w:r>
        <w:lastRenderedPageBreak/>
        <w:t>суставов, глаз. Постнатальный хламидиоз, в т. ч. ранний постнатальный хламидиоз, развивается в первые дни жизни животного и характеризуется диареей, полиартритом с преимущественным поражением скакательных суставов, пневмонией, конъюнктивитом. Неэффективное лечение телят и отсутствие контроля за его эффективностью обуславливает переход ук</w:t>
      </w:r>
      <w:r>
        <w:t>а</w:t>
      </w:r>
      <w:r>
        <w:t xml:space="preserve">занных форм заболевания в персистирующую бессимптомную инфекцию уже среди животных репродуктивного стада. </w:t>
      </w:r>
    </w:p>
    <w:p w:rsidR="00F4654E" w:rsidRDefault="00F4654E">
      <w:pPr>
        <w:pStyle w:val="a6"/>
      </w:pPr>
      <w:r>
        <w:t>Основной путь передачи хламидиоза – через сперму больного быка-производителя. Несмотря на то, что быки-производители подвергаются обязательному серологическому обследованию на хламидиоз, инфицир</w:t>
      </w:r>
      <w:r>
        <w:t>о</w:t>
      </w:r>
      <w:r>
        <w:t>вание через сперму считается одним из основных путей. Это обусловлено тем, что исследованиями методом РСК выявляется лишь незначительное количество больных животных в связи с его низкой эффективностью  и больные хламидиозом быки-производители длительное время остаются продуцентами спермы и источниками инфекции.</w:t>
      </w:r>
    </w:p>
    <w:p w:rsidR="00F4654E" w:rsidRDefault="00F4654E">
      <w:pPr>
        <w:pStyle w:val="a6"/>
      </w:pPr>
      <w:r>
        <w:t>Таким образом, урогенитальная форма хламидиоза способствует во</w:t>
      </w:r>
      <w:r>
        <w:t>з</w:t>
      </w:r>
      <w:r>
        <w:t xml:space="preserve">никновению длительной персистирующей инфекции, циркулирующей в замкнутом цикле: репродуктивное стадо </w:t>
      </w:r>
      <w:r>
        <w:sym w:font="Symbol" w:char="F0AE"/>
      </w:r>
      <w:r>
        <w:t xml:space="preserve"> телята </w:t>
      </w:r>
      <w:r>
        <w:sym w:font="Symbol" w:char="F0AE"/>
      </w:r>
      <w:r>
        <w:t xml:space="preserve"> репродуктивное ст</w:t>
      </w:r>
      <w:r>
        <w:t>а</w:t>
      </w:r>
      <w:r>
        <w:t>до. Экономические потери хозяйства при генитальной форме хламидиоза исчисляются затратами на лечение, снижением показателей воспроизво</w:t>
      </w:r>
      <w:r>
        <w:t>д</w:t>
      </w:r>
      <w:r>
        <w:t xml:space="preserve">ства, выбраковкой животных репродуктивного стада. </w:t>
      </w:r>
    </w:p>
    <w:p w:rsidR="00F4654E" w:rsidRDefault="00F4654E">
      <w:pPr>
        <w:pStyle w:val="a6"/>
      </w:pPr>
      <w:r>
        <w:t>Нами установлено, что через 16-22 месяца после переболевания телят хламидийным артритом, у животных сохраняются остаточные явления в тканях суставов, обуславливающих неправильную постановку конечн</w:t>
      </w:r>
      <w:r>
        <w:t>о</w:t>
      </w:r>
      <w:r>
        <w:t>стей; патологические изменения в половом аппарате с одновременной циркуляцией хламидийных антител. Эти изменения служат причиной в</w:t>
      </w:r>
      <w:r>
        <w:t>ы</w:t>
      </w:r>
      <w:r>
        <w:t>браковки в репродуктивном стаде в 45,4% случаев.</w:t>
      </w:r>
      <w:r>
        <w:tab/>
      </w:r>
    </w:p>
    <w:p w:rsidR="00F4654E" w:rsidRDefault="00F4654E">
      <w:pPr>
        <w:pStyle w:val="a6"/>
      </w:pPr>
      <w:r>
        <w:t>Широкое распространение хламидиоза крупного рогатого скота среди животных репродуктивной группы подтверждаются данными Новосиби</w:t>
      </w:r>
      <w:r>
        <w:t>р</w:t>
      </w:r>
      <w:r>
        <w:t>ской областной ветеринарной лаборатории. Так, количество серополож</w:t>
      </w:r>
      <w:r>
        <w:t>и</w:t>
      </w:r>
      <w:r>
        <w:t>тельных животных, выявленных методом РСК в период с 08.12.00 г. по 04.12.01 г. составляет 9,12% от количества обследованных животных этого вида. Высокий уровень положительно реагирующих животных отмечен среди абортировавших коров (28,57%), быков-производителей (16%), пл</w:t>
      </w:r>
      <w:r>
        <w:t>е</w:t>
      </w:r>
      <w:r>
        <w:t>менных бычков (10,49%) и телок случного периода (8,33%)</w:t>
      </w:r>
    </w:p>
    <w:p w:rsidR="00F4654E" w:rsidRDefault="00F4654E">
      <w:pPr>
        <w:pStyle w:val="a6"/>
      </w:pPr>
      <w:r>
        <w:t>Следует отметить, что диагностическая ценность указанного метода диагностики требует соответствующей интерпретации. Это связано с тем , что во многих случаях острого течения заболевания хламидийные антитела не удаётся выявить. Широкое распространение антибиотикотерапии также способствует более позднему появлению комплементсвязывающих ант</w:t>
      </w:r>
      <w:r>
        <w:t>и</w:t>
      </w:r>
      <w:r>
        <w:t>тел в низких титрах и отсутствию их нарастания в динамике.</w:t>
      </w:r>
    </w:p>
    <w:p w:rsidR="00F4654E" w:rsidRDefault="00F4654E">
      <w:pPr>
        <w:pStyle w:val="a6"/>
      </w:pPr>
      <w:r>
        <w:t>Лечение урогенитального хламидиоза представляет собой один из сложных аспектов данной проблемы, что связано с особенностями возб</w:t>
      </w:r>
      <w:r>
        <w:t>у</w:t>
      </w:r>
      <w:r>
        <w:lastRenderedPageBreak/>
        <w:t>дителя, наличия сочетанных форм заболевания, значительными матер</w:t>
      </w:r>
      <w:r>
        <w:t>и</w:t>
      </w:r>
      <w:r>
        <w:t>альными затратами. Препаратами выбора в качестве этиотропной терапии являются антибиотики тетрациклинового ряда и их различные композ</w:t>
      </w:r>
      <w:r>
        <w:t>и</w:t>
      </w:r>
      <w:r>
        <w:t>ции. Наряду с этим, необходимо применять симптоматические средства, иммуномодуляторы, средства, профилактирующие дисбактериоз. При этом важен правильный выбор лекарственных средств, сочетающих в себе эк</w:t>
      </w:r>
      <w:r>
        <w:t>о</w:t>
      </w:r>
      <w:r>
        <w:t>номичность и эффективность. Необходимо также проведение исследов</w:t>
      </w:r>
      <w:r>
        <w:t>а</w:t>
      </w:r>
      <w:r>
        <w:t xml:space="preserve">ний по контролю эффективности лечения. </w:t>
      </w:r>
    </w:p>
    <w:p w:rsidR="00F4654E" w:rsidRDefault="00F4654E">
      <w:pPr>
        <w:pStyle w:val="a6"/>
      </w:pPr>
      <w:r>
        <w:tab/>
        <w:t>Таким образом, в комплексе мероприятий по улучшению воспроиз-водства стада и сохранности молодняка следует придавать большое знач</w:t>
      </w:r>
      <w:r>
        <w:t>е</w:t>
      </w:r>
      <w:r>
        <w:t>ние мероприятиям по борьбе  с хламидиозом, в т.ч. персистирующей ур</w:t>
      </w:r>
      <w:r>
        <w:t>о</w:t>
      </w:r>
      <w:r>
        <w:t>генитальной инфекцией. Для успешной разработки мер борьбы с таким опасным заболеванием, как хламидиоз, необходимо внедрение усоверше</w:t>
      </w:r>
      <w:r>
        <w:t>н</w:t>
      </w:r>
      <w:r>
        <w:t>ствованных методов диагностики, основанных на прямом обнаружении возбудителя, позволяющих выявить больных животных на ранних стадиях развития заболевания и тем самым предотвращать его дальнейшее распр</w:t>
      </w:r>
      <w:r>
        <w:t>о</w:t>
      </w:r>
      <w:r>
        <w:t>странение. К таким методам относятся: метод прямой иммунофлуоресце</w:t>
      </w:r>
      <w:r>
        <w:t>н</w:t>
      </w:r>
      <w:r>
        <w:t>ции и наиболее перспективный – метод специфической ампфлификации нуклеиновых кислот in vitro (ПЦР).</w:t>
      </w:r>
    </w:p>
    <w:p w:rsidR="00F4654E" w:rsidRDefault="00F4654E">
      <w:pPr>
        <w:pStyle w:val="a4"/>
      </w:pPr>
      <w:r>
        <w:t>УДК 636.083.14</w:t>
      </w:r>
    </w:p>
    <w:p w:rsidR="00F4654E" w:rsidRDefault="00F4654E">
      <w:pPr>
        <w:pStyle w:val="1"/>
      </w:pPr>
      <w:bookmarkStart w:id="4426" w:name="_Toc10731530"/>
      <w:bookmarkStart w:id="4427" w:name="_Toc11137979"/>
      <w:bookmarkStart w:id="4428" w:name="_Toc11138397"/>
      <w:bookmarkStart w:id="4429" w:name="_Toc11138815"/>
      <w:bookmarkStart w:id="4430" w:name="_Toc11139233"/>
      <w:bookmarkStart w:id="4431" w:name="_Toc11139651"/>
      <w:bookmarkStart w:id="4432" w:name="_Toc11140069"/>
      <w:bookmarkStart w:id="4433" w:name="_Toc11140487"/>
      <w:bookmarkStart w:id="4434" w:name="_Toc11390591"/>
      <w:bookmarkStart w:id="4435" w:name="_Toc11840274"/>
      <w:bookmarkStart w:id="4436" w:name="_Toc11937810"/>
      <w:r>
        <w:t>О ВОЗМОЖНОСТИ ИСПОЛЬЗОВАНИЯ ПРИРОДНЫХ ЦЕОЛИТОВ, В КАЧЕСТВЕ ДЕЗОДОРАТОРОВ ЖИВОТНОВОДЧЕСКИХ ПОМЕЩЕНИЙ</w:t>
      </w:r>
      <w:bookmarkEnd w:id="4426"/>
      <w:bookmarkEnd w:id="4427"/>
      <w:bookmarkEnd w:id="4428"/>
      <w:bookmarkEnd w:id="4429"/>
      <w:bookmarkEnd w:id="4430"/>
      <w:bookmarkEnd w:id="4431"/>
      <w:bookmarkEnd w:id="4432"/>
      <w:bookmarkEnd w:id="4433"/>
      <w:bookmarkEnd w:id="4434"/>
      <w:bookmarkEnd w:id="4435"/>
      <w:bookmarkEnd w:id="4436"/>
    </w:p>
    <w:p w:rsidR="00F4654E" w:rsidRDefault="00F4654E">
      <w:pPr>
        <w:pStyle w:val="2"/>
      </w:pPr>
      <w:bookmarkStart w:id="4437" w:name="_Toc10731531"/>
      <w:bookmarkStart w:id="4438" w:name="_Toc11032352"/>
      <w:bookmarkStart w:id="4439" w:name="_Toc11137980"/>
      <w:bookmarkStart w:id="4440" w:name="_Toc11138398"/>
      <w:bookmarkStart w:id="4441" w:name="_Toc11138816"/>
      <w:bookmarkStart w:id="4442" w:name="_Toc11139234"/>
      <w:bookmarkStart w:id="4443" w:name="_Toc11139652"/>
      <w:bookmarkStart w:id="4444" w:name="_Toc11140070"/>
      <w:bookmarkStart w:id="4445" w:name="_Toc11140488"/>
      <w:bookmarkStart w:id="4446" w:name="_Toc11390592"/>
      <w:bookmarkStart w:id="4447" w:name="_Toc11937811"/>
      <w:r>
        <w:t>Ребезов М.Б.</w:t>
      </w:r>
      <w:bookmarkEnd w:id="4437"/>
      <w:bookmarkEnd w:id="4438"/>
      <w:bookmarkEnd w:id="4439"/>
      <w:bookmarkEnd w:id="4440"/>
      <w:bookmarkEnd w:id="4441"/>
      <w:bookmarkEnd w:id="4442"/>
      <w:bookmarkEnd w:id="4443"/>
      <w:bookmarkEnd w:id="4444"/>
      <w:bookmarkEnd w:id="4445"/>
      <w:bookmarkEnd w:id="4446"/>
      <w:bookmarkEnd w:id="4447"/>
    </w:p>
    <w:p w:rsidR="00F4654E" w:rsidRDefault="00F4654E">
      <w:pPr>
        <w:pStyle w:val="a5"/>
      </w:pPr>
      <w:r>
        <w:t>Магнитогорский государственный технический университет</w:t>
      </w:r>
    </w:p>
    <w:p w:rsidR="00F4654E" w:rsidRDefault="00F4654E">
      <w:pPr>
        <w:pStyle w:val="a6"/>
      </w:pPr>
      <w:r>
        <w:t>Огромное количество животных экскрементов создает серьезную проблему как для охраны рек и водоемов, так и охраны здоровья людей и животных. На животноводческих и птицеводческих фермах цеолит и</w:t>
      </w:r>
      <w:r>
        <w:t>с</w:t>
      </w:r>
      <w:r>
        <w:t>пользуется для удаления запаха (снижение концентрации аммиака и др</w:t>
      </w:r>
      <w:r>
        <w:t>у</w:t>
      </w:r>
      <w:r>
        <w:t>гих газов) и для осушки экскрементов (Дзагуров Б.А., Данчев К.,  и др.). Обработка природными цеолитами отходов животноводства способствует улучшению содержания животных и птиц (уменьшается вонь экскреме</w:t>
      </w:r>
      <w:r>
        <w:t>н</w:t>
      </w:r>
      <w:r>
        <w:t>тов), уменьшается влажность навоза и увеличивается сохранность его п</w:t>
      </w:r>
      <w:r>
        <w:t>и</w:t>
      </w:r>
      <w:r>
        <w:t>тательной ценности. Смешивание птичьего помета с цеолитом  дает во</w:t>
      </w:r>
      <w:r>
        <w:t>з</w:t>
      </w:r>
      <w:r>
        <w:t>можность получения удобрения и богатой протеином пищи для животных (Погребняк А.И и др.).</w:t>
      </w:r>
    </w:p>
    <w:p w:rsidR="00F4654E" w:rsidRDefault="00F4654E">
      <w:pPr>
        <w:pStyle w:val="a6"/>
      </w:pPr>
      <w:r>
        <w:t>Нами прове</w:t>
      </w:r>
      <w:r>
        <w:softHyphen/>
        <w:t>дены исследования по изучению возможности использ</w:t>
      </w:r>
      <w:r>
        <w:t>о</w:t>
      </w:r>
      <w:r>
        <w:t>вания природных цеолитов Южного Урала в каче</w:t>
      </w:r>
      <w:r>
        <w:softHyphen/>
        <w:t>стве дезодораторов ж</w:t>
      </w:r>
      <w:r>
        <w:t>и</w:t>
      </w:r>
      <w:r>
        <w:t>вотноводческих помещений. Природные цеолиты обладают высокой ги</w:t>
      </w:r>
      <w:r>
        <w:t>г</w:t>
      </w:r>
      <w:r>
        <w:t>роскопичностью, пористостью и сорбционными свойствами.</w:t>
      </w:r>
    </w:p>
    <w:p w:rsidR="00F4654E" w:rsidRDefault="00F4654E">
      <w:pPr>
        <w:pStyle w:val="a6"/>
      </w:pPr>
      <w:r>
        <w:t>Для проведения исследований природные цеолиты были подготовл</w:t>
      </w:r>
      <w:r>
        <w:t>е</w:t>
      </w:r>
      <w:r>
        <w:t>ны по специальной технологии. Нами разработана нормативная докуме</w:t>
      </w:r>
      <w:r>
        <w:t>н</w:t>
      </w:r>
      <w:r>
        <w:lastRenderedPageBreak/>
        <w:t>тация на природный цеолит Южно-Уральского месторождения (технич</w:t>
      </w:r>
      <w:r>
        <w:t>е</w:t>
      </w:r>
      <w:r>
        <w:t>ские условия, технологическая инструкция, временное наставление по применению).</w:t>
      </w:r>
    </w:p>
    <w:p w:rsidR="00F4654E" w:rsidRDefault="00F4654E">
      <w:pPr>
        <w:pStyle w:val="a6"/>
      </w:pPr>
      <w:r>
        <w:t>Был поставлен производственный опыт в свинарнике ЗАО «ТСС» Агаповского района. Для проведения исследований было отобрано 5 ста</w:t>
      </w:r>
      <w:r>
        <w:t>н</w:t>
      </w:r>
      <w:r>
        <w:t>ков, находя</w:t>
      </w:r>
      <w:r>
        <w:softHyphen/>
        <w:t>щихся в разных местах помещения, где содержались поросята трехмесячного возраста.</w:t>
      </w:r>
    </w:p>
    <w:p w:rsidR="00F4654E" w:rsidRDefault="00F4654E">
      <w:pPr>
        <w:pStyle w:val="a6"/>
      </w:pPr>
      <w:r>
        <w:t xml:space="preserve">Измерения концентрации аммиака проводили в трех местах каждого станка через каждые четыре часа в течение суток, на высоте 20-25 см от пола. За основу итогового показателя бралась средняя арифметическая из  трех измерений. </w:t>
      </w:r>
    </w:p>
    <w:p w:rsidR="00F4654E" w:rsidRDefault="00F4654E">
      <w:pPr>
        <w:pStyle w:val="a6"/>
      </w:pPr>
      <w:r>
        <w:t>Полученные результаты измерений, свидетельствуют о закономерном и последовательном снижении концентрации аммиака  в воздухе станков на 13 – 37 % , в зависимости от  количества вносимого природного цеол</w:t>
      </w:r>
      <w:r>
        <w:t>и</w:t>
      </w:r>
      <w:r>
        <w:t>та. Внесение  500 грамм природного цеолита на 1 м</w:t>
      </w:r>
      <w:r>
        <w:rPr>
          <w:vertAlign w:val="superscript"/>
        </w:rPr>
        <w:t>2</w:t>
      </w:r>
      <w:r>
        <w:t xml:space="preserve"> пола станка свина</w:t>
      </w:r>
      <w:r>
        <w:t>р</w:t>
      </w:r>
      <w:r>
        <w:t>ника способствует снижению концентрации аммиака в воздухе. Вносить цеолит необходимо ежедневно, после чистки станков. С помощью приро</w:t>
      </w:r>
      <w:r>
        <w:t>д</w:t>
      </w:r>
      <w:r>
        <w:t>ных цеолитов открывается реальная возможность повысить продукти</w:t>
      </w:r>
      <w:r>
        <w:t>в</w:t>
      </w:r>
      <w:r>
        <w:t>ность животных и улучшить условия содержания животных.</w:t>
      </w:r>
    </w:p>
    <w:p w:rsidR="00F4654E" w:rsidRDefault="00F4654E">
      <w:pPr>
        <w:pStyle w:val="a4"/>
      </w:pPr>
      <w:r>
        <w:t>УДК 636.087.7:636.5</w:t>
      </w:r>
    </w:p>
    <w:p w:rsidR="00F4654E" w:rsidRDefault="00F4654E">
      <w:pPr>
        <w:pStyle w:val="1"/>
      </w:pPr>
      <w:bookmarkStart w:id="4448" w:name="_Toc10731532"/>
      <w:bookmarkStart w:id="4449" w:name="_Toc11137981"/>
      <w:bookmarkStart w:id="4450" w:name="_Toc11138399"/>
      <w:bookmarkStart w:id="4451" w:name="_Toc11138817"/>
      <w:bookmarkStart w:id="4452" w:name="_Toc11139235"/>
      <w:bookmarkStart w:id="4453" w:name="_Toc11139653"/>
      <w:bookmarkStart w:id="4454" w:name="_Toc11140071"/>
      <w:bookmarkStart w:id="4455" w:name="_Toc11140489"/>
      <w:bookmarkStart w:id="4456" w:name="_Toc11390593"/>
      <w:bookmarkStart w:id="4457" w:name="_Toc11840276"/>
      <w:bookmarkStart w:id="4458" w:name="_Toc11937812"/>
      <w:r>
        <w:t>РЕЗУЛЬТАТЫ ПРИМЕНЕНИЯ ПРИРОДНЫХ ЦЕОЛИТОВ ЮЖНОГО УРАЛА В ПТИЦЕВОДЧЕСКИХ ХОЗЯЙСТВАХ</w:t>
      </w:r>
      <w:bookmarkEnd w:id="4448"/>
      <w:bookmarkEnd w:id="4449"/>
      <w:bookmarkEnd w:id="4450"/>
      <w:bookmarkEnd w:id="4451"/>
      <w:bookmarkEnd w:id="4452"/>
      <w:bookmarkEnd w:id="4453"/>
      <w:bookmarkEnd w:id="4454"/>
      <w:bookmarkEnd w:id="4455"/>
      <w:bookmarkEnd w:id="4456"/>
      <w:bookmarkEnd w:id="4457"/>
      <w:bookmarkEnd w:id="4458"/>
    </w:p>
    <w:p w:rsidR="00F4654E" w:rsidRDefault="00F4654E">
      <w:pPr>
        <w:pStyle w:val="2"/>
      </w:pPr>
      <w:bookmarkStart w:id="4459" w:name="_Toc10731533"/>
      <w:bookmarkStart w:id="4460" w:name="_Toc11032353"/>
      <w:bookmarkStart w:id="4461" w:name="_Toc11137982"/>
      <w:bookmarkStart w:id="4462" w:name="_Toc11138400"/>
      <w:bookmarkStart w:id="4463" w:name="_Toc11138818"/>
      <w:bookmarkStart w:id="4464" w:name="_Toc11139236"/>
      <w:bookmarkStart w:id="4465" w:name="_Toc11139654"/>
      <w:bookmarkStart w:id="4466" w:name="_Toc11140072"/>
      <w:bookmarkStart w:id="4467" w:name="_Toc11140490"/>
      <w:bookmarkStart w:id="4468" w:name="_Toc11390594"/>
      <w:bookmarkStart w:id="4469" w:name="_Toc11937813"/>
      <w:r>
        <w:t>Ребезов М.Б.</w:t>
      </w:r>
      <w:bookmarkEnd w:id="4459"/>
      <w:bookmarkEnd w:id="4460"/>
      <w:bookmarkEnd w:id="4461"/>
      <w:bookmarkEnd w:id="4462"/>
      <w:bookmarkEnd w:id="4463"/>
      <w:bookmarkEnd w:id="4464"/>
      <w:bookmarkEnd w:id="4465"/>
      <w:bookmarkEnd w:id="4466"/>
      <w:bookmarkEnd w:id="4467"/>
      <w:bookmarkEnd w:id="4468"/>
      <w:bookmarkEnd w:id="4469"/>
    </w:p>
    <w:p w:rsidR="00F4654E" w:rsidRDefault="00F4654E">
      <w:pPr>
        <w:pStyle w:val="a5"/>
      </w:pPr>
      <w:r>
        <w:t>Магнитогорский государственный технический университет</w:t>
      </w:r>
    </w:p>
    <w:p w:rsidR="00F4654E" w:rsidRDefault="00F4654E">
      <w:pPr>
        <w:pStyle w:val="a6"/>
      </w:pPr>
      <w:r>
        <w:t>В последние годы разработаны и активно применяются в рационе ж</w:t>
      </w:r>
      <w:r>
        <w:t>и</w:t>
      </w:r>
      <w:r>
        <w:t>вотных кормовые добавки с использованием цеолитов, что ведет к стим</w:t>
      </w:r>
      <w:r>
        <w:t>у</w:t>
      </w:r>
      <w:r>
        <w:t>ляции их роста и развития. Применение любых кормовых добавок должно обеспечивать безвредность для здоровья человека и животных, а также п</w:t>
      </w:r>
      <w:r>
        <w:t>о</w:t>
      </w:r>
      <w:r>
        <w:t>лучение высококачественной продукции.</w:t>
      </w:r>
    </w:p>
    <w:p w:rsidR="00F4654E" w:rsidRDefault="00F4654E">
      <w:pPr>
        <w:pStyle w:val="a6"/>
      </w:pPr>
      <w:r>
        <w:t>Целью проводившихся исследований являлось изучение влияния на физиологическое состояние, гематологические и биохимические показат</w:t>
      </w:r>
      <w:r>
        <w:t>е</w:t>
      </w:r>
      <w:r>
        <w:t>ли крови, продуктивность, качество мяса и яиц кур-несушек цеолита Ю</w:t>
      </w:r>
      <w:r>
        <w:t>ж</w:t>
      </w:r>
      <w:r>
        <w:t xml:space="preserve">но-Уральского месторождения. </w:t>
      </w:r>
    </w:p>
    <w:p w:rsidR="00F4654E" w:rsidRDefault="00F4654E">
      <w:pPr>
        <w:pStyle w:val="a6"/>
      </w:pPr>
      <w:r>
        <w:t>Испытание эффективности применения цеолита на курах-несушках показало, что под влиянием природных минералов достоверно увеличив</w:t>
      </w:r>
      <w:r>
        <w:t>а</w:t>
      </w:r>
      <w:r>
        <w:t>ется содержание общего белка до 4,2 %, общего кальция - до 27,4 %, нео</w:t>
      </w:r>
      <w:r>
        <w:t>р</w:t>
      </w:r>
      <w:r>
        <w:t>ганического фосфора - до 12,4 %, меди - до 11,2 %, железа - до 16,7 %, магния - до 21,1 %, также нормализуется соотношение между общим кал</w:t>
      </w:r>
      <w:r>
        <w:t>ь</w:t>
      </w:r>
      <w:r>
        <w:t>цием и н</w:t>
      </w:r>
      <w:r>
        <w:t>е</w:t>
      </w:r>
      <w:r>
        <w:t>органическим фосфором.</w:t>
      </w:r>
    </w:p>
    <w:p w:rsidR="00F4654E" w:rsidRDefault="00F4654E">
      <w:pPr>
        <w:pStyle w:val="a6"/>
      </w:pPr>
      <w:r>
        <w:lastRenderedPageBreak/>
        <w:t>Применение цеолитов эффективно, так как у кур-несушек происходит улучшение обменных процессов, повышение усвояемости питательных веществ, что в конечном итоге сказывается на продуктивности птиц.</w:t>
      </w:r>
    </w:p>
    <w:p w:rsidR="00F4654E" w:rsidRDefault="00F4654E">
      <w:pPr>
        <w:pStyle w:val="a6"/>
      </w:pPr>
      <w:r>
        <w:t>Нами была проведена ветеринарно-санитарная экспертиза, изучены физико-химические свойства и дана оценка органолептическим свойс</w:t>
      </w:r>
      <w:r>
        <w:t>т</w:t>
      </w:r>
      <w:r>
        <w:t>вам мяса птицы. При убое птиц опытной группы, в тушках, во внутренних о</w:t>
      </w:r>
      <w:r>
        <w:t>р</w:t>
      </w:r>
      <w:r>
        <w:t>ганах и скелете не было установлено патологических изменений.</w:t>
      </w:r>
    </w:p>
    <w:p w:rsidR="00F4654E" w:rsidRDefault="00F4654E">
      <w:pPr>
        <w:pStyle w:val="a6"/>
      </w:pPr>
      <w:r>
        <w:t>Результаты проведенных исследований показывают, что введение в рацион природных цеолитов нового месторождения на Южном Урале сп</w:t>
      </w:r>
      <w:r>
        <w:t>о</w:t>
      </w:r>
      <w:r>
        <w:t>собствует нормализации минерального обмена, клиническому выздоро</w:t>
      </w:r>
      <w:r>
        <w:t>в</w:t>
      </w:r>
      <w:r>
        <w:t>лению и увеличению продуктивности кур.</w:t>
      </w:r>
    </w:p>
    <w:p w:rsidR="00F4654E" w:rsidRDefault="00F4654E">
      <w:pPr>
        <w:pStyle w:val="a6"/>
      </w:pPr>
      <w:r>
        <w:t>На основании проведенных исследований можно заключить, что це</w:t>
      </w:r>
      <w:r>
        <w:t>о</w:t>
      </w:r>
      <w:r>
        <w:t>литы оказывают на организм птиц комплексное многостороннее дейс</w:t>
      </w:r>
      <w:r>
        <w:t>т</w:t>
      </w:r>
      <w:r>
        <w:t>вие, обусловленное многокомпонентным его составом.</w:t>
      </w:r>
    </w:p>
    <w:p w:rsidR="00F4654E" w:rsidRDefault="00F4654E">
      <w:pPr>
        <w:pStyle w:val="a4"/>
      </w:pPr>
      <w:r>
        <w:t xml:space="preserve">УДК 636.087.7:636.5 </w:t>
      </w:r>
    </w:p>
    <w:p w:rsidR="00F4654E" w:rsidRDefault="00F4654E">
      <w:pPr>
        <w:pStyle w:val="1"/>
      </w:pPr>
      <w:bookmarkStart w:id="4470" w:name="_Toc10731528"/>
      <w:bookmarkStart w:id="4471" w:name="_Toc11137977"/>
      <w:bookmarkStart w:id="4472" w:name="_Toc11138395"/>
      <w:bookmarkStart w:id="4473" w:name="_Toc11138813"/>
      <w:bookmarkStart w:id="4474" w:name="_Toc11139231"/>
      <w:bookmarkStart w:id="4475" w:name="_Toc11139649"/>
      <w:bookmarkStart w:id="4476" w:name="_Toc11140067"/>
      <w:bookmarkStart w:id="4477" w:name="_Toc11140485"/>
      <w:bookmarkStart w:id="4478" w:name="_Toc11390589"/>
      <w:bookmarkStart w:id="4479" w:name="_Toc11840278"/>
      <w:bookmarkStart w:id="4480" w:name="_Toc11937814"/>
      <w:r>
        <w:t>ИСПОЛЬЗОВАНИЕ  ПРИРОДНЫХ  ЦЕОЛИТОВ  ПРИ ВЫРАЩИВАНИЯ  ТЕЛЯТ</w:t>
      </w:r>
      <w:bookmarkEnd w:id="4470"/>
      <w:bookmarkEnd w:id="4471"/>
      <w:bookmarkEnd w:id="4472"/>
      <w:bookmarkEnd w:id="4473"/>
      <w:bookmarkEnd w:id="4474"/>
      <w:bookmarkEnd w:id="4475"/>
      <w:bookmarkEnd w:id="4476"/>
      <w:bookmarkEnd w:id="4477"/>
      <w:bookmarkEnd w:id="4478"/>
      <w:bookmarkEnd w:id="4479"/>
      <w:bookmarkEnd w:id="4480"/>
    </w:p>
    <w:p w:rsidR="00F4654E" w:rsidRDefault="00F4654E">
      <w:pPr>
        <w:pStyle w:val="2"/>
      </w:pPr>
      <w:bookmarkStart w:id="4481" w:name="_Toc10731529"/>
      <w:bookmarkStart w:id="4482" w:name="_Toc11032351"/>
      <w:bookmarkStart w:id="4483" w:name="_Toc11137978"/>
      <w:bookmarkStart w:id="4484" w:name="_Toc11138396"/>
      <w:bookmarkStart w:id="4485" w:name="_Toc11138814"/>
      <w:bookmarkStart w:id="4486" w:name="_Toc11139232"/>
      <w:bookmarkStart w:id="4487" w:name="_Toc11139650"/>
      <w:bookmarkStart w:id="4488" w:name="_Toc11140068"/>
      <w:bookmarkStart w:id="4489" w:name="_Toc11140486"/>
      <w:bookmarkStart w:id="4490" w:name="_Toc11390590"/>
      <w:bookmarkStart w:id="4491" w:name="_Toc11937815"/>
      <w:r>
        <w:t>Ребезов  М.Б.</w:t>
      </w:r>
      <w:bookmarkEnd w:id="4481"/>
      <w:bookmarkEnd w:id="4482"/>
      <w:bookmarkEnd w:id="4483"/>
      <w:bookmarkEnd w:id="4484"/>
      <w:bookmarkEnd w:id="4485"/>
      <w:bookmarkEnd w:id="4486"/>
      <w:bookmarkEnd w:id="4487"/>
      <w:bookmarkEnd w:id="4488"/>
      <w:bookmarkEnd w:id="4489"/>
      <w:bookmarkEnd w:id="4490"/>
      <w:bookmarkEnd w:id="4491"/>
    </w:p>
    <w:p w:rsidR="00F4654E" w:rsidRDefault="00F4654E">
      <w:pPr>
        <w:pStyle w:val="a5"/>
      </w:pPr>
      <w:r>
        <w:t>Магнитогорский государственный технический университет</w:t>
      </w:r>
    </w:p>
    <w:p w:rsidR="00F4654E" w:rsidRDefault="00F4654E">
      <w:pPr>
        <w:pStyle w:val="a6"/>
      </w:pPr>
      <w:r>
        <w:t>Нами изучена эффективность применения природного цеолита Южно-Уральского месторождения как минеральной добавки, а также как проф</w:t>
      </w:r>
      <w:r>
        <w:t>и</w:t>
      </w:r>
      <w:r>
        <w:t>лактического средства при незараз</w:t>
      </w:r>
      <w:r>
        <w:softHyphen/>
        <w:t>ных желудочно-кишечных заболеван</w:t>
      </w:r>
      <w:r>
        <w:t>и</w:t>
      </w:r>
      <w:r>
        <w:t>ях. В опытных группах были испытаны дозы цеолита 500 мг/кг, 1000 мг/кг живой массы телят. Содержание животных было групповое. Рационы ко</w:t>
      </w:r>
      <w:r>
        <w:t>н</w:t>
      </w:r>
      <w:r>
        <w:t>трольной (где не использовали цеолит) и опытных групп одинаковы, но телятам опытных групп добавляли в концентрированные корма специал</w:t>
      </w:r>
      <w:r>
        <w:t>ь</w:t>
      </w:r>
      <w:r>
        <w:t>но по</w:t>
      </w:r>
      <w:r>
        <w:t>д</w:t>
      </w:r>
      <w:r>
        <w:t>готовленные природные цеолиты.</w:t>
      </w:r>
    </w:p>
    <w:p w:rsidR="00F4654E" w:rsidRDefault="00F4654E">
      <w:pPr>
        <w:pStyle w:val="a6"/>
      </w:pPr>
      <w:r>
        <w:t>При изучении физиологического состояния животных и их развития пе</w:t>
      </w:r>
      <w:r>
        <w:softHyphen/>
        <w:t>риодически исследовали кровь, измеряли частоту пульса, дыхания и темпе</w:t>
      </w:r>
      <w:r>
        <w:softHyphen/>
        <w:t>ратуру тела. Отрицательное влияние применения природных цеол</w:t>
      </w:r>
      <w:r>
        <w:t>и</w:t>
      </w:r>
      <w:r>
        <w:t>тов на эти показате</w:t>
      </w:r>
      <w:r>
        <w:softHyphen/>
        <w:t>ли не отмечено.</w:t>
      </w:r>
    </w:p>
    <w:p w:rsidR="00F4654E" w:rsidRDefault="00F4654E">
      <w:pPr>
        <w:pStyle w:val="a6"/>
      </w:pPr>
      <w:r>
        <w:t>Изучение свойств  крови телят показало, что природный цеолит  п</w:t>
      </w:r>
      <w:r>
        <w:t>о</w:t>
      </w:r>
      <w:r>
        <w:t>влиял на состав крови и обмен веществ. Сохранение оптимального отн</w:t>
      </w:r>
      <w:r>
        <w:t>о</w:t>
      </w:r>
      <w:r>
        <w:t xml:space="preserve">шения общего белка и фракций белков, в том числе увеличение </w:t>
      </w:r>
      <w:r>
        <w:sym w:font="Symbol" w:char="F067"/>
      </w:r>
      <w:r>
        <w:t>-глобулинов, вместе с высоким уровнем бактерицидной активности сыв</w:t>
      </w:r>
      <w:r>
        <w:t>о</w:t>
      </w:r>
      <w:r>
        <w:t>рот</w:t>
      </w:r>
      <w:r>
        <w:softHyphen/>
        <w:t>ки крови, фагоц</w:t>
      </w:r>
      <w:r>
        <w:t>и</w:t>
      </w:r>
      <w:r>
        <w:t>тарной активности лейкоцитов, количество каль</w:t>
      </w:r>
      <w:r>
        <w:softHyphen/>
        <w:t>ция, неорганического фо</w:t>
      </w:r>
      <w:r>
        <w:t>с</w:t>
      </w:r>
      <w:r>
        <w:t>фора. Высокий уровень бактерицидной активности сыворотки крови и фаг</w:t>
      </w:r>
      <w:r>
        <w:t>о</w:t>
      </w:r>
      <w:r>
        <w:t>цитарной ак</w:t>
      </w:r>
      <w:r>
        <w:softHyphen/>
        <w:t>тивности лейкоцитов свидетельствуют о повышении уровня есте</w:t>
      </w:r>
      <w:r>
        <w:softHyphen/>
        <w:t>ственной резистентности у опытных животных. Добавка цеолита в рацион молодняка положительно повлияла на мин</w:t>
      </w:r>
      <w:r>
        <w:t>е</w:t>
      </w:r>
      <w:r>
        <w:t>ральный обмен. В сыворотке крови подопытных жи</w:t>
      </w:r>
      <w:r>
        <w:softHyphen/>
        <w:t>вотных отмечены б</w:t>
      </w:r>
      <w:r>
        <w:t>о</w:t>
      </w:r>
      <w:r>
        <w:lastRenderedPageBreak/>
        <w:t xml:space="preserve">лее высокие показатели </w:t>
      </w:r>
      <w:r>
        <w:sym w:font="Symbol" w:char="F067"/>
      </w:r>
      <w:r w:rsidR="00E0607A">
        <w:t>-глобули</w:t>
      </w:r>
      <w:r>
        <w:t>новой фракции белка. Это свидетельс</w:t>
      </w:r>
      <w:r>
        <w:t>т</w:t>
      </w:r>
      <w:r>
        <w:t>вует о том, что в крови у них содержится больше ан</w:t>
      </w:r>
      <w:r>
        <w:softHyphen/>
        <w:t>тител и иммунных бе</w:t>
      </w:r>
      <w:r>
        <w:t>л</w:t>
      </w:r>
      <w:r>
        <w:t>ков, тем самым они обладают более высокой резистентностью и более у</w:t>
      </w:r>
      <w:r>
        <w:t>с</w:t>
      </w:r>
      <w:r>
        <w:t>тойчивы к неблагоприятным условиям внешней среды.</w:t>
      </w:r>
    </w:p>
    <w:p w:rsidR="00F4654E" w:rsidRDefault="00F4654E">
      <w:pPr>
        <w:pStyle w:val="a6"/>
      </w:pPr>
      <w:r>
        <w:t>Природные цеолиты способствовали лучшему исполь</w:t>
      </w:r>
      <w:r>
        <w:softHyphen/>
        <w:t>зованию пит</w:t>
      </w:r>
      <w:r>
        <w:t>а</w:t>
      </w:r>
      <w:r>
        <w:t>тельных веществ рациона, улучшали рост и развитие животных. О пол</w:t>
      </w:r>
      <w:r>
        <w:t>о</w:t>
      </w:r>
      <w:r>
        <w:t xml:space="preserve">жительном влиянии </w:t>
      </w:r>
      <w:r w:rsidR="0001153D">
        <w:t xml:space="preserve">цеолитов </w:t>
      </w:r>
      <w:r>
        <w:t>подтверждают и данные учета заболе</w:t>
      </w:r>
      <w:r w:rsidR="0001153D">
        <w:t>-</w:t>
      </w:r>
      <w:r>
        <w:t xml:space="preserve">ваемости, сохранности и прироста живой массы телят. </w:t>
      </w:r>
      <w:r w:rsidR="0001153D">
        <w:t xml:space="preserve">Использование в рационе телят </w:t>
      </w:r>
      <w:r>
        <w:t>цеолита привела к сокращению заболеваемости телят, в сравнении с кон</w:t>
      </w:r>
      <w:r>
        <w:softHyphen/>
        <w:t>трольными в 1,1 - 1,4  раза.  Заболевание тяжело протекало у телят контрольной группы, где у неко</w:t>
      </w:r>
      <w:r>
        <w:softHyphen/>
        <w:t>торых животных наблюдалось в</w:t>
      </w:r>
      <w:r>
        <w:t>ы</w:t>
      </w:r>
      <w:r>
        <w:t>деление сл</w:t>
      </w:r>
      <w:r>
        <w:t>и</w:t>
      </w:r>
      <w:r>
        <w:t>зи с примесью крови в кале. В группах, где добавляли в корм цеолит, тел</w:t>
      </w:r>
      <w:r>
        <w:t>я</w:t>
      </w:r>
      <w:r>
        <w:t>та выздоравливали на 2 - 4 дня раньше, чем в контрольной.</w:t>
      </w:r>
    </w:p>
    <w:p w:rsidR="00F4654E" w:rsidRDefault="00F4654E">
      <w:pPr>
        <w:pStyle w:val="a6"/>
      </w:pPr>
      <w:r>
        <w:t>Природный цеолит способствовал формированию более плотных к</w:t>
      </w:r>
      <w:r>
        <w:t>а</w:t>
      </w:r>
      <w:r>
        <w:t>ловых масс. Возможно адсорбция цеолитом токсинов кишечной микр</w:t>
      </w:r>
      <w:r>
        <w:t>о</w:t>
      </w:r>
      <w:r>
        <w:t>флоры, выведе</w:t>
      </w:r>
      <w:r>
        <w:softHyphen/>
        <w:t>нию их из организма и снижало интоксикацию организма животных. Пополнение организма мак</w:t>
      </w:r>
      <w:r>
        <w:softHyphen/>
        <w:t>ро- и микроэлементами полож</w:t>
      </w:r>
      <w:r>
        <w:t>и</w:t>
      </w:r>
      <w:r>
        <w:t>тельно влияет на процессы пищеварения, соз</w:t>
      </w:r>
      <w:r>
        <w:softHyphen/>
        <w:t>дает оптимальные условия для нормализации роста и развития молодняка. У телят опытных групп, получавших цеолит, среднесуточ</w:t>
      </w:r>
      <w:r>
        <w:softHyphen/>
        <w:t>ный прирост живой массы на 5,3 - 10,1 % больше, чем в ко</w:t>
      </w:r>
      <w:r>
        <w:t>н</w:t>
      </w:r>
      <w:r>
        <w:t>трольной группе.</w:t>
      </w:r>
    </w:p>
    <w:p w:rsidR="00F4654E" w:rsidRDefault="00F4654E">
      <w:pPr>
        <w:pStyle w:val="a6"/>
      </w:pPr>
      <w:r>
        <w:t>Использование природных цеолитов при выра</w:t>
      </w:r>
      <w:r>
        <w:softHyphen/>
        <w:t>щивании телят 2 - 4 м</w:t>
      </w:r>
      <w:r>
        <w:t>е</w:t>
      </w:r>
      <w:r>
        <w:t>сячного возраста не оказывает отрицательного воздей</w:t>
      </w:r>
      <w:r>
        <w:softHyphen/>
        <w:t>ствия на  продукти</w:t>
      </w:r>
      <w:r>
        <w:t>в</w:t>
      </w:r>
      <w:r>
        <w:t>ные качества и физиологическое со</w:t>
      </w:r>
      <w:r>
        <w:softHyphen/>
        <w:t>стояние животных, в связи с этим пр</w:t>
      </w:r>
      <w:r>
        <w:t>и</w:t>
      </w:r>
      <w:r>
        <w:t>родные цеолиты могут быть рекомендованы в ка</w:t>
      </w:r>
      <w:r>
        <w:softHyphen/>
        <w:t>честве минеральной д</w:t>
      </w:r>
      <w:r>
        <w:t>о</w:t>
      </w:r>
      <w:r>
        <w:t>бавки к рационам телят.</w:t>
      </w:r>
    </w:p>
    <w:p w:rsidR="00F4654E" w:rsidRDefault="00F4654E">
      <w:pPr>
        <w:pStyle w:val="a4"/>
      </w:pPr>
      <w:r>
        <w:t>УДК 619:612.015.33:618.14:636.22/.28</w:t>
      </w:r>
    </w:p>
    <w:p w:rsidR="00F4654E" w:rsidRDefault="00F4654E">
      <w:pPr>
        <w:pStyle w:val="1"/>
      </w:pPr>
      <w:bookmarkStart w:id="4492" w:name="_Toc10731536"/>
      <w:bookmarkStart w:id="4493" w:name="_Toc11137983"/>
      <w:bookmarkStart w:id="4494" w:name="_Toc11138401"/>
      <w:bookmarkStart w:id="4495" w:name="_Toc11138819"/>
      <w:bookmarkStart w:id="4496" w:name="_Toc11139237"/>
      <w:bookmarkStart w:id="4497" w:name="_Toc11139655"/>
      <w:bookmarkStart w:id="4498" w:name="_Toc11140073"/>
      <w:bookmarkStart w:id="4499" w:name="_Toc11140491"/>
      <w:bookmarkStart w:id="4500" w:name="_Toc11390595"/>
      <w:bookmarkStart w:id="4501" w:name="_Toc11840280"/>
      <w:bookmarkStart w:id="4502" w:name="_Toc11937816"/>
      <w:r>
        <w:t xml:space="preserve">Динамика стабильных метаболитов оксида азота у коров </w:t>
      </w:r>
      <w:r>
        <w:br/>
        <w:t>с субинволюцией матки</w:t>
      </w:r>
      <w:bookmarkEnd w:id="4492"/>
      <w:bookmarkEnd w:id="4493"/>
      <w:bookmarkEnd w:id="4494"/>
      <w:bookmarkEnd w:id="4495"/>
      <w:bookmarkEnd w:id="4496"/>
      <w:bookmarkEnd w:id="4497"/>
      <w:bookmarkEnd w:id="4498"/>
      <w:bookmarkEnd w:id="4499"/>
      <w:bookmarkEnd w:id="4500"/>
      <w:bookmarkEnd w:id="4501"/>
      <w:bookmarkEnd w:id="4502"/>
      <w:r>
        <w:t xml:space="preserve"> </w:t>
      </w:r>
    </w:p>
    <w:p w:rsidR="00F4654E" w:rsidRDefault="00F4654E">
      <w:pPr>
        <w:pStyle w:val="2"/>
      </w:pPr>
      <w:bookmarkStart w:id="4503" w:name="_Toc10731537"/>
      <w:bookmarkStart w:id="4504" w:name="_Toc11032354"/>
      <w:bookmarkStart w:id="4505" w:name="_Toc11137984"/>
      <w:bookmarkStart w:id="4506" w:name="_Toc11138402"/>
      <w:bookmarkStart w:id="4507" w:name="_Toc11138820"/>
      <w:bookmarkStart w:id="4508" w:name="_Toc11139238"/>
      <w:bookmarkStart w:id="4509" w:name="_Toc11139656"/>
      <w:bookmarkStart w:id="4510" w:name="_Toc11140074"/>
      <w:bookmarkStart w:id="4511" w:name="_Toc11140492"/>
      <w:bookmarkStart w:id="4512" w:name="_Toc11390596"/>
      <w:bookmarkStart w:id="4513" w:name="_Toc11937817"/>
      <w:r>
        <w:t>Рецкий М.И., Ермакова Н.В., Близнецова Г.Н.*</w:t>
      </w:r>
      <w:bookmarkEnd w:id="4503"/>
      <w:r>
        <w:t>, Зубцова А.Г.**</w:t>
      </w:r>
      <w:bookmarkEnd w:id="4504"/>
      <w:bookmarkEnd w:id="4505"/>
      <w:bookmarkEnd w:id="4506"/>
      <w:bookmarkEnd w:id="4507"/>
      <w:bookmarkEnd w:id="4508"/>
      <w:bookmarkEnd w:id="4509"/>
      <w:bookmarkEnd w:id="4510"/>
      <w:bookmarkEnd w:id="4511"/>
      <w:bookmarkEnd w:id="4512"/>
      <w:bookmarkEnd w:id="4513"/>
    </w:p>
    <w:p w:rsidR="00F4654E" w:rsidRDefault="00F4654E">
      <w:pPr>
        <w:pStyle w:val="a5"/>
      </w:pPr>
      <w:r>
        <w:t xml:space="preserve">Всероссийский НИВИ патологии, фармакологии и терапии </w:t>
      </w:r>
      <w:r>
        <w:br/>
        <w:t>*Воронежский государственный университет</w:t>
      </w:r>
      <w:r>
        <w:br/>
        <w:t>**Воронежская областная клиническая больница</w:t>
      </w:r>
    </w:p>
    <w:p w:rsidR="00F4654E" w:rsidRDefault="00F4654E">
      <w:pPr>
        <w:pStyle w:val="a6"/>
      </w:pPr>
      <w:r>
        <w:t>В последние годы важное значение в регуляции физиологических и развитии патологических процессов придается такому свободному радик</w:t>
      </w:r>
      <w:r>
        <w:t>а</w:t>
      </w:r>
      <w:r>
        <w:t>лу, как оксид азота (NO). В результате к настоящему времени сложилось представление об NO как о новом, очень важном регуляторе физиологич</w:t>
      </w:r>
      <w:r>
        <w:t>е</w:t>
      </w:r>
      <w:r>
        <w:t>ских функций организма и мета</w:t>
      </w:r>
      <w:r>
        <w:softHyphen/>
        <w:t>болизма клеток. В настоящее время он ра</w:t>
      </w:r>
      <w:r>
        <w:t>с</w:t>
      </w:r>
      <w:r>
        <w:t>сматривается как универсальный нейротрансмиттер, регулятор функций сердечно-сосудистой, пищеварительной, респираторной, мочеполовой, им-мун</w:t>
      </w:r>
      <w:r>
        <w:softHyphen/>
        <w:t>ной, репродуктивной систем организма.</w:t>
      </w:r>
    </w:p>
    <w:p w:rsidR="00F4654E" w:rsidRDefault="00F4654E">
      <w:pPr>
        <w:pStyle w:val="a6"/>
      </w:pPr>
      <w:r>
        <w:rPr>
          <w:snapToGrid w:val="0"/>
        </w:rPr>
        <w:lastRenderedPageBreak/>
        <w:t>В последнее время показано, что оксид азота может вызывать ра</w:t>
      </w:r>
      <w:r>
        <w:rPr>
          <w:snapToGrid w:val="0"/>
        </w:rPr>
        <w:t>с</w:t>
      </w:r>
      <w:r>
        <w:rPr>
          <w:snapToGrid w:val="0"/>
        </w:rPr>
        <w:t>слабление не только гладкой мускулатуры сосудов, но и миометрия. В св</w:t>
      </w:r>
      <w:r>
        <w:rPr>
          <w:snapToGrid w:val="0"/>
        </w:rPr>
        <w:t>я</w:t>
      </w:r>
      <w:r>
        <w:rPr>
          <w:snapToGrid w:val="0"/>
        </w:rPr>
        <w:t xml:space="preserve">зи с этим в последние годы пристальное внимание уделяется выяснению роли оксида азота в регуляции сократительной функции матки в течение беременности, родов и в ранний послеродовой период (Sidhu, R. et al.,2001; Wang, S. Y. et al.,2002 и др.). </w:t>
      </w:r>
    </w:p>
    <w:p w:rsidR="00F4654E" w:rsidRDefault="00F4654E">
      <w:pPr>
        <w:pStyle w:val="a6"/>
      </w:pPr>
      <w:r>
        <w:t>Нами проведено изучение динамики содержания в сыворотке крови суммы стабильных метаболитов оксида азота (NO</w:t>
      </w:r>
      <w:r>
        <w:rPr>
          <w:vertAlign w:val="subscript"/>
        </w:rPr>
        <w:t>x</w:t>
      </w:r>
      <w:r>
        <w:t>) спектрофотометрич</w:t>
      </w:r>
      <w:r>
        <w:t>е</w:t>
      </w:r>
      <w:r>
        <w:t>ским методом (Близнецова Г.Н. с соавт., 2002) в разные периоды до и п</w:t>
      </w:r>
      <w:r>
        <w:t>о</w:t>
      </w:r>
      <w:r>
        <w:t>сле отела у коров с нормальным течение послеродового периода, а также у коров с острой и хронической субинволюцией матки.</w:t>
      </w:r>
    </w:p>
    <w:p w:rsidR="00F4654E" w:rsidRDefault="00F4654E">
      <w:pPr>
        <w:pStyle w:val="a6"/>
      </w:pPr>
      <w:r>
        <w:t>Установлено, что за 1-2 месяца до отела суммарное содержание NO</w:t>
      </w:r>
      <w:r>
        <w:rPr>
          <w:vertAlign w:val="subscript"/>
        </w:rPr>
        <w:t>Х</w:t>
      </w:r>
      <w:r>
        <w:t xml:space="preserve"> в сыворотке крови сухостойных коров составило 13,0 </w:t>
      </w:r>
      <w:r>
        <w:sym w:font="Symbol" w:char="F0B1"/>
      </w:r>
      <w:r>
        <w:t xml:space="preserve"> 1,59 мкМ/л, за 15-30 суток до родов </w:t>
      </w:r>
      <w:r>
        <w:softHyphen/>
        <w:t xml:space="preserve">– 15,7 </w:t>
      </w:r>
      <w:r>
        <w:sym w:font="Symbol" w:char="F0B1"/>
      </w:r>
      <w:r>
        <w:t xml:space="preserve"> 0,92 мкМ/л, 7-14 суток –  25,8 </w:t>
      </w:r>
      <w:r>
        <w:sym w:font="Symbol" w:char="F0B1"/>
      </w:r>
      <w:r>
        <w:t xml:space="preserve"> 2,52 мкМ/л, 4-6 с</w:t>
      </w:r>
      <w:r>
        <w:t>у</w:t>
      </w:r>
      <w:r>
        <w:t xml:space="preserve">ток –  30,8 </w:t>
      </w:r>
      <w:r>
        <w:sym w:font="Symbol" w:char="F0B1"/>
      </w:r>
      <w:r>
        <w:t xml:space="preserve"> 3,51 мкМ/л  и за 1-3 суток – 50,9 </w:t>
      </w:r>
      <w:r>
        <w:sym w:font="Symbol" w:char="F0B1"/>
      </w:r>
      <w:r>
        <w:t xml:space="preserve"> 2,36 мкМ/л. </w:t>
      </w:r>
    </w:p>
    <w:p w:rsidR="00F4654E" w:rsidRDefault="00F4654E">
      <w:pPr>
        <w:pStyle w:val="a6"/>
      </w:pPr>
      <w:r>
        <w:t xml:space="preserve">Таким образом, </w:t>
      </w:r>
      <w:r>
        <w:rPr>
          <w:snapToGrid w:val="0"/>
        </w:rPr>
        <w:t>по мере приближения родов суммарный уровень ст</w:t>
      </w:r>
      <w:r>
        <w:rPr>
          <w:snapToGrid w:val="0"/>
        </w:rPr>
        <w:t>а</w:t>
      </w:r>
      <w:r>
        <w:rPr>
          <w:snapToGrid w:val="0"/>
        </w:rPr>
        <w:t>бильных метаболитов оксида азота в сыворотке крови коров постепенно возрастает и достигает максимума за 1-3 сутки до отела. Это может быть связано, с одной стороны, с увеличением активности NO-синтаз и пов</w:t>
      </w:r>
      <w:r>
        <w:rPr>
          <w:snapToGrid w:val="0"/>
        </w:rPr>
        <w:t>ы</w:t>
      </w:r>
      <w:r>
        <w:rPr>
          <w:snapToGrid w:val="0"/>
        </w:rPr>
        <w:t xml:space="preserve">шением продукции оксида азота, что </w:t>
      </w:r>
      <w:r>
        <w:rPr>
          <w:snapToGrid w:val="0"/>
          <w:color w:val="000000"/>
        </w:rPr>
        <w:t>является одним из факторов, обесп</w:t>
      </w:r>
      <w:r>
        <w:rPr>
          <w:snapToGrid w:val="0"/>
          <w:color w:val="000000"/>
        </w:rPr>
        <w:t>е</w:t>
      </w:r>
      <w:r>
        <w:rPr>
          <w:snapToGrid w:val="0"/>
          <w:color w:val="000000"/>
        </w:rPr>
        <w:t xml:space="preserve">чивающих </w:t>
      </w:r>
      <w:r>
        <w:rPr>
          <w:snapToGrid w:val="0"/>
        </w:rPr>
        <w:t>расслабление цервикального канала перед родами (</w:t>
      </w:r>
      <w:r>
        <w:t>Ekerhovd E. et al.,2000)</w:t>
      </w:r>
      <w:r>
        <w:rPr>
          <w:snapToGrid w:val="0"/>
        </w:rPr>
        <w:t xml:space="preserve">. </w:t>
      </w:r>
      <w:r>
        <w:t>С другой стороны – с развитием состояния физиологического стресса у коров в самые последние дни перед родами, т.к. известно, что уве</w:t>
      </w:r>
      <w:r>
        <w:softHyphen/>
        <w:t>личение продукции NO, как правило, обнаружи</w:t>
      </w:r>
      <w:r>
        <w:softHyphen/>
        <w:t>вается при действии кратковременных или уме</w:t>
      </w:r>
      <w:r>
        <w:softHyphen/>
        <w:t>ренных стрессоров и увеличение продук</w:t>
      </w:r>
      <w:r>
        <w:softHyphen/>
        <w:t>ции NO соответствует стадии мобилизации при адекватной стресс-реакции (М</w:t>
      </w:r>
      <w:r>
        <w:t>а</w:t>
      </w:r>
      <w:r>
        <w:t>лышев И.Ю., Манухина Е.Б., 1998).</w:t>
      </w:r>
    </w:p>
    <w:p w:rsidR="00F4654E" w:rsidRDefault="00F4654E">
      <w:pPr>
        <w:pStyle w:val="a6"/>
      </w:pPr>
      <w:r>
        <w:t>Через 1 сутки после родов уровень метаболитов оксида азота соста</w:t>
      </w:r>
      <w:r>
        <w:t>в</w:t>
      </w:r>
      <w:r w:rsidRPr="00E0607A">
        <w:t xml:space="preserve">ляет 31,6 </w:t>
      </w:r>
      <w:r w:rsidRPr="00E0607A">
        <w:sym w:font="Symbol" w:char="F0B1"/>
      </w:r>
      <w:r w:rsidRPr="00E0607A">
        <w:t xml:space="preserve"> 2,40 мкМ/л, а уже на 2-е сутки после отела суммарное содерж</w:t>
      </w:r>
      <w:r w:rsidRPr="00E0607A">
        <w:t>а</w:t>
      </w:r>
      <w:r>
        <w:t>ние NO</w:t>
      </w:r>
      <w:r>
        <w:rPr>
          <w:vertAlign w:val="subscript"/>
        </w:rPr>
        <w:t>Х</w:t>
      </w:r>
      <w:r>
        <w:t xml:space="preserve"> снижается до 17,8 </w:t>
      </w:r>
      <w:r>
        <w:sym w:font="Symbol" w:char="F0B1"/>
      </w:r>
      <w:r>
        <w:t xml:space="preserve"> 4,20 мкМ/л. Далее происходит еще большее снижение их уровня до величин, установленных за 2-4 недели до родов что, вероятно, является одним из факторов способствующих сокращению матки после родов и развитию инволюционных процессов.</w:t>
      </w:r>
    </w:p>
    <w:p w:rsidR="00F4654E" w:rsidRDefault="00F4654E">
      <w:pPr>
        <w:pStyle w:val="a6"/>
      </w:pPr>
      <w:r>
        <w:t>Установлено, что интенсивность продукции оксида азота у здоровых коров и коров с нарушением сократительной функции матки в период кл</w:t>
      </w:r>
      <w:r>
        <w:t>и</w:t>
      </w:r>
      <w:r>
        <w:t>нического проявления острой и хронической субинволюции матки разл</w:t>
      </w:r>
      <w:r>
        <w:t>и</w:t>
      </w:r>
      <w:r>
        <w:t>чается. Так, если через 1 месяц после родов содержание в сыворотке крови суммы NO</w:t>
      </w:r>
      <w:r>
        <w:rPr>
          <w:vertAlign w:val="subscript"/>
        </w:rPr>
        <w:t>х</w:t>
      </w:r>
      <w:r>
        <w:t xml:space="preserve"> у здоровых коров составляет 15,0</w:t>
      </w:r>
      <w:r>
        <w:sym w:font="Symbol" w:char="F0B1"/>
      </w:r>
      <w:r>
        <w:t>0,95 мкМ/л, что соответс</w:t>
      </w:r>
      <w:r>
        <w:t>т</w:t>
      </w:r>
      <w:r>
        <w:t>вует уровню за 1-2 месяца до родов, то у коров с острой субинволюцией матки (15-30 день после отела) уровень NO</w:t>
      </w:r>
      <w:r>
        <w:rPr>
          <w:vertAlign w:val="subscript"/>
        </w:rPr>
        <w:t>х</w:t>
      </w:r>
      <w:r>
        <w:t xml:space="preserve"> составляет 22,0</w:t>
      </w:r>
      <w:r>
        <w:sym w:font="Symbol" w:char="F0B1"/>
      </w:r>
      <w:r>
        <w:t>2,68 мкМ/л, а коров с хронической субинволюцией матки (более 3-х месяцев после от</w:t>
      </w:r>
      <w:r>
        <w:t>е</w:t>
      </w:r>
      <w:r>
        <w:t>ла) – 28,5</w:t>
      </w:r>
      <w:r>
        <w:sym w:font="Symbol" w:char="F0B1"/>
      </w:r>
      <w:r>
        <w:t xml:space="preserve">3,00 мкМ/л. Это, вероятно, связано с нарушением механизмов </w:t>
      </w:r>
      <w:r>
        <w:lastRenderedPageBreak/>
        <w:t>регуляции в системе генерации оксида азота и проявлением его избыточ-ного релаксирующего действия на миометрий, что может являться одной из причин нарушения физиологического течения инволюционных процес-сов в матке.</w:t>
      </w:r>
    </w:p>
    <w:p w:rsidR="00F4654E" w:rsidRDefault="00F4654E">
      <w:pPr>
        <w:pStyle w:val="a4"/>
      </w:pPr>
      <w:r>
        <w:t xml:space="preserve"> УДК 619:618.14-002:615.33</w:t>
      </w:r>
    </w:p>
    <w:p w:rsidR="00F4654E" w:rsidRDefault="00F4654E">
      <w:pPr>
        <w:pStyle w:val="1"/>
      </w:pPr>
      <w:bookmarkStart w:id="4514" w:name="_Toc10731538"/>
      <w:bookmarkStart w:id="4515" w:name="_Toc11137985"/>
      <w:bookmarkStart w:id="4516" w:name="_Toc11138403"/>
      <w:bookmarkStart w:id="4517" w:name="_Toc11138821"/>
      <w:bookmarkStart w:id="4518" w:name="_Toc11139239"/>
      <w:bookmarkStart w:id="4519" w:name="_Toc11139657"/>
      <w:bookmarkStart w:id="4520" w:name="_Toc11140075"/>
      <w:bookmarkStart w:id="4521" w:name="_Toc11140493"/>
      <w:bookmarkStart w:id="4522" w:name="_Toc11390597"/>
      <w:bookmarkStart w:id="4523" w:name="_Toc11840282"/>
      <w:bookmarkStart w:id="4524" w:name="_Toc11937818"/>
      <w:r>
        <w:t>ЭРИМЕТРИН – ПРЕПАРАТ ДЛЯ ЛЕЧЕНИЯ ЭНДОМЕТРИТОВ У КОРОВ</w:t>
      </w:r>
      <w:bookmarkEnd w:id="4514"/>
      <w:bookmarkEnd w:id="4515"/>
      <w:bookmarkEnd w:id="4516"/>
      <w:bookmarkEnd w:id="4517"/>
      <w:bookmarkEnd w:id="4518"/>
      <w:bookmarkEnd w:id="4519"/>
      <w:bookmarkEnd w:id="4520"/>
      <w:bookmarkEnd w:id="4521"/>
      <w:bookmarkEnd w:id="4522"/>
      <w:bookmarkEnd w:id="4523"/>
      <w:bookmarkEnd w:id="4524"/>
    </w:p>
    <w:p w:rsidR="00F4654E" w:rsidRDefault="00F4654E">
      <w:pPr>
        <w:pStyle w:val="2"/>
      </w:pPr>
      <w:bookmarkStart w:id="4525" w:name="_Toc10731539"/>
      <w:bookmarkStart w:id="4526" w:name="_Toc11032355"/>
      <w:bookmarkStart w:id="4527" w:name="_Toc11137986"/>
      <w:bookmarkStart w:id="4528" w:name="_Toc11138404"/>
      <w:bookmarkStart w:id="4529" w:name="_Toc11138822"/>
      <w:bookmarkStart w:id="4530" w:name="_Toc11139240"/>
      <w:bookmarkStart w:id="4531" w:name="_Toc11139658"/>
      <w:bookmarkStart w:id="4532" w:name="_Toc11140076"/>
      <w:bookmarkStart w:id="4533" w:name="_Toc11140494"/>
      <w:bookmarkStart w:id="4534" w:name="_Toc11390598"/>
      <w:bookmarkStart w:id="4535" w:name="_Toc11937819"/>
      <w:r>
        <w:t>Рубанец Л.Н.</w:t>
      </w:r>
      <w:bookmarkEnd w:id="4525"/>
      <w:bookmarkEnd w:id="4526"/>
      <w:bookmarkEnd w:id="4527"/>
      <w:bookmarkEnd w:id="4528"/>
      <w:bookmarkEnd w:id="4529"/>
      <w:bookmarkEnd w:id="4530"/>
      <w:bookmarkEnd w:id="4531"/>
      <w:bookmarkEnd w:id="4532"/>
      <w:bookmarkEnd w:id="4533"/>
      <w:bookmarkEnd w:id="4534"/>
      <w:bookmarkEnd w:id="4535"/>
    </w:p>
    <w:p w:rsidR="00F4654E" w:rsidRDefault="00F4654E">
      <w:pPr>
        <w:pStyle w:val="a5"/>
      </w:pPr>
      <w:r>
        <w:t>Витебская государственная академия ветеринарной медицины</w:t>
      </w:r>
    </w:p>
    <w:p w:rsidR="00F4654E" w:rsidRDefault="00F4654E">
      <w:pPr>
        <w:pStyle w:val="a6"/>
      </w:pPr>
      <w:r>
        <w:t>В условиях современной промышленной технологии наиболее частым послеродовым осложнением у коров является воспаление матки. Для леч</w:t>
      </w:r>
      <w:r>
        <w:t>е</w:t>
      </w:r>
      <w:r>
        <w:t>ния животных, больных эндометритами, предложены многие методы и средства.</w:t>
      </w:r>
    </w:p>
    <w:p w:rsidR="00F4654E" w:rsidRDefault="00F4654E">
      <w:pPr>
        <w:pStyle w:val="a6"/>
      </w:pPr>
      <w:r>
        <w:t>Перед нами была поставлена задача изучить терапевтическую эффе</w:t>
      </w:r>
      <w:r>
        <w:t>к</w:t>
      </w:r>
      <w:r>
        <w:t>тивность комплексного препарата эриметрина в сравнении с рифацикл</w:t>
      </w:r>
      <w:r>
        <w:t>и</w:t>
      </w:r>
      <w:r>
        <w:t>ном, при лечении коров, больных послеродовым гнойно-катаральным э</w:t>
      </w:r>
      <w:r>
        <w:t>н</w:t>
      </w:r>
      <w:r>
        <w:t>дометритом. С этой целью у 15 больных коров был изучен видовой состав микрофлоры из экссудата матки и установлена чувствительность к ряду антимикробных препаратов.</w:t>
      </w:r>
    </w:p>
    <w:p w:rsidR="00F4654E" w:rsidRDefault="00F4654E">
      <w:pPr>
        <w:pStyle w:val="a6"/>
      </w:pPr>
      <w:r>
        <w:t>Чувствительность выделенных микроорганизмов к эриметрину и р</w:t>
      </w:r>
      <w:r>
        <w:t>и</w:t>
      </w:r>
      <w:r>
        <w:t>фациклину определяли методом диффузии на мясо-пептонный агар на чашках Петри с измерением диаметра зоны задержки роста микробов в</w:t>
      </w:r>
      <w:r>
        <w:t>о</w:t>
      </w:r>
      <w:r>
        <w:t>круг дисков.</w:t>
      </w:r>
    </w:p>
    <w:p w:rsidR="00F4654E" w:rsidRDefault="00F4654E">
      <w:pPr>
        <w:pStyle w:val="a6"/>
      </w:pPr>
      <w:r>
        <w:t>Результаты бактериологических исследований показали, что в соде</w:t>
      </w:r>
      <w:r>
        <w:t>р</w:t>
      </w:r>
      <w:r>
        <w:t>жимом матки коров, больных послеродовым гнойно-катаральным энд</w:t>
      </w:r>
      <w:r>
        <w:t>о</w:t>
      </w:r>
      <w:r>
        <w:t xml:space="preserve">метритом, находятся микроорганизмы разных видов: из группы коли (28,5%), стафилококков (26,4%), стрептококков (15,6%), протея (16,7%), диплококков(6,3%), синегнойной палочки (3,5%), сапрофитов (3,0%) как в виде монокультур, так и в различных сочетаниях. </w:t>
      </w:r>
    </w:p>
    <w:p w:rsidR="00F4654E" w:rsidRDefault="00F4654E">
      <w:pPr>
        <w:pStyle w:val="a6"/>
      </w:pPr>
      <w:r>
        <w:t>Микрофлора, выделенная из содержимого матки коров, была чувств</w:t>
      </w:r>
      <w:r>
        <w:t>и</w:t>
      </w:r>
      <w:r>
        <w:t>тельной и высокочувствительной к эриметрину и имела зону задержания роста от 19,5 до 35,6 мм, в то время, как к рифациклину – чувствительной, за исключением стафилококков и диплококков, где зона задержки роста составила от 15,0 до 15,4 мм.</w:t>
      </w:r>
    </w:p>
    <w:p w:rsidR="00F4654E" w:rsidRDefault="00F4654E">
      <w:pPr>
        <w:pStyle w:val="a6"/>
      </w:pPr>
      <w:r>
        <w:t>Изучая иммуноморфологическую характеристику течения воспаления в эндометрии установлено, что в разгар процесса отмечается гиперсекр</w:t>
      </w:r>
      <w:r>
        <w:t>е</w:t>
      </w:r>
      <w:r>
        <w:t>ция слизи, дистрофические изменения в эпителиоцитах, нарастание альт</w:t>
      </w:r>
      <w:r>
        <w:t>е</w:t>
      </w:r>
      <w:r>
        <w:t>ративных явлений, в т.ч. с деструкцией и фрагментацией коллагеновых в</w:t>
      </w:r>
      <w:r>
        <w:t>о</w:t>
      </w:r>
      <w:r>
        <w:t>локон. Установлена массовая эмиграция вначале макрофагов и лимфоц</w:t>
      </w:r>
      <w:r>
        <w:t>и</w:t>
      </w:r>
      <w:r>
        <w:t>тов, а потом и полиморфноядерных лейкоцитов с плотностью клеток в воспалительных очагах от 325 до 832 в поле зрения микроскопа (х 600).</w:t>
      </w:r>
    </w:p>
    <w:p w:rsidR="00F4654E" w:rsidRDefault="00F4654E">
      <w:pPr>
        <w:pStyle w:val="a6"/>
      </w:pPr>
      <w:r>
        <w:lastRenderedPageBreak/>
        <w:t>Лечение коров, больных послеродовым гнойно-катаральным эндоме</w:t>
      </w:r>
      <w:r>
        <w:t>т</w:t>
      </w:r>
      <w:r>
        <w:t>ритом эриметрином, который проявляет антимикробное, стимулирующее регенерацию тканей и иммуномодулирующее действие, ликвидирует кл</w:t>
      </w:r>
      <w:r>
        <w:t>и</w:t>
      </w:r>
      <w:r>
        <w:t>ническое проявление болезни к 9-му дню, восстановление эпителия к 13-му дню, рассасыванию инфильтратов и утилизации продуктов воспаления к 16-му дню.</w:t>
      </w:r>
    </w:p>
    <w:p w:rsidR="00F4654E" w:rsidRDefault="00F4654E">
      <w:pPr>
        <w:pStyle w:val="a6"/>
      </w:pPr>
      <w:r>
        <w:t>Активнодействующие вещества препарата эриметрин в молоке и кр</w:t>
      </w:r>
      <w:r>
        <w:t>о</w:t>
      </w:r>
      <w:r>
        <w:t>ви обнаруживаются в течение 5-10 часов. Бактериологическая и бактер</w:t>
      </w:r>
      <w:r>
        <w:t>и</w:t>
      </w:r>
      <w:r>
        <w:t>цидная их концентрация в маточном содержимом сохраняется до 72 часов.</w:t>
      </w:r>
    </w:p>
    <w:p w:rsidR="00F4654E" w:rsidRDefault="00F4654E">
      <w:pPr>
        <w:pStyle w:val="a6"/>
      </w:pPr>
      <w:r>
        <w:t>Анализ полученных данных показал, что клиническое выздоровление коров, которым внутриматочно вводили эриметрин в дозе 70 мл наступило у 97,14% животных через 8,95±0,34 дня. Продолжительность бесплодия составило 30,5±дня. Индекс оплодотворения равен 1,64±0,17.</w:t>
      </w:r>
    </w:p>
    <w:p w:rsidR="00F4654E" w:rsidRDefault="00F4654E">
      <w:pPr>
        <w:pStyle w:val="a6"/>
      </w:pPr>
      <w:r>
        <w:t>При использовании рифациклина продолжительность лечения сост</w:t>
      </w:r>
      <w:r>
        <w:t>а</w:t>
      </w:r>
      <w:r>
        <w:t>вило 17,21±0,62 дня. Продолжительность бесплодия достигло 63,4±4,35 дня, а индекс оплодотворения равен 2,31±0,19.</w:t>
      </w:r>
    </w:p>
    <w:p w:rsidR="00F4654E" w:rsidRDefault="00F4654E">
      <w:pPr>
        <w:pStyle w:val="a6"/>
      </w:pPr>
      <w:r>
        <w:t>Таким образом, созданный новый комплексный препарат эриметрин проявляет хорошо выраженные антимикробные, иммуномодулирующие  и стимулирующие регенерацию тканей свойства, что обеспечивает высокий терапевтический эффект при лечении коров, больных послеродовым гно</w:t>
      </w:r>
      <w:r>
        <w:t>й</w:t>
      </w:r>
      <w:r>
        <w:t xml:space="preserve">но-катаральным эндометритом.   </w:t>
      </w:r>
    </w:p>
    <w:p w:rsidR="00F4654E" w:rsidRDefault="00F4654E">
      <w:pPr>
        <w:pStyle w:val="a4"/>
      </w:pPr>
      <w:r>
        <w:t>УДК 619:615.375.636.52/58.085</w:t>
      </w:r>
    </w:p>
    <w:p w:rsidR="00F4654E" w:rsidRDefault="00F4654E">
      <w:pPr>
        <w:pStyle w:val="1"/>
      </w:pPr>
      <w:bookmarkStart w:id="4536" w:name="_Toc10731540"/>
      <w:bookmarkStart w:id="4537" w:name="_Toc11137987"/>
      <w:bookmarkStart w:id="4538" w:name="_Toc11138405"/>
      <w:bookmarkStart w:id="4539" w:name="_Toc11138823"/>
      <w:bookmarkStart w:id="4540" w:name="_Toc11139241"/>
      <w:bookmarkStart w:id="4541" w:name="_Toc11139659"/>
      <w:bookmarkStart w:id="4542" w:name="_Toc11140077"/>
      <w:bookmarkStart w:id="4543" w:name="_Toc11140495"/>
      <w:bookmarkStart w:id="4544" w:name="_Toc11390599"/>
      <w:bookmarkStart w:id="4545" w:name="_Toc11840284"/>
      <w:bookmarkStart w:id="4546" w:name="_Toc11937820"/>
      <w:r>
        <w:t>Сочетанное влияние иммунофана и метионина на организм животных</w:t>
      </w:r>
      <w:bookmarkEnd w:id="4536"/>
      <w:bookmarkEnd w:id="4537"/>
      <w:bookmarkEnd w:id="4538"/>
      <w:bookmarkEnd w:id="4539"/>
      <w:bookmarkEnd w:id="4540"/>
      <w:bookmarkEnd w:id="4541"/>
      <w:bookmarkEnd w:id="4542"/>
      <w:bookmarkEnd w:id="4543"/>
      <w:bookmarkEnd w:id="4544"/>
      <w:bookmarkEnd w:id="4545"/>
      <w:bookmarkEnd w:id="4546"/>
    </w:p>
    <w:p w:rsidR="00F4654E" w:rsidRDefault="00F4654E">
      <w:pPr>
        <w:pStyle w:val="2"/>
      </w:pPr>
      <w:bookmarkStart w:id="4547" w:name="_Toc10731541"/>
      <w:bookmarkStart w:id="4548" w:name="_Toc11032356"/>
      <w:bookmarkStart w:id="4549" w:name="_Toc11137988"/>
      <w:bookmarkStart w:id="4550" w:name="_Toc11138406"/>
      <w:bookmarkStart w:id="4551" w:name="_Toc11138824"/>
      <w:bookmarkStart w:id="4552" w:name="_Toc11139242"/>
      <w:bookmarkStart w:id="4553" w:name="_Toc11139660"/>
      <w:bookmarkStart w:id="4554" w:name="_Toc11140078"/>
      <w:bookmarkStart w:id="4555" w:name="_Toc11140496"/>
      <w:bookmarkStart w:id="4556" w:name="_Toc11390600"/>
      <w:bookmarkStart w:id="4557" w:name="_Toc11937821"/>
      <w:r>
        <w:t>Рубинский И.А., Романова Л.Я.</w:t>
      </w:r>
      <w:bookmarkEnd w:id="4547"/>
      <w:bookmarkEnd w:id="4548"/>
      <w:bookmarkEnd w:id="4549"/>
      <w:bookmarkEnd w:id="4550"/>
      <w:bookmarkEnd w:id="4551"/>
      <w:bookmarkEnd w:id="4552"/>
      <w:bookmarkEnd w:id="4553"/>
      <w:bookmarkEnd w:id="4554"/>
      <w:bookmarkEnd w:id="4555"/>
      <w:bookmarkEnd w:id="4556"/>
      <w:bookmarkEnd w:id="4557"/>
    </w:p>
    <w:p w:rsidR="00F4654E" w:rsidRDefault="00F4654E">
      <w:pPr>
        <w:pStyle w:val="a5"/>
      </w:pPr>
      <w:r>
        <w:t>Свердловская научно-исследовательская ветеринарная станция</w:t>
      </w:r>
    </w:p>
    <w:p w:rsidR="00F4654E" w:rsidRDefault="00F4654E">
      <w:pPr>
        <w:pStyle w:val="a6"/>
      </w:pPr>
      <w:r>
        <w:tab/>
        <w:t>В 2002 году на базе одного из животноводческих хозяйств Свердло</w:t>
      </w:r>
      <w:r>
        <w:t>в</w:t>
      </w:r>
      <w:r>
        <w:t>ской области заложен эксперимент по изучению влияния на организм ж</w:t>
      </w:r>
      <w:r>
        <w:t>и</w:t>
      </w:r>
      <w:r>
        <w:t>вотных инъекций иммунофана на фоне применения антиоксидантов. Из числа последних препаратов, для работы был выбран метионин, как на</w:t>
      </w:r>
      <w:r>
        <w:t>и</w:t>
      </w:r>
      <w:r>
        <w:t>более дешевый и доступный.</w:t>
      </w:r>
    </w:p>
    <w:p w:rsidR="00F4654E" w:rsidRDefault="00F4654E">
      <w:pPr>
        <w:pStyle w:val="a6"/>
      </w:pPr>
      <w:r>
        <w:tab/>
        <w:t>Для проведения испытаний было отобрано 45 голов крупного рог</w:t>
      </w:r>
      <w:r>
        <w:t>а</w:t>
      </w:r>
      <w:r>
        <w:t>того скота приблизительно одинакового возраста, массы тела и уровня м</w:t>
      </w:r>
      <w:r>
        <w:t>о</w:t>
      </w:r>
      <w:r>
        <w:t>лочной продуктивности, которые были разбиты на три группы (две опы</w:t>
      </w:r>
      <w:r>
        <w:t>т</w:t>
      </w:r>
      <w:r>
        <w:t>ные и одна контрольная, по 15 голов в каждой). Испытуемый препарат вводили трехкратно, внутримышечно в дозе 2 см</w:t>
      </w:r>
      <w:r>
        <w:rPr>
          <w:vertAlign w:val="superscript"/>
        </w:rPr>
        <w:t>3</w:t>
      </w:r>
      <w:r>
        <w:t>/гол по схеме: 1-й, 3-й и 7-й дни. Одна опытная группа (№ 1) обрабатывалась только иммунофаном. Другая группа (№ 2) – с момента первой инъекций препарата, в течение последующих за ней 30 дней регулярно получала метионин, который зад</w:t>
      </w:r>
      <w:r>
        <w:t>а</w:t>
      </w:r>
      <w:r>
        <w:t>вали с комбикормом из расчета 12 г/гол в сутки. Животные контрольной группы (К) вместо иммунофана обрабатывались плацебо в дозе 2 см</w:t>
      </w:r>
      <w:r>
        <w:rPr>
          <w:vertAlign w:val="superscript"/>
        </w:rPr>
        <w:t>3</w:t>
      </w:r>
      <w:r>
        <w:t xml:space="preserve">/гол с </w:t>
      </w:r>
      <w:r>
        <w:lastRenderedPageBreak/>
        <w:t>интервалом 3 и 7 дней после первой инъекции. Метионин они не получали. Условия содержания и качество кормления в течение срока проведения испытаний оставались неизменными.</w:t>
      </w:r>
    </w:p>
    <w:p w:rsidR="00F4654E" w:rsidRDefault="00F4654E">
      <w:pPr>
        <w:pStyle w:val="a6"/>
      </w:pPr>
      <w:r>
        <w:tab/>
        <w:t>Через 30 дней от начала эксперимента от всех животных получены образцы крови, которые в течение одного часа были доставлены в лабор</w:t>
      </w:r>
      <w:r>
        <w:t>а</w:t>
      </w:r>
      <w:r>
        <w:t>торию, где и были подвергнуты иммунологическому исследованию. Опр</w:t>
      </w:r>
      <w:r>
        <w:t>е</w:t>
      </w:r>
      <w:r>
        <w:t>деление содержания общего белка в сыворотке крови, концентрации гем</w:t>
      </w:r>
      <w:r>
        <w:t>о</w:t>
      </w:r>
      <w:r>
        <w:t>глобина, числа эритроцитов, лейкоцитов, процентного содержания фо</w:t>
      </w:r>
      <w:r>
        <w:t>р</w:t>
      </w:r>
      <w:r>
        <w:t>менных элементов в крови, Т и В лимфоцитов, проведено с использован</w:t>
      </w:r>
      <w:r>
        <w:t>и</w:t>
      </w:r>
      <w:r>
        <w:t>ем общепринятых методов. При этом было установлено, что:</w:t>
      </w:r>
    </w:p>
    <w:p w:rsidR="00F4654E" w:rsidRDefault="00F4654E">
      <w:pPr>
        <w:pStyle w:val="a6"/>
      </w:pPr>
      <w:r>
        <w:t>Парентеральное введение иммунофана в соответствии с описанной схемой практически не оказывает никакого влияния на процессы синтеза белка в организме животных (величина этого показателя составила: в ко</w:t>
      </w:r>
      <w:r>
        <w:t>н</w:t>
      </w:r>
      <w:r>
        <w:t>троле – 7.93, группе № 1 – 7.95 и группе № 2 – 8,14 г%).</w:t>
      </w:r>
    </w:p>
    <w:p w:rsidR="00F4654E" w:rsidRDefault="00F4654E">
      <w:pPr>
        <w:pStyle w:val="a6"/>
      </w:pPr>
      <w:r>
        <w:t>Регулярная дача метионина из расчета 12 г/гол в сутки на фоне белк</w:t>
      </w:r>
      <w:r>
        <w:t>о</w:t>
      </w:r>
      <w:r>
        <w:t>вого перекорма (концентратный тип кормления) ведет к увеличению с</w:t>
      </w:r>
      <w:r>
        <w:t>о</w:t>
      </w:r>
      <w:r>
        <w:t>держания общего белка в сыворотке крови. Инъекция иммунофана пров</w:t>
      </w:r>
      <w:r>
        <w:t>о</w:t>
      </w:r>
      <w:r w:rsidR="0001153D">
        <w:t xml:space="preserve">цирует </w:t>
      </w:r>
      <w:r>
        <w:t>эозинофилия, которую при условии избыточного поступления в о</w:t>
      </w:r>
      <w:r>
        <w:t>р</w:t>
      </w:r>
      <w:r>
        <w:t>ганизм протеина можно оценить, как положительную реакцию, ибо ук</w:t>
      </w:r>
      <w:r>
        <w:t>а</w:t>
      </w:r>
      <w:r>
        <w:t>занный вид клеток принимает участие в нейтрализации продуктов распада белка, о</w:t>
      </w:r>
      <w:r>
        <w:t>б</w:t>
      </w:r>
      <w:r>
        <w:t>ладающих антигенными свойствами. (Содержание эозинофилов в крови сост</w:t>
      </w:r>
      <w:r>
        <w:t>а</w:t>
      </w:r>
      <w:r>
        <w:t>вило: в контроле – 11,80, группе № 1 – 12,50  и группе № 2 – 17,80 %.)</w:t>
      </w:r>
    </w:p>
    <w:p w:rsidR="00F4654E" w:rsidRDefault="00F4654E">
      <w:pPr>
        <w:pStyle w:val="a6"/>
      </w:pPr>
      <w:r>
        <w:t>Применение иммунофана стимулирует эритропоэз, понижает выр</w:t>
      </w:r>
      <w:r>
        <w:t>а</w:t>
      </w:r>
      <w:r>
        <w:t>женность лейкоцитоза (если таковой имеется), но особенно ярко эти сво</w:t>
      </w:r>
      <w:r>
        <w:t>й</w:t>
      </w:r>
      <w:r>
        <w:t>ства препарата проявляются на фоне регулярной дачи животным метион</w:t>
      </w:r>
      <w:r>
        <w:t>и</w:t>
      </w:r>
      <w:r>
        <w:t>на. (Содержание эритроцитов в одном микролитре крови составило в ко</w:t>
      </w:r>
      <w:r>
        <w:t>н</w:t>
      </w:r>
      <w:r>
        <w:t>троле – 4.56, группе № 1 – 5.23 и группе № 2 – 6.09 млн., а лейкоцитов – 12.56, 13.70 и 8.23 тыс., соответственно.)</w:t>
      </w:r>
    </w:p>
    <w:p w:rsidR="00F4654E" w:rsidRDefault="00F4654E">
      <w:pPr>
        <w:pStyle w:val="a6"/>
      </w:pPr>
      <w:r>
        <w:t>Обработка скота иммунофаном на фоне наличия у животных ра</w:t>
      </w:r>
      <w:r>
        <w:t>с</w:t>
      </w:r>
      <w:r>
        <w:t>стройств костномозгового кроветворения ослабляет тяжесть течения пат</w:t>
      </w:r>
      <w:r>
        <w:t>о</w:t>
      </w:r>
      <w:r>
        <w:t>логических процессов, но особенно совместно с метионином. (В результ</w:t>
      </w:r>
      <w:r>
        <w:t>а</w:t>
      </w:r>
      <w:r>
        <w:t>те применения иммунофана гиперрегенеративный сдвиг нейтрофильного ядра влево сменился простым гипорегенеративным, а в случае сочетания его инъекций дачей метионина – из крови животных полностью исчезли миелоциты (в контроле их было в среднем 0.40, у животных группы № 1 – 0.15  и группы № 2 – 0,00 %).)</w:t>
      </w:r>
    </w:p>
    <w:p w:rsidR="00F4654E" w:rsidRDefault="00F4654E">
      <w:pPr>
        <w:pStyle w:val="a6"/>
      </w:pPr>
      <w:r>
        <w:t>В отношении нормализации процентного содержания в крови лимф</w:t>
      </w:r>
      <w:r>
        <w:t>о</w:t>
      </w:r>
      <w:r>
        <w:t>цитов, лучшие результаты получены от трехкратной инъекции иммуноф</w:t>
      </w:r>
      <w:r>
        <w:t>а</w:t>
      </w:r>
      <w:r>
        <w:t>на (контроль – 38.70, группа № 1 – 46.15 %), а в случае с нормализацией процентного содержания в крови моноцитов – от сочетания инъекций пр</w:t>
      </w:r>
      <w:r>
        <w:t>е</w:t>
      </w:r>
      <w:r>
        <w:t>парата с пероральной дачей метионина (контроль – 4.20, группа № 1 – 4.93 и группа № 2 – 3,60 %).</w:t>
      </w:r>
    </w:p>
    <w:p w:rsidR="00F4654E" w:rsidRDefault="00F4654E">
      <w:pPr>
        <w:pStyle w:val="a6"/>
      </w:pPr>
      <w:r>
        <w:lastRenderedPageBreak/>
        <w:t>Трехкратное применение иммунофана способствовало устранению состояния иммунодефицита у обследованных животных (величина соо</w:t>
      </w:r>
      <w:r>
        <w:t>т</w:t>
      </w:r>
      <w:r>
        <w:t>ношения абсолютных чисел Т- и В-лимфоцитов составила в контроле – 1.56 и у животных группы № 2 – 2.27). Вместе с тем, это способствовало уменьшению содержания в крови неактивных форм лимфоцитов (так н</w:t>
      </w:r>
      <w:r>
        <w:t>а</w:t>
      </w:r>
      <w:r>
        <w:t>зываемые нуль-клетки) в среднем на 0,15 %.</w:t>
      </w:r>
    </w:p>
    <w:p w:rsidR="00F4654E" w:rsidRDefault="00F4654E">
      <w:pPr>
        <w:pStyle w:val="a6"/>
      </w:pPr>
      <w:r>
        <w:t>Иммунофан, инъецируемый на фоне дачи животным метионина, о</w:t>
      </w:r>
      <w:r>
        <w:t>б</w:t>
      </w:r>
      <w:r>
        <w:t>ладал менее выраженным иммунокоррегирующим действием. Такой вывод сделан на основании того, что значение показателя отношения абсолютных чисел Т- и В-лимфоцитов при применении иммунофана в комплексе  с м</w:t>
      </w:r>
      <w:r>
        <w:t>е</w:t>
      </w:r>
      <w:r>
        <w:t>тионином составило 1.69, а в группе, где животные обрабатывались только испытуемым препаратом – 2,27. Однако содержание в крови неактивных форм лимфоцитов в крови животных, которым трехкратно инъецировали иммунофан и регулярно давали метионин, было гораздо ниже (52,00 % в контроле и 45,54% у животных группы № 2).</w:t>
      </w:r>
    </w:p>
    <w:p w:rsidR="00F4654E" w:rsidRDefault="00F4654E">
      <w:pPr>
        <w:pStyle w:val="a6"/>
      </w:pPr>
      <w:r>
        <w:t>Таким образом, трехкратная инъекция иммунофана на фоне регуля</w:t>
      </w:r>
      <w:r>
        <w:t>р</w:t>
      </w:r>
      <w:r>
        <w:t>ной дачи с кормом метионина оказывает положительное влияние на орг</w:t>
      </w:r>
      <w:r>
        <w:t>а</w:t>
      </w:r>
      <w:r>
        <w:t>низм животных, ослабляя тяжесть течения патологических процессов.</w:t>
      </w:r>
    </w:p>
    <w:p w:rsidR="00F4654E" w:rsidRDefault="00F4654E">
      <w:pPr>
        <w:pStyle w:val="a4"/>
      </w:pPr>
      <w:r>
        <w:t>УДК 619:616.98:578</w:t>
      </w:r>
    </w:p>
    <w:p w:rsidR="00F4654E" w:rsidRDefault="00F4654E">
      <w:pPr>
        <w:pStyle w:val="1"/>
      </w:pPr>
      <w:bookmarkStart w:id="4558" w:name="_Toc10731542"/>
      <w:bookmarkStart w:id="4559" w:name="_Toc11137989"/>
      <w:bookmarkStart w:id="4560" w:name="_Toc11138407"/>
      <w:bookmarkStart w:id="4561" w:name="_Toc11138825"/>
      <w:bookmarkStart w:id="4562" w:name="_Toc11139243"/>
      <w:bookmarkStart w:id="4563" w:name="_Toc11139661"/>
      <w:bookmarkStart w:id="4564" w:name="_Toc11140079"/>
      <w:bookmarkStart w:id="4565" w:name="_Toc11140497"/>
      <w:bookmarkStart w:id="4566" w:name="_Toc11390601"/>
      <w:bookmarkStart w:id="4567" w:name="_Toc11840286"/>
      <w:bookmarkStart w:id="4568" w:name="_Toc11937822"/>
      <w:r>
        <w:t>РЕЗУЛЬТАТЫ ЛЕЧЕНИЯ МОЛОДНЯКА СОБАК ПРИ ЧУМЕ ПЛОТОЯДНЫХ С ИСПОЛЬЗОВАНИЕМ КИНОРОНА</w:t>
      </w:r>
      <w:bookmarkEnd w:id="4558"/>
      <w:bookmarkEnd w:id="4559"/>
      <w:bookmarkEnd w:id="4560"/>
      <w:bookmarkEnd w:id="4561"/>
      <w:bookmarkEnd w:id="4562"/>
      <w:bookmarkEnd w:id="4563"/>
      <w:bookmarkEnd w:id="4564"/>
      <w:bookmarkEnd w:id="4565"/>
      <w:bookmarkEnd w:id="4566"/>
      <w:bookmarkEnd w:id="4567"/>
      <w:bookmarkEnd w:id="4568"/>
    </w:p>
    <w:p w:rsidR="00F4654E" w:rsidRDefault="00F4654E">
      <w:pPr>
        <w:pStyle w:val="2"/>
      </w:pPr>
      <w:bookmarkStart w:id="4569" w:name="_Toc10731543"/>
      <w:bookmarkStart w:id="4570" w:name="_Toc11032357"/>
      <w:bookmarkStart w:id="4571" w:name="_Toc11137990"/>
      <w:bookmarkStart w:id="4572" w:name="_Toc11138408"/>
      <w:bookmarkStart w:id="4573" w:name="_Toc11138826"/>
      <w:bookmarkStart w:id="4574" w:name="_Toc11139244"/>
      <w:bookmarkStart w:id="4575" w:name="_Toc11139662"/>
      <w:bookmarkStart w:id="4576" w:name="_Toc11140080"/>
      <w:bookmarkStart w:id="4577" w:name="_Toc11140498"/>
      <w:bookmarkStart w:id="4578" w:name="_Toc11390602"/>
      <w:bookmarkStart w:id="4579" w:name="_Toc11937823"/>
      <w:r>
        <w:t>Рябцев П.С., Степанов А.В.</w:t>
      </w:r>
      <w:bookmarkEnd w:id="4569"/>
      <w:bookmarkEnd w:id="4570"/>
      <w:bookmarkEnd w:id="4571"/>
      <w:bookmarkEnd w:id="4572"/>
      <w:bookmarkEnd w:id="4573"/>
      <w:bookmarkEnd w:id="4574"/>
      <w:bookmarkEnd w:id="4575"/>
      <w:bookmarkEnd w:id="4576"/>
      <w:bookmarkEnd w:id="4577"/>
      <w:bookmarkEnd w:id="4578"/>
      <w:bookmarkEnd w:id="4579"/>
    </w:p>
    <w:p w:rsidR="00F4654E" w:rsidRDefault="00F4654E">
      <w:pPr>
        <w:pStyle w:val="a5"/>
      </w:pPr>
      <w:r>
        <w:t>Орловский государственный аграрный университет</w:t>
      </w:r>
    </w:p>
    <w:p w:rsidR="00F4654E" w:rsidRDefault="00F4654E">
      <w:pPr>
        <w:pStyle w:val="a6"/>
      </w:pPr>
      <w:r>
        <w:t>Целью настоящей работы явилось выяснение лечебной эффективн</w:t>
      </w:r>
      <w:r>
        <w:t>о</w:t>
      </w:r>
      <w:r>
        <w:t>сти кинорона (смесь рекомбинантных интерферонов и иммуномодулят</w:t>
      </w:r>
      <w:r>
        <w:t>о</w:t>
      </w:r>
      <w:r>
        <w:t>ров – лимфокинов) в общей схеме комплексной терапии молодняка собак при чуме.</w:t>
      </w:r>
    </w:p>
    <w:p w:rsidR="00F4654E" w:rsidRDefault="00F4654E">
      <w:pPr>
        <w:pStyle w:val="a6"/>
      </w:pPr>
      <w:r>
        <w:t>Из щенков в возрасте от 3 месяцев до 1,5 лет разных пород по мере выявления заболевания были сформированы 2 группы: подопытная и ко</w:t>
      </w:r>
      <w:r>
        <w:t>н</w:t>
      </w:r>
      <w:r>
        <w:t>трольная по 5 животных в каждой. Диагноз на чуму плотоядных подтве</w:t>
      </w:r>
      <w:r>
        <w:t>р</w:t>
      </w:r>
      <w:r>
        <w:t>ждали по выявлению специфического антигена в смывах больных живо</w:t>
      </w:r>
      <w:r>
        <w:t>т</w:t>
      </w:r>
      <w:r>
        <w:t>ных в твёрдофазном иммуноферментном анализе.</w:t>
      </w:r>
    </w:p>
    <w:p w:rsidR="00F4654E" w:rsidRDefault="00F4654E">
      <w:pPr>
        <w:pStyle w:val="a6"/>
      </w:pPr>
      <w:r>
        <w:t>У молодняка собак заболевание клинически проявилось повышением температуры тела до 39,5±0,36</w:t>
      </w:r>
      <w:r>
        <w:sym w:font="Symbol" w:char="F0B0"/>
      </w:r>
      <w:r>
        <w:t>С, снижением аппетита, общей слабостью, желудочно-кишечными расстройствами с явлениями запора и диареи, к</w:t>
      </w:r>
      <w:r>
        <w:t>а</w:t>
      </w:r>
      <w:r>
        <w:t>тарально-гнойными конъюнктивитами и ринитами.</w:t>
      </w:r>
    </w:p>
    <w:p w:rsidR="00F4654E" w:rsidRDefault="00F4654E">
      <w:pPr>
        <w:pStyle w:val="a6"/>
      </w:pPr>
      <w:r>
        <w:t>Для лечения щенков подопытной группы использовали кинорон вну</w:t>
      </w:r>
      <w:r>
        <w:t>т</w:t>
      </w:r>
      <w:r>
        <w:t>римышечно в дозе 2 мл 2 раза в день 3 дня подряд. Одновременно в теч</w:t>
      </w:r>
      <w:r>
        <w:t>е</w:t>
      </w:r>
      <w:r>
        <w:t>ние пяти дней подряд применяли витаминотерапию (В</w:t>
      </w:r>
      <w:r>
        <w:rPr>
          <w:vertAlign w:val="subscript"/>
        </w:rPr>
        <w:t>1</w:t>
      </w:r>
      <w:r>
        <w:t>, В</w:t>
      </w:r>
      <w:r>
        <w:rPr>
          <w:vertAlign w:val="subscript"/>
        </w:rPr>
        <w:t>6</w:t>
      </w:r>
      <w:r>
        <w:t>, В</w:t>
      </w:r>
      <w:r>
        <w:rPr>
          <w:vertAlign w:val="subscript"/>
        </w:rPr>
        <w:t>12</w:t>
      </w:r>
      <w:r>
        <w:t>, В</w:t>
      </w:r>
      <w:r>
        <w:rPr>
          <w:vertAlign w:val="subscript"/>
        </w:rPr>
        <w:t>с</w:t>
      </w:r>
      <w:r>
        <w:t xml:space="preserve">, С, А) в общепринятых дозах, а также внутрь 5%-ный раствор энтеродеза по 25-50 мл и бифидумбактерин по 1-2 дозы 1-2 раза в день. В контрольной группе </w:t>
      </w:r>
      <w:r>
        <w:lastRenderedPageBreak/>
        <w:t>животных применяли лечение по схеме, ранее принятой в клинике, вкл</w:t>
      </w:r>
      <w:r>
        <w:t>ю</w:t>
      </w:r>
      <w:r>
        <w:t>чающей инъекции антибиотиков, очистительные клизмы, внутривенное введение глюкозосолевых растворов.</w:t>
      </w:r>
    </w:p>
    <w:p w:rsidR="00F4654E" w:rsidRDefault="00F4654E">
      <w:pPr>
        <w:pStyle w:val="a6"/>
      </w:pPr>
      <w:r>
        <w:t>В процессе лечения у щенков подопытной группы на 4-6 день прои</w:t>
      </w:r>
      <w:r>
        <w:t>с</w:t>
      </w:r>
      <w:r>
        <w:t>ходило улучшение общего состояния, аппетита, животные становились б</w:t>
      </w:r>
      <w:r>
        <w:t>о</w:t>
      </w:r>
      <w:r>
        <w:t>лее подвижными, температура тела снижалась до 38,6±0,04</w:t>
      </w:r>
      <w:r>
        <w:sym w:font="Symbol" w:char="F0B0"/>
      </w:r>
      <w:r>
        <w:t>С. В то же время у животных контрольной группы выздоровление наступало на 8-10 день от начала терапии.</w:t>
      </w:r>
    </w:p>
    <w:p w:rsidR="00F4654E" w:rsidRDefault="00F4654E">
      <w:pPr>
        <w:pStyle w:val="a6"/>
      </w:pPr>
      <w:r>
        <w:t>При исследовании крови у молодняка собак подопытной группы о</w:t>
      </w:r>
      <w:r>
        <w:t>т</w:t>
      </w:r>
      <w:r>
        <w:t>мечалась нормализация морфологических показателей (гемоглобин, ле</w:t>
      </w:r>
      <w:r>
        <w:t>й</w:t>
      </w:r>
      <w:r>
        <w:t>коциты, базофилы, эозинофилы) и биохимических показателей (альбум</w:t>
      </w:r>
      <w:r>
        <w:t>и</w:t>
      </w:r>
      <w:r>
        <w:t xml:space="preserve">ны, </w:t>
      </w:r>
      <w:r>
        <w:sym w:font="Symbol" w:char="F067"/>
      </w:r>
      <w:r>
        <w:t>-глобулины, мочевина, К</w:t>
      </w:r>
      <w:r>
        <w:rPr>
          <w:vertAlign w:val="superscript"/>
        </w:rPr>
        <w:t>+</w:t>
      </w:r>
      <w:r>
        <w:t>, СРБ). В то же время у животных контрол</w:t>
      </w:r>
      <w:r>
        <w:t>ь</w:t>
      </w:r>
      <w:r>
        <w:t>ной группы эти показатели претерпевали незначительные изменения.</w:t>
      </w:r>
    </w:p>
    <w:p w:rsidR="00F4654E" w:rsidRDefault="00F4654E">
      <w:pPr>
        <w:pStyle w:val="a6"/>
      </w:pPr>
      <w:r>
        <w:t>Таким образом, проведённые исследования показали высокую эффе</w:t>
      </w:r>
      <w:r>
        <w:t>к</w:t>
      </w:r>
      <w:r>
        <w:t>тивность комплексной терапии молодняка собак при чуме плотоядных с использованием кинорона.</w:t>
      </w:r>
    </w:p>
    <w:p w:rsidR="00F4654E" w:rsidRDefault="00F4654E">
      <w:pPr>
        <w:pStyle w:val="a4"/>
      </w:pPr>
      <w:r>
        <w:t>УДК 619:61-008.9+619:615.3:632.2.37</w:t>
      </w:r>
    </w:p>
    <w:p w:rsidR="00F4654E" w:rsidRDefault="00F4654E">
      <w:pPr>
        <w:pStyle w:val="1"/>
      </w:pPr>
      <w:bookmarkStart w:id="4580" w:name="_Toc10731544"/>
      <w:bookmarkStart w:id="4581" w:name="_Toc11137991"/>
      <w:bookmarkStart w:id="4582" w:name="_Toc11138409"/>
      <w:bookmarkStart w:id="4583" w:name="_Toc11138827"/>
      <w:bookmarkStart w:id="4584" w:name="_Toc11139245"/>
      <w:bookmarkStart w:id="4585" w:name="_Toc11139663"/>
      <w:bookmarkStart w:id="4586" w:name="_Toc11140081"/>
      <w:bookmarkStart w:id="4587" w:name="_Toc11140499"/>
      <w:bookmarkStart w:id="4588" w:name="_Toc11390603"/>
      <w:bookmarkStart w:id="4589" w:name="_Toc11840288"/>
      <w:bookmarkStart w:id="4590" w:name="_Toc11937824"/>
      <w:r>
        <w:t>Влияние тенториума плюс на биохимические показатели крови у новорожденных телят при гипотрофии</w:t>
      </w:r>
      <w:bookmarkEnd w:id="4580"/>
      <w:bookmarkEnd w:id="4581"/>
      <w:bookmarkEnd w:id="4582"/>
      <w:bookmarkEnd w:id="4583"/>
      <w:bookmarkEnd w:id="4584"/>
      <w:bookmarkEnd w:id="4585"/>
      <w:bookmarkEnd w:id="4586"/>
      <w:bookmarkEnd w:id="4587"/>
      <w:bookmarkEnd w:id="4588"/>
      <w:bookmarkEnd w:id="4589"/>
      <w:bookmarkEnd w:id="4590"/>
    </w:p>
    <w:p w:rsidR="00F4654E" w:rsidRDefault="00F4654E">
      <w:pPr>
        <w:pStyle w:val="2"/>
      </w:pPr>
      <w:bookmarkStart w:id="4591" w:name="_Toc10731545"/>
      <w:bookmarkStart w:id="4592" w:name="_Toc11032358"/>
      <w:bookmarkStart w:id="4593" w:name="_Toc11137992"/>
      <w:bookmarkStart w:id="4594" w:name="_Toc11138410"/>
      <w:bookmarkStart w:id="4595" w:name="_Toc11138828"/>
      <w:bookmarkStart w:id="4596" w:name="_Toc11139246"/>
      <w:bookmarkStart w:id="4597" w:name="_Toc11139664"/>
      <w:bookmarkStart w:id="4598" w:name="_Toc11140082"/>
      <w:bookmarkStart w:id="4599" w:name="_Toc11140500"/>
      <w:bookmarkStart w:id="4600" w:name="_Toc11390604"/>
      <w:bookmarkStart w:id="4601" w:name="_Toc11937825"/>
      <w:r>
        <w:t>Саврасов Д.А.</w:t>
      </w:r>
      <w:bookmarkEnd w:id="4591"/>
      <w:bookmarkEnd w:id="4592"/>
      <w:bookmarkEnd w:id="4593"/>
      <w:bookmarkEnd w:id="4594"/>
      <w:bookmarkEnd w:id="4595"/>
      <w:bookmarkEnd w:id="4596"/>
      <w:bookmarkEnd w:id="4597"/>
      <w:bookmarkEnd w:id="4598"/>
      <w:bookmarkEnd w:id="4599"/>
      <w:bookmarkEnd w:id="4600"/>
      <w:bookmarkEnd w:id="4601"/>
    </w:p>
    <w:p w:rsidR="00F4654E" w:rsidRDefault="00F4654E">
      <w:pPr>
        <w:pStyle w:val="a5"/>
      </w:pPr>
      <w:r>
        <w:t>Воронежский государственный аграрный университет им. К.Д. Глинки</w:t>
      </w:r>
    </w:p>
    <w:p w:rsidR="00F4654E" w:rsidRDefault="00F4654E">
      <w:pPr>
        <w:pStyle w:val="a6"/>
      </w:pPr>
      <w:r>
        <w:t>Тенториум плюс не изучен в ветеринарии, а поэтому была поставлена задача определить его влияние на некоторые обменные процессы в орг</w:t>
      </w:r>
      <w:r>
        <w:t>а</w:t>
      </w:r>
      <w:r>
        <w:t>низме у телят при врожденной гипотрофии. Тенториум плюс – это преп</w:t>
      </w:r>
      <w:r>
        <w:t>а</w:t>
      </w:r>
      <w:r>
        <w:t>рат, в состав которого входят пчелиная обношка (пчелиная пыльца), пр</w:t>
      </w:r>
      <w:r>
        <w:t>о</w:t>
      </w:r>
      <w:r>
        <w:t>полис, витамин С, высококачественный мед, микросферическая сахарно-восковая оболочка. Пыльца обношка является уникальным природным и</w:t>
      </w:r>
      <w:r>
        <w:t>с</w:t>
      </w:r>
      <w:r>
        <w:t>точником белков, жиров, витаминов и минеральных веществ. Препарат выпускается в виде драже. Применяется для улучшения функции печени, увеличения количества эритроцитов, гемоглобина, способствует нормал</w:t>
      </w:r>
      <w:r>
        <w:t>и</w:t>
      </w:r>
      <w:r>
        <w:t>зации ритма сердца и артериального давления.</w:t>
      </w:r>
    </w:p>
    <w:p w:rsidR="00F4654E" w:rsidRDefault="00F4654E">
      <w:pPr>
        <w:pStyle w:val="a6"/>
      </w:pPr>
      <w:r>
        <w:t>Опыты проведены в учебно-опытном хозяйстве Задонского района Липецкой области на 32 телятах с вышеназванной патологией, которые были разделены на четыре равные группы – две опытные и две контрол</w:t>
      </w:r>
      <w:r>
        <w:t>ь</w:t>
      </w:r>
      <w:r>
        <w:t>ные. В первую опытную и контрольную группы входили телята с призн</w:t>
      </w:r>
      <w:r>
        <w:t>а</w:t>
      </w:r>
      <w:r>
        <w:t>ками I степени гипотрофии. Опытной группе телят ежедневно вводили препарат тенториум плюс 1,2 г/гол. однократно с молозивом в течение с</w:t>
      </w:r>
      <w:r>
        <w:t>е</w:t>
      </w:r>
      <w:r>
        <w:t>ми дней. Телятам второй опытной группы, страдающих II степенью гип</w:t>
      </w:r>
      <w:r>
        <w:t>о</w:t>
      </w:r>
      <w:r>
        <w:t>трофии, препарат назначали ежедневно по одному разу в день в течение первых семи дней, а в последующие дни через день до пятнадцати-дневного возраста. Всем телятам подопытных групп, в том числе ко</w:t>
      </w:r>
      <w:r>
        <w:t>н</w:t>
      </w:r>
      <w:r>
        <w:lastRenderedPageBreak/>
        <w:t>трольным, вводили тривитамин А, Д, Е в количестве 2 мл через каждые три дня до 15-дневного возраста. У подопытных телят за период опыта оценивали клинико-гематологические показатели. В крови определяли концентрацию глюкозы, витамины А и С, лейкоциты и другие морфолог</w:t>
      </w:r>
      <w:r>
        <w:t>и</w:t>
      </w:r>
      <w:r>
        <w:t>ческие показатели крови.</w:t>
      </w:r>
    </w:p>
    <w:p w:rsidR="00F4654E" w:rsidRDefault="00F4654E">
      <w:pPr>
        <w:pStyle w:val="a6"/>
      </w:pPr>
      <w:r>
        <w:t>У опытных телят первой группы, после применения препарата, в кр</w:t>
      </w:r>
      <w:r>
        <w:t>о</w:t>
      </w:r>
      <w:r>
        <w:t>ви наблюдали повышение изучаемых показателей до физиологических границ к седьмому дню исследования. У контрольных телят на седьмой день исследуемые показатели по сравнению с телятами опытной группы остались ниже нормы. Так, глюкоза у опытных телят увеличилась на 16,8%, тогда как у контрольных телят этот показатель увеличился на 3,3%. Содержание витаминов А и С в крови у телят опытной группы достоверно повысилось соответственно на 36,0% (Р&lt;0,01) и 41,5% (Р&lt;0,02). У телят контрольной группы данные показатели также повысились, но на мен</w:t>
      </w:r>
      <w:r>
        <w:t>ь</w:t>
      </w:r>
      <w:r>
        <w:t>шую величину (16,1% и 34,6%).</w:t>
      </w:r>
    </w:p>
    <w:p w:rsidR="00F4654E" w:rsidRPr="0001153D" w:rsidRDefault="00F4654E">
      <w:pPr>
        <w:pStyle w:val="a6"/>
        <w:rPr>
          <w:spacing w:val="-2"/>
        </w:rPr>
      </w:pPr>
      <w:r w:rsidRPr="0001153D">
        <w:rPr>
          <w:spacing w:val="-2"/>
        </w:rPr>
        <w:t>Количество эритроцитов у телят первой группы увеличилось на 8,9%, а у контрольных телят этот показатель снизился на 6,1%, количество лейк</w:t>
      </w:r>
      <w:r w:rsidRPr="0001153D">
        <w:rPr>
          <w:spacing w:val="-2"/>
        </w:rPr>
        <w:t>о</w:t>
      </w:r>
      <w:r w:rsidRPr="0001153D">
        <w:rPr>
          <w:spacing w:val="-2"/>
        </w:rPr>
        <w:t>цитов снизилось на 25,5% у телят опытной группы, а у телят контрол</w:t>
      </w:r>
      <w:r w:rsidRPr="0001153D">
        <w:rPr>
          <w:spacing w:val="-2"/>
        </w:rPr>
        <w:t>ь</w:t>
      </w:r>
      <w:r w:rsidRPr="0001153D">
        <w:rPr>
          <w:spacing w:val="-2"/>
        </w:rPr>
        <w:t>ной группы на 13,9%. Содержание гемоглобина у телят опытной группы пов</w:t>
      </w:r>
      <w:r w:rsidRPr="0001153D">
        <w:rPr>
          <w:spacing w:val="-2"/>
        </w:rPr>
        <w:t>ы</w:t>
      </w:r>
      <w:r w:rsidRPr="0001153D">
        <w:rPr>
          <w:spacing w:val="-2"/>
        </w:rPr>
        <w:t xml:space="preserve">силось на 8,9%, а у контрольной группы, наоборот, понизилось на 7,5%. </w:t>
      </w:r>
    </w:p>
    <w:p w:rsidR="00F4654E" w:rsidRDefault="00F4654E">
      <w:pPr>
        <w:pStyle w:val="a6"/>
      </w:pPr>
      <w:r>
        <w:t>В опыте на телятах второй группы после применения препарата в кр</w:t>
      </w:r>
      <w:r>
        <w:t>о</w:t>
      </w:r>
      <w:r>
        <w:t>ви наблюдали увеличение изучаемых показателей до физиологических границ в среднем к 15 дню исследования, а у контрольных телят к этому сроку исследуемые показатели физиологической нормы не достигли. С</w:t>
      </w:r>
      <w:r>
        <w:t>о</w:t>
      </w:r>
      <w:r>
        <w:t>держание глюкозы в крови опытных животных повысилось на 47,5%, но эта величина не превышала верхней физиологической границы, а у телят контрольной возросло всего на 12,2%, концентрация витаминов А и С в крови у телят опытной группы к 7 дню повысилось соответственно на 34,5% и 34,2% и к 15 дню на 30,7 и 23,4%, у телят контрольной группы эти показатели стало больше к 15 дню на 39,0% и 43,8%. Количество эритр</w:t>
      </w:r>
      <w:r>
        <w:t>о</w:t>
      </w:r>
      <w:r>
        <w:t>цитов и содержание гемоглобина достоверно увеличилось на 22,9% (Р&lt;0,05) и 35,6% (Р&lt;0,01) у опытных животных второй группы. У телят контрольной группы количество эритроцитов повысилось на 4,8%, а с</w:t>
      </w:r>
      <w:r>
        <w:t>о</w:t>
      </w:r>
      <w:r>
        <w:t>держание гемоглобина к 15 дню исследования было в прежних границах. Количество лейкоцитов у телят опытной группы достоверно снизилось на 27,0% (Р&lt;0,02) у контрольной группы данный показатель на 7 день иссл</w:t>
      </w:r>
      <w:r>
        <w:t>е</w:t>
      </w:r>
      <w:r>
        <w:t>дования снизился на 12,8%, а к 15 дню продолжало понижат</w:t>
      </w:r>
      <w:r>
        <w:t>ь</w:t>
      </w:r>
      <w:r>
        <w:t>ся.</w:t>
      </w:r>
    </w:p>
    <w:p w:rsidR="00F4654E" w:rsidRDefault="00F4654E">
      <w:pPr>
        <w:pStyle w:val="a6"/>
      </w:pPr>
      <w:r>
        <w:t>Следовательно, под влиянием препарата тенториум плюс улучшаются показатели углеводно-витаминного обмена, стабилизируется морфолог</w:t>
      </w:r>
      <w:r>
        <w:t>и</w:t>
      </w:r>
      <w:r>
        <w:t>ческий состав крови, что в совокупности облегчает состояние новоро</w:t>
      </w:r>
      <w:r>
        <w:t>ж</w:t>
      </w:r>
      <w:r>
        <w:t>денного молодняка при гипотрофии.</w:t>
      </w:r>
    </w:p>
    <w:p w:rsidR="0001153D" w:rsidRDefault="0001153D">
      <w:pPr>
        <w:pStyle w:val="a4"/>
      </w:pPr>
    </w:p>
    <w:p w:rsidR="00F4654E" w:rsidRDefault="00F4654E">
      <w:pPr>
        <w:pStyle w:val="a4"/>
      </w:pPr>
      <w:r>
        <w:lastRenderedPageBreak/>
        <w:t>УДК 619:615:636.2.082.35</w:t>
      </w:r>
    </w:p>
    <w:p w:rsidR="00F4654E" w:rsidRDefault="00F4654E">
      <w:pPr>
        <w:pStyle w:val="1"/>
      </w:pPr>
      <w:bookmarkStart w:id="4602" w:name="_Toc10731546"/>
      <w:bookmarkStart w:id="4603" w:name="_Toc11137993"/>
      <w:bookmarkStart w:id="4604" w:name="_Toc11138411"/>
      <w:bookmarkStart w:id="4605" w:name="_Toc11138829"/>
      <w:bookmarkStart w:id="4606" w:name="_Toc11139247"/>
      <w:bookmarkStart w:id="4607" w:name="_Toc11139665"/>
      <w:bookmarkStart w:id="4608" w:name="_Toc11140083"/>
      <w:bookmarkStart w:id="4609" w:name="_Toc11140501"/>
      <w:bookmarkStart w:id="4610" w:name="_Toc11390605"/>
      <w:bookmarkStart w:id="4611" w:name="_Toc11840290"/>
      <w:bookmarkStart w:id="4612" w:name="_Toc11937826"/>
      <w:r>
        <w:t>Опыт изучения ганасупервита при гипотрофии новорожденных телят</w:t>
      </w:r>
      <w:bookmarkEnd w:id="4602"/>
      <w:bookmarkEnd w:id="4603"/>
      <w:bookmarkEnd w:id="4604"/>
      <w:bookmarkEnd w:id="4605"/>
      <w:bookmarkEnd w:id="4606"/>
      <w:bookmarkEnd w:id="4607"/>
      <w:bookmarkEnd w:id="4608"/>
      <w:bookmarkEnd w:id="4609"/>
      <w:bookmarkEnd w:id="4610"/>
      <w:bookmarkEnd w:id="4611"/>
      <w:bookmarkEnd w:id="4612"/>
    </w:p>
    <w:p w:rsidR="00F4654E" w:rsidRDefault="00F4654E">
      <w:pPr>
        <w:pStyle w:val="2"/>
      </w:pPr>
      <w:bookmarkStart w:id="4613" w:name="_Toc10731547"/>
      <w:bookmarkStart w:id="4614" w:name="_Toc11032359"/>
      <w:bookmarkStart w:id="4615" w:name="_Toc11137994"/>
      <w:bookmarkStart w:id="4616" w:name="_Toc11138412"/>
      <w:bookmarkStart w:id="4617" w:name="_Toc11138830"/>
      <w:bookmarkStart w:id="4618" w:name="_Toc11139248"/>
      <w:bookmarkStart w:id="4619" w:name="_Toc11139666"/>
      <w:bookmarkStart w:id="4620" w:name="_Toc11140084"/>
      <w:bookmarkStart w:id="4621" w:name="_Toc11140502"/>
      <w:bookmarkStart w:id="4622" w:name="_Toc11390606"/>
      <w:bookmarkStart w:id="4623" w:name="_Toc11937827"/>
      <w:r>
        <w:t>Саврасов Д.А.</w:t>
      </w:r>
      <w:bookmarkEnd w:id="4613"/>
      <w:bookmarkEnd w:id="4614"/>
      <w:bookmarkEnd w:id="4615"/>
      <w:bookmarkEnd w:id="4616"/>
      <w:bookmarkEnd w:id="4617"/>
      <w:bookmarkEnd w:id="4618"/>
      <w:bookmarkEnd w:id="4619"/>
      <w:bookmarkEnd w:id="4620"/>
      <w:bookmarkEnd w:id="4621"/>
      <w:bookmarkEnd w:id="4622"/>
      <w:bookmarkEnd w:id="4623"/>
    </w:p>
    <w:p w:rsidR="00F4654E" w:rsidRDefault="00F4654E">
      <w:pPr>
        <w:pStyle w:val="a5"/>
      </w:pPr>
      <w:r>
        <w:t>Воронежский государственный аграрный университет им. К.Д. Глинки</w:t>
      </w:r>
    </w:p>
    <w:p w:rsidR="00F4654E" w:rsidRDefault="00F4654E">
      <w:pPr>
        <w:pStyle w:val="a6"/>
      </w:pPr>
      <w:r>
        <w:t>Ганасупервит – это комплексный препарат, содержащий биологически активные вещества (концентраты витаминов, соли макро-, микроэлеме</w:t>
      </w:r>
      <w:r>
        <w:t>н</w:t>
      </w:r>
      <w:r>
        <w:t>тов). Этот препарат для лечения телят при врожденной гипотрофии не применялся.</w:t>
      </w:r>
    </w:p>
    <w:p w:rsidR="00F4654E" w:rsidRDefault="00F4654E">
      <w:pPr>
        <w:pStyle w:val="a6"/>
      </w:pPr>
      <w:r>
        <w:t>Задачей нашего исследования было изучение лечебной эффективн</w:t>
      </w:r>
      <w:r>
        <w:t>о</w:t>
      </w:r>
      <w:r>
        <w:t>сти указанного препарата при врожденной гипотрофии у телят. С этой ц</w:t>
      </w:r>
      <w:r>
        <w:t>е</w:t>
      </w:r>
      <w:r>
        <w:t>лью были испытаны различные дозы ганасупервита. Опыты были начаты с минимальной дозы (0,25 г/кг), которая испытана на телятах 1-й опытной группы.</w:t>
      </w:r>
    </w:p>
    <w:p w:rsidR="00F4654E" w:rsidRDefault="00F4654E">
      <w:pPr>
        <w:pStyle w:val="a6"/>
      </w:pPr>
      <w:r>
        <w:t>Под влиянием препарата в этой дозе у телят-гипотрофиков при второй стадии болезни на 6-й день исследований изучаемые биохимические пок</w:t>
      </w:r>
      <w:r>
        <w:t>а</w:t>
      </w:r>
      <w:r>
        <w:t>затели состава крови практически не улучшались, а поэтому доза была увеличена.</w:t>
      </w:r>
    </w:p>
    <w:p w:rsidR="00F4654E" w:rsidRDefault="00F4654E">
      <w:pPr>
        <w:pStyle w:val="a6"/>
      </w:pPr>
      <w:r>
        <w:t>Под влиянием дозы 0,5 г/кг при применении препарата в течение пе</w:t>
      </w:r>
      <w:r>
        <w:t>р</w:t>
      </w:r>
      <w:r>
        <w:t>вых 5-ти дней их жизни, у страдающих второй степенью гипотрофии телят отмечается возрастание меди на 26,6% и цинка на 15,9%. У телят ко</w:t>
      </w:r>
      <w:r>
        <w:t>н</w:t>
      </w:r>
      <w:r>
        <w:t>трольной группы при врожденной гипотрофии исследуемые микроэл</w:t>
      </w:r>
      <w:r>
        <w:t>е</w:t>
      </w:r>
      <w:r>
        <w:t>ментные показатели достоверно повысились соответственно на 3,3% и 8,2%. У телят этой группы АсАт и АлАт достоверно стали больше соо</w:t>
      </w:r>
      <w:r>
        <w:t>т</w:t>
      </w:r>
      <w:r>
        <w:t>ветственно на 36,6% и 34,4%. У контрольных животных эти показатели так же увеличились, но отставали от опытной группы.</w:t>
      </w:r>
      <w:r w:rsidR="0001153D">
        <w:t xml:space="preserve"> </w:t>
      </w:r>
      <w:r>
        <w:t>Уровень щелочной фосфатазы достоверно вырос на 30,1% у телят опытной группы и нескол</w:t>
      </w:r>
      <w:r>
        <w:t>ь</w:t>
      </w:r>
      <w:r>
        <w:t>ко меньше у контрольных.</w:t>
      </w:r>
      <w:r w:rsidR="0001153D">
        <w:t xml:space="preserve"> </w:t>
      </w:r>
      <w:r>
        <w:t>В целом при назначении ганасупервита в дозе 0,5 г/кг исследуемые п</w:t>
      </w:r>
      <w:r>
        <w:t>о</w:t>
      </w:r>
      <w:r>
        <w:t>казатели практически не достигают нормативных значений. Поэтому в связи с недостаточностью эффекта препарата в ук</w:t>
      </w:r>
      <w:r>
        <w:t>а</w:t>
      </w:r>
      <w:r>
        <w:t>занной дозе стали назначать телятам третьей опытной группы ганасупе</w:t>
      </w:r>
      <w:r>
        <w:t>р</w:t>
      </w:r>
      <w:r>
        <w:t>вит в количестве 0,75 г/кг.</w:t>
      </w:r>
    </w:p>
    <w:p w:rsidR="00F4654E" w:rsidRDefault="00F4654E">
      <w:pPr>
        <w:pStyle w:val="a6"/>
      </w:pPr>
      <w:r>
        <w:t>Исследуемые микроэлементные и биохимические показатели учит</w:t>
      </w:r>
      <w:r>
        <w:t>ы</w:t>
      </w:r>
      <w:r>
        <w:t>вали на 6-й и 12-й дни исследования. Анализ микроэлементного состава крови позволяет отметить, что уже на 6-й день исследования у опытных телят уровни меди и цинка соответственно достоверно увеличились на 57,1% и 32,2%, достигая, таким образом, нижней физиологической гран</w:t>
      </w:r>
      <w:r>
        <w:t>и</w:t>
      </w:r>
      <w:r>
        <w:t xml:space="preserve">цы. В дальнейшем препарат назначили в этой же дозе, но через день. А к 12-му дню исследуемые показатели микроэлементов возросли до среднего уровня нормы. </w:t>
      </w:r>
    </w:p>
    <w:p w:rsidR="00F4654E" w:rsidRDefault="00F4654E">
      <w:pPr>
        <w:pStyle w:val="a6"/>
      </w:pPr>
      <w:r>
        <w:t>Результат данных биохимической картины крови позволяет отметить, что у опытных телят АсАт и АлАТ в сыворотке крови постепенно нара</w:t>
      </w:r>
      <w:r>
        <w:t>с</w:t>
      </w:r>
      <w:r>
        <w:lastRenderedPageBreak/>
        <w:t>тают под влиянием дозы 0,75 г/кг соответственно на 50,0% и 36,1% через 6 дней опыта и к 12-му дню достигают оптимальных физиологических гр</w:t>
      </w:r>
      <w:r>
        <w:t>а</w:t>
      </w:r>
      <w:r>
        <w:t>ниц. У животных контрольной группы эти показатели возросли всего на 17,6% и 12,8% оставаясь на низком уровне относительно нижней физиол</w:t>
      </w:r>
      <w:r>
        <w:t>о</w:t>
      </w:r>
      <w:r>
        <w:t>гической границы. Уровень щелочной фосфатазы в сыворотке крови у т</w:t>
      </w:r>
      <w:r>
        <w:t>е</w:t>
      </w:r>
      <w:r>
        <w:t>лят опытной группы уже на 6-й день исследования поднялся на 73,1% и достиг нижней границы нормы, к 12-му дню щелочная фосфатазы возросла еще на 20,6%, достигнув, таким образом, оптимальных значений. У ко</w:t>
      </w:r>
      <w:r>
        <w:t>н</w:t>
      </w:r>
      <w:r>
        <w:t>трольных животных этот показатель стал также больше к 12-му дню, но, однако нижней физиологической границы не достигал.</w:t>
      </w:r>
    </w:p>
    <w:p w:rsidR="00F4654E" w:rsidRDefault="00F4654E">
      <w:pPr>
        <w:pStyle w:val="a6"/>
      </w:pPr>
      <w:r>
        <w:t>Таким образом, ганасупервит в дозе 0,75 г/кг при использовании его в течение 12-ти дней способствует нормализации показателей уровня в кр</w:t>
      </w:r>
      <w:r>
        <w:t>о</w:t>
      </w:r>
      <w:r>
        <w:t>ви меди, цинка, при этом улучшается эритропоэз, стимулируется функция печени. Следовательно, ганасупервит может быть рекомендован для леч</w:t>
      </w:r>
      <w:r>
        <w:t>е</w:t>
      </w:r>
      <w:r>
        <w:t>ния новорожденных телят при гипотрофии.</w:t>
      </w:r>
    </w:p>
    <w:p w:rsidR="00F4654E" w:rsidRDefault="00F4654E">
      <w:pPr>
        <w:pStyle w:val="a4"/>
      </w:pPr>
      <w:r>
        <w:t>УДК 619:616-008.9</w:t>
      </w:r>
    </w:p>
    <w:p w:rsidR="00F4654E" w:rsidRDefault="00F4654E">
      <w:pPr>
        <w:pStyle w:val="1"/>
      </w:pPr>
      <w:bookmarkStart w:id="4624" w:name="_Toc10731548"/>
      <w:bookmarkStart w:id="4625" w:name="_Toc11137995"/>
      <w:bookmarkStart w:id="4626" w:name="_Toc11138413"/>
      <w:bookmarkStart w:id="4627" w:name="_Toc11138831"/>
      <w:bookmarkStart w:id="4628" w:name="_Toc11139249"/>
      <w:bookmarkStart w:id="4629" w:name="_Toc11139667"/>
      <w:bookmarkStart w:id="4630" w:name="_Toc11140085"/>
      <w:bookmarkStart w:id="4631" w:name="_Toc11140503"/>
      <w:bookmarkStart w:id="4632" w:name="_Toc11390607"/>
      <w:bookmarkStart w:id="4633" w:name="_Toc11840292"/>
      <w:bookmarkStart w:id="4634" w:name="_Toc11937828"/>
      <w:r>
        <w:t>Регуляция водно-электролитного обмена при гипотрофии новорожденных телят раствором Рингера-Локка</w:t>
      </w:r>
      <w:bookmarkEnd w:id="4624"/>
      <w:bookmarkEnd w:id="4625"/>
      <w:bookmarkEnd w:id="4626"/>
      <w:bookmarkEnd w:id="4627"/>
      <w:bookmarkEnd w:id="4628"/>
      <w:bookmarkEnd w:id="4629"/>
      <w:bookmarkEnd w:id="4630"/>
      <w:bookmarkEnd w:id="4631"/>
      <w:bookmarkEnd w:id="4632"/>
      <w:bookmarkEnd w:id="4633"/>
      <w:bookmarkEnd w:id="4634"/>
    </w:p>
    <w:p w:rsidR="00F4654E" w:rsidRDefault="00F4654E">
      <w:pPr>
        <w:pStyle w:val="2"/>
      </w:pPr>
      <w:bookmarkStart w:id="4635" w:name="_Toc10731549"/>
      <w:bookmarkStart w:id="4636" w:name="_Toc11032360"/>
      <w:bookmarkStart w:id="4637" w:name="_Toc11137996"/>
      <w:bookmarkStart w:id="4638" w:name="_Toc11138414"/>
      <w:bookmarkStart w:id="4639" w:name="_Toc11138832"/>
      <w:bookmarkStart w:id="4640" w:name="_Toc11139250"/>
      <w:bookmarkStart w:id="4641" w:name="_Toc11139668"/>
      <w:bookmarkStart w:id="4642" w:name="_Toc11140086"/>
      <w:bookmarkStart w:id="4643" w:name="_Toc11140504"/>
      <w:bookmarkStart w:id="4644" w:name="_Toc11390608"/>
      <w:bookmarkStart w:id="4645" w:name="_Toc11937829"/>
      <w:r>
        <w:t>Саврасов Д.А., Шушлебин В.И.*</w:t>
      </w:r>
      <w:bookmarkEnd w:id="4635"/>
      <w:bookmarkEnd w:id="4636"/>
      <w:bookmarkEnd w:id="4637"/>
      <w:bookmarkEnd w:id="4638"/>
      <w:bookmarkEnd w:id="4639"/>
      <w:bookmarkEnd w:id="4640"/>
      <w:bookmarkEnd w:id="4641"/>
      <w:bookmarkEnd w:id="4642"/>
      <w:bookmarkEnd w:id="4643"/>
      <w:bookmarkEnd w:id="4644"/>
      <w:bookmarkEnd w:id="4645"/>
      <w:r>
        <w:t xml:space="preserve"> </w:t>
      </w:r>
    </w:p>
    <w:p w:rsidR="00F4654E" w:rsidRDefault="00F4654E">
      <w:pPr>
        <w:pStyle w:val="a5"/>
      </w:pPr>
      <w:r>
        <w:t>Воронежский государственный аграрный университет им. К.Д. Глинки</w:t>
      </w:r>
      <w:r>
        <w:br/>
        <w:t>*Всероссийский НИВИ патологии, фармакологии и терапии</w:t>
      </w:r>
    </w:p>
    <w:p w:rsidR="00F4654E" w:rsidRDefault="00F4654E">
      <w:pPr>
        <w:pStyle w:val="a6"/>
      </w:pPr>
      <w:r>
        <w:t>Научно-производственные опыты были поставлены в СХА «Родина» Н-Усманского района Воронежской области с целью изучения влияния раствора Рингера-Локка на физико-химические свойства крови у новоро</w:t>
      </w:r>
      <w:r>
        <w:t>ж</w:t>
      </w:r>
      <w:r>
        <w:t xml:space="preserve">денных телят при гипотрофии. </w:t>
      </w:r>
    </w:p>
    <w:p w:rsidR="00F4654E" w:rsidRDefault="00F4654E">
      <w:pPr>
        <w:pStyle w:val="a6"/>
      </w:pPr>
      <w:r>
        <w:t>Опыты были поставлены на 48 телятах. Наблюдения проводились с однодневного и до 15-дневного возраста. Опытной группе телят вводили вну</w:t>
      </w:r>
      <w:r>
        <w:t>т</w:t>
      </w:r>
      <w:r>
        <w:t>рибрюшинно раствор Рингера-Локка в дозе 50 мл/кг массы тела один раз в день, в течение первых 8 суток, с последующей оценкой роста и ра</w:t>
      </w:r>
      <w:r>
        <w:t>з</w:t>
      </w:r>
      <w:r>
        <w:t>вития до 15-дневного возраста. Контрольная группа телят содержалась на обычной выпойке молозива и молока, свойственной данному возрасту, без дополн</w:t>
      </w:r>
      <w:r>
        <w:t>и</w:t>
      </w:r>
      <w:r>
        <w:t>тельного введения изучаемого раствора. Для обеих групп рацион выпойки молозива был аналогичен, кроме того, для них не ограничивался водопой.</w:t>
      </w:r>
    </w:p>
    <w:p w:rsidR="00F4654E" w:rsidRDefault="00F4654E">
      <w:pPr>
        <w:pStyle w:val="a6"/>
      </w:pPr>
      <w:r>
        <w:t>При изучении влияния жидкостной терапии (раствор Рингера-Локка) оценивали клинический статус телят, массу тела, ряд зоогигиенических промеров, их заболеваемость и сохранность по причинам других патол</w:t>
      </w:r>
      <w:r>
        <w:t>о</w:t>
      </w:r>
      <w:r>
        <w:t>гий. А также определяли у 6 телят из каждой двух групп абсолютный об</w:t>
      </w:r>
      <w:r>
        <w:t>ъ</w:t>
      </w:r>
      <w:r>
        <w:t>ем циркулирующей крови и плазмы, вязкость крови, гематокритное число, удельный вес крови. Из минеральных показателей крови учитывали ко</w:t>
      </w:r>
      <w:r>
        <w:t>н</w:t>
      </w:r>
      <w:r>
        <w:t>центрации натрия и калия по общепринятым методикам.</w:t>
      </w:r>
    </w:p>
    <w:p w:rsidR="00F4654E" w:rsidRDefault="00F4654E">
      <w:pPr>
        <w:pStyle w:val="a6"/>
      </w:pPr>
      <w:r>
        <w:lastRenderedPageBreak/>
        <w:t>В данной статье приводятся данные по оценке изменений вышен</w:t>
      </w:r>
      <w:r>
        <w:t>а</w:t>
      </w:r>
      <w:r>
        <w:t>званных физико-химических свойств крови в результате испытаний ра</w:t>
      </w:r>
      <w:r>
        <w:t>с</w:t>
      </w:r>
      <w:r>
        <w:t xml:space="preserve">твора Рингера-Локка. </w:t>
      </w:r>
    </w:p>
    <w:p w:rsidR="00F4654E" w:rsidRDefault="00F4654E">
      <w:pPr>
        <w:pStyle w:val="a6"/>
      </w:pPr>
      <w:r>
        <w:t>Так абсолютный объем циркулирующей крови достоверно повышался на 10,1% (Р&lt;0,02), абсолютный объем плазмы увеличился на 8,9%, гем</w:t>
      </w:r>
      <w:r>
        <w:t>а</w:t>
      </w:r>
      <w:r>
        <w:t>токритное число у телят-гипотрофиков достоверно снизилось на 33,4% (Р&lt;0,01), удельный вес крови повышался на 6,4%, вязкость крови умен</w:t>
      </w:r>
      <w:r>
        <w:t>ь</w:t>
      </w:r>
      <w:r>
        <w:t>шилась на 8,8%, содержание натрия и калия в сыворотке крови новоро</w:t>
      </w:r>
      <w:r>
        <w:t>ж</w:t>
      </w:r>
      <w:r>
        <w:t>денных телят при врожденной гипотрофии увеличилось соответственно на 7,3% и 17,2%.</w:t>
      </w:r>
    </w:p>
    <w:p w:rsidR="00F4654E" w:rsidRDefault="00F4654E">
      <w:pPr>
        <w:pStyle w:val="a6"/>
      </w:pPr>
      <w:r>
        <w:t>Таким образом, применение раствора Рингера-Локка новорожденным телятам-гипотрофикам, начиная с первых и в течение последующих вос</w:t>
      </w:r>
      <w:r>
        <w:t>ь</w:t>
      </w:r>
      <w:r>
        <w:t>ми дней их жизни, в целом нормализует вышеназванные физико-химичес-кие показатели крови, а тем самым восстанавливается водно-электролит-ный обмен у новорожденных телят при гипотрофии.</w:t>
      </w:r>
    </w:p>
    <w:p w:rsidR="00F4654E" w:rsidRDefault="00F4654E">
      <w:pPr>
        <w:pStyle w:val="a4"/>
      </w:pPr>
      <w:r>
        <w:t>УДК 619:615.93.</w:t>
      </w:r>
    </w:p>
    <w:p w:rsidR="00F4654E" w:rsidRDefault="00F4654E">
      <w:pPr>
        <w:pStyle w:val="1"/>
      </w:pPr>
      <w:bookmarkStart w:id="4646" w:name="_Toc10731582"/>
      <w:bookmarkStart w:id="4647" w:name="_Toc11137997"/>
      <w:bookmarkStart w:id="4648" w:name="_Toc11138415"/>
      <w:bookmarkStart w:id="4649" w:name="_Toc11138833"/>
      <w:bookmarkStart w:id="4650" w:name="_Toc11139251"/>
      <w:bookmarkStart w:id="4651" w:name="_Toc11139669"/>
      <w:bookmarkStart w:id="4652" w:name="_Toc11140087"/>
      <w:bookmarkStart w:id="4653" w:name="_Toc11140505"/>
      <w:bookmarkStart w:id="4654" w:name="_Toc11390609"/>
      <w:bookmarkStart w:id="4655" w:name="_Toc11840294"/>
      <w:bookmarkStart w:id="4656" w:name="_Toc11937830"/>
      <w:r>
        <w:t>Опыт лечения эндометритов коров</w:t>
      </w:r>
      <w:bookmarkEnd w:id="4646"/>
      <w:bookmarkEnd w:id="4647"/>
      <w:bookmarkEnd w:id="4648"/>
      <w:bookmarkEnd w:id="4649"/>
      <w:bookmarkEnd w:id="4650"/>
      <w:bookmarkEnd w:id="4651"/>
      <w:bookmarkEnd w:id="4652"/>
      <w:bookmarkEnd w:id="4653"/>
      <w:bookmarkEnd w:id="4654"/>
      <w:bookmarkEnd w:id="4655"/>
      <w:bookmarkEnd w:id="4656"/>
    </w:p>
    <w:p w:rsidR="00F4654E" w:rsidRDefault="00F4654E">
      <w:pPr>
        <w:pStyle w:val="2"/>
      </w:pPr>
      <w:bookmarkStart w:id="4657" w:name="_Toc10731583"/>
      <w:bookmarkStart w:id="4658" w:name="_Toc11032361"/>
      <w:bookmarkStart w:id="4659" w:name="_Toc11137998"/>
      <w:bookmarkStart w:id="4660" w:name="_Toc11138416"/>
      <w:bookmarkStart w:id="4661" w:name="_Toc11138834"/>
      <w:bookmarkStart w:id="4662" w:name="_Toc11139252"/>
      <w:bookmarkStart w:id="4663" w:name="_Toc11139670"/>
      <w:bookmarkStart w:id="4664" w:name="_Toc11140088"/>
      <w:bookmarkStart w:id="4665" w:name="_Toc11140506"/>
      <w:bookmarkStart w:id="4666" w:name="_Toc11390610"/>
      <w:bookmarkStart w:id="4667" w:name="_Toc11937831"/>
      <w:r>
        <w:t>Садзаглишвили В.А.</w:t>
      </w:r>
      <w:bookmarkEnd w:id="4657"/>
      <w:bookmarkEnd w:id="4658"/>
      <w:bookmarkEnd w:id="4659"/>
      <w:bookmarkEnd w:id="4660"/>
      <w:bookmarkEnd w:id="4661"/>
      <w:bookmarkEnd w:id="4662"/>
      <w:bookmarkEnd w:id="4663"/>
      <w:bookmarkEnd w:id="4664"/>
      <w:bookmarkEnd w:id="4665"/>
      <w:bookmarkEnd w:id="4666"/>
      <w:bookmarkEnd w:id="4667"/>
    </w:p>
    <w:p w:rsidR="00F4654E" w:rsidRDefault="00F4654E">
      <w:pPr>
        <w:pStyle w:val="a5"/>
      </w:pPr>
      <w:r>
        <w:t>Всероссийский научно-исследовательский ветеринарный институт</w:t>
      </w:r>
    </w:p>
    <w:p w:rsidR="00F4654E" w:rsidRDefault="00F4654E">
      <w:pPr>
        <w:pStyle w:val="a6"/>
      </w:pPr>
      <w:r>
        <w:t>Для лечения животных, у которых установлены эндометриты и др. воспалительные процессы в половых органах, в зависимости от этиолог</w:t>
      </w:r>
      <w:r>
        <w:t>и</w:t>
      </w:r>
      <w:r>
        <w:t>ческих факторов и, прежде всего вида микробов и микробных ассоциаций, участвующих в воспалительном процессе, предложены  различные преп</w:t>
      </w:r>
      <w:r>
        <w:t>а</w:t>
      </w:r>
      <w:r>
        <w:t>раты, методы лечения и профилактики. Однако, многие вопросы, каса</w:t>
      </w:r>
      <w:r>
        <w:t>ю</w:t>
      </w:r>
      <w:r>
        <w:t>щиеся этиологии, патогенеза и особенно лечения и профилактики посл</w:t>
      </w:r>
      <w:r>
        <w:t>е</w:t>
      </w:r>
      <w:r>
        <w:t>родовых эндометритов, остаются недостаточно выясненными и требуют дальнейшего изучения.</w:t>
      </w:r>
    </w:p>
    <w:p w:rsidR="00F4654E" w:rsidRDefault="00F4654E">
      <w:pPr>
        <w:pStyle w:val="a6"/>
      </w:pPr>
      <w:r>
        <w:t xml:space="preserve"> При выяснении причин заболевания, выявлено, что эндометриты ча</w:t>
      </w:r>
      <w:r>
        <w:t>с</w:t>
      </w:r>
      <w:r>
        <w:t>то имеют микотическое происхождение. В выделениях из влагалища у к</w:t>
      </w:r>
      <w:r>
        <w:t>о</w:t>
      </w:r>
      <w:r>
        <w:t>ров Моркинского, Параньгинского районов Республики Марий-Эл, Буи</w:t>
      </w:r>
      <w:r>
        <w:t>н</w:t>
      </w:r>
      <w:r>
        <w:t>ского и Высокогорского районов Республики Татарстан во всех случаях культивировались штаммы грибов Candida albicans (Сергейчев А. И., Тр</w:t>
      </w:r>
      <w:r>
        <w:t>е</w:t>
      </w:r>
      <w:r>
        <w:t>масов М. Я., 2001).</w:t>
      </w:r>
    </w:p>
    <w:p w:rsidR="00F4654E" w:rsidRDefault="00F4654E">
      <w:pPr>
        <w:pStyle w:val="a6"/>
      </w:pPr>
      <w:r>
        <w:t>В 25 хозяйствах республик Марий-Эл и Татарстан, проведено испыт</w:t>
      </w:r>
      <w:r>
        <w:t>а</w:t>
      </w:r>
      <w:r>
        <w:t>ние разработанных методов лечения эндометритов  и показана их эффе</w:t>
      </w:r>
      <w:r>
        <w:t>к</w:t>
      </w:r>
      <w:r>
        <w:t xml:space="preserve">тивность. </w:t>
      </w:r>
    </w:p>
    <w:p w:rsidR="00F4654E" w:rsidRPr="0001153D" w:rsidRDefault="00F4654E">
      <w:pPr>
        <w:pStyle w:val="a6"/>
        <w:rPr>
          <w:spacing w:val="-4"/>
        </w:rPr>
      </w:pPr>
      <w:r w:rsidRPr="0001153D">
        <w:rPr>
          <w:spacing w:val="-4"/>
        </w:rPr>
        <w:t>Для оценки  эффективности методов  лечения были созданы 3 группы коров  по 200 животных. При этом учитывали клиническое состояние живо</w:t>
      </w:r>
      <w:r w:rsidRPr="0001153D">
        <w:rPr>
          <w:spacing w:val="-4"/>
        </w:rPr>
        <w:t>т</w:t>
      </w:r>
      <w:r w:rsidRPr="0001153D">
        <w:rPr>
          <w:spacing w:val="-4"/>
        </w:rPr>
        <w:t xml:space="preserve">ных, характер эндометрита, исследование морфологического состава крови и биохимические показатели. В начале лечения проводили санацию наружных половых органов, промежности и корня хвоста антисептическим раствором </w:t>
      </w:r>
      <w:r w:rsidRPr="0001153D">
        <w:rPr>
          <w:spacing w:val="-4"/>
        </w:rPr>
        <w:lastRenderedPageBreak/>
        <w:t>калия перманганата 1: 2000. Этим же раствором у коров больных эндометр</w:t>
      </w:r>
      <w:r w:rsidRPr="0001153D">
        <w:rPr>
          <w:spacing w:val="-4"/>
        </w:rPr>
        <w:t>и</w:t>
      </w:r>
      <w:r w:rsidRPr="0001153D">
        <w:rPr>
          <w:spacing w:val="-4"/>
        </w:rPr>
        <w:t>том удаляли  экссудат из матки путем промывания, с условием последующ</w:t>
      </w:r>
      <w:r w:rsidRPr="0001153D">
        <w:rPr>
          <w:spacing w:val="-4"/>
        </w:rPr>
        <w:t>е</w:t>
      </w:r>
      <w:r w:rsidRPr="0001153D">
        <w:rPr>
          <w:spacing w:val="-4"/>
        </w:rPr>
        <w:t>го выведения жидкости. В первой группе для лечения коров в качестве эти</w:t>
      </w:r>
      <w:r w:rsidRPr="0001153D">
        <w:rPr>
          <w:spacing w:val="-4"/>
        </w:rPr>
        <w:t>о</w:t>
      </w:r>
      <w:r w:rsidRPr="0001153D">
        <w:rPr>
          <w:spacing w:val="-4"/>
        </w:rPr>
        <w:t>тропного средства применялся препарат ТСС вну</w:t>
      </w:r>
      <w:r w:rsidRPr="0001153D">
        <w:rPr>
          <w:spacing w:val="-4"/>
        </w:rPr>
        <w:t>т</w:t>
      </w:r>
      <w:r w:rsidRPr="0001153D">
        <w:rPr>
          <w:spacing w:val="-4"/>
        </w:rPr>
        <w:t>римышечно в дозе 10 мл на животное с и</w:t>
      </w:r>
      <w:r w:rsidRPr="0001153D">
        <w:rPr>
          <w:spacing w:val="-4"/>
        </w:rPr>
        <w:t>н</w:t>
      </w:r>
      <w:r w:rsidRPr="0001153D">
        <w:rPr>
          <w:spacing w:val="-4"/>
        </w:rPr>
        <w:t>тервалом 3 суток. Во второй группе использовали препарат ДС (15% водный р-р) вну</w:t>
      </w:r>
      <w:r w:rsidRPr="0001153D">
        <w:rPr>
          <w:spacing w:val="-4"/>
        </w:rPr>
        <w:t>т</w:t>
      </w:r>
      <w:r w:rsidRPr="0001153D">
        <w:rPr>
          <w:spacing w:val="-4"/>
        </w:rPr>
        <w:t>риматочно по 100 мл, однократно. Животных третьей группы лечили традиционными для данных хозяйств методами (фуразолид</w:t>
      </w:r>
      <w:r w:rsidRPr="0001153D">
        <w:rPr>
          <w:spacing w:val="-4"/>
        </w:rPr>
        <w:t>о</w:t>
      </w:r>
      <w:r w:rsidRPr="0001153D">
        <w:rPr>
          <w:spacing w:val="-4"/>
        </w:rPr>
        <w:t>новые свечи, антибиотик Бици</w:t>
      </w:r>
      <w:r w:rsidRPr="0001153D">
        <w:rPr>
          <w:spacing w:val="-4"/>
        </w:rPr>
        <w:t>л</w:t>
      </w:r>
      <w:r w:rsidRPr="0001153D">
        <w:rPr>
          <w:spacing w:val="-4"/>
        </w:rPr>
        <w:t>лин-3).</w:t>
      </w:r>
    </w:p>
    <w:p w:rsidR="00F4654E" w:rsidRDefault="00F4654E">
      <w:pPr>
        <w:pStyle w:val="a6"/>
      </w:pPr>
      <w:r>
        <w:t xml:space="preserve">Опыт в хозяйственных  условиях показал, что у животных в 1 и 2 группе происходило постепенное исчезновение клинических признаков эндометрита и восстановление репродуктивной способности организма. В этих группах выздоровление наступило у 83-95% животных; в третьей группе выздоровело 15% животных.  </w:t>
      </w:r>
    </w:p>
    <w:p w:rsidR="00F4654E" w:rsidRDefault="00F4654E">
      <w:pPr>
        <w:pStyle w:val="a6"/>
      </w:pPr>
      <w:r>
        <w:t>Таким образом, в результате проведенных исследований нами было установлено, что испытуемые препараты ТСС и ДС оказались более э</w:t>
      </w:r>
      <w:r>
        <w:t>ф</w:t>
      </w:r>
      <w:r>
        <w:t>фективными, чем традиционные средства.</w:t>
      </w:r>
    </w:p>
    <w:p w:rsidR="00F4654E" w:rsidRDefault="00F4654E">
      <w:pPr>
        <w:pStyle w:val="a4"/>
      </w:pPr>
      <w:r>
        <w:t>УДК 619: 616 –091+636.2</w:t>
      </w:r>
    </w:p>
    <w:p w:rsidR="00F4654E" w:rsidRDefault="00F4654E">
      <w:pPr>
        <w:pStyle w:val="1"/>
      </w:pPr>
      <w:bookmarkStart w:id="4668" w:name="_Toc10731586"/>
      <w:bookmarkStart w:id="4669" w:name="_Toc11138001"/>
      <w:bookmarkStart w:id="4670" w:name="_Toc11138419"/>
      <w:bookmarkStart w:id="4671" w:name="_Toc11138837"/>
      <w:bookmarkStart w:id="4672" w:name="_Toc11139255"/>
      <w:bookmarkStart w:id="4673" w:name="_Toc11139673"/>
      <w:bookmarkStart w:id="4674" w:name="_Toc11140091"/>
      <w:bookmarkStart w:id="4675" w:name="_Toc11140509"/>
      <w:bookmarkStart w:id="4676" w:name="_Toc11390613"/>
      <w:bookmarkStart w:id="4677" w:name="_Toc11840296"/>
      <w:bookmarkStart w:id="4678" w:name="_Toc11937832"/>
      <w:r>
        <w:t>НЕКОТОРЫЕ ОСОБЕННОСТИ ПАТОЛОГОАНАТОМИЧЕСКОЙ ДИАГНОСТИКИ  АНАЭРОБНОЙ ЭНТЕРОТОКСЕМИИ ТЕЛЯТ,</w:t>
      </w:r>
      <w:r>
        <w:br/>
        <w:t xml:space="preserve">ВЫЗВАННОЙ  </w:t>
      </w:r>
      <w:r>
        <w:rPr>
          <w:i/>
        </w:rPr>
        <w:t>CL. PERFRINGENS</w:t>
      </w:r>
      <w:r>
        <w:t xml:space="preserve">  ТИП А</w:t>
      </w:r>
      <w:bookmarkEnd w:id="4668"/>
      <w:bookmarkEnd w:id="4669"/>
      <w:bookmarkEnd w:id="4670"/>
      <w:bookmarkEnd w:id="4671"/>
      <w:bookmarkEnd w:id="4672"/>
      <w:bookmarkEnd w:id="4673"/>
      <w:bookmarkEnd w:id="4674"/>
      <w:bookmarkEnd w:id="4675"/>
      <w:bookmarkEnd w:id="4676"/>
      <w:bookmarkEnd w:id="4677"/>
      <w:bookmarkEnd w:id="4678"/>
    </w:p>
    <w:p w:rsidR="00F4654E" w:rsidRDefault="00F4654E">
      <w:pPr>
        <w:pStyle w:val="2"/>
      </w:pPr>
      <w:bookmarkStart w:id="4679" w:name="_Toc10731587"/>
      <w:bookmarkStart w:id="4680" w:name="_Toc11032363"/>
      <w:bookmarkStart w:id="4681" w:name="_Toc11138002"/>
      <w:bookmarkStart w:id="4682" w:name="_Toc11138420"/>
      <w:bookmarkStart w:id="4683" w:name="_Toc11138838"/>
      <w:bookmarkStart w:id="4684" w:name="_Toc11139256"/>
      <w:bookmarkStart w:id="4685" w:name="_Toc11139674"/>
      <w:bookmarkStart w:id="4686" w:name="_Toc11140092"/>
      <w:bookmarkStart w:id="4687" w:name="_Toc11140510"/>
      <w:bookmarkStart w:id="4688" w:name="_Toc11390614"/>
      <w:bookmarkStart w:id="4689" w:name="_Toc11937833"/>
      <w:r>
        <w:t>Салимов В.А., Салимова Н.П.</w:t>
      </w:r>
      <w:bookmarkEnd w:id="4679"/>
      <w:bookmarkEnd w:id="4680"/>
      <w:bookmarkEnd w:id="4681"/>
      <w:bookmarkEnd w:id="4682"/>
      <w:bookmarkEnd w:id="4683"/>
      <w:bookmarkEnd w:id="4684"/>
      <w:bookmarkEnd w:id="4685"/>
      <w:bookmarkEnd w:id="4686"/>
      <w:bookmarkEnd w:id="4687"/>
      <w:bookmarkEnd w:id="4688"/>
      <w:bookmarkEnd w:id="4689"/>
    </w:p>
    <w:p w:rsidR="00F4654E" w:rsidRDefault="00F4654E">
      <w:pPr>
        <w:pStyle w:val="a5"/>
      </w:pPr>
      <w:r>
        <w:t>Самарская государственная сельскохозяйственная академия</w:t>
      </w:r>
    </w:p>
    <w:p w:rsidR="00F4654E" w:rsidRDefault="00F4654E">
      <w:pPr>
        <w:pStyle w:val="a6"/>
      </w:pPr>
      <w:r w:rsidRPr="0001153D">
        <w:rPr>
          <w:spacing w:val="-4"/>
        </w:rPr>
        <w:t>В профилактике желудочно-кишечных расстройств у телят молочн</w:t>
      </w:r>
      <w:r w:rsidRPr="0001153D">
        <w:rPr>
          <w:spacing w:val="-4"/>
        </w:rPr>
        <w:t>и</w:t>
      </w:r>
      <w:r w:rsidRPr="0001153D">
        <w:rPr>
          <w:spacing w:val="-4"/>
        </w:rPr>
        <w:t>ков, по мнению Е.С. Воронина, А.В. Жарова, В.П. Шишкова, ведущее зн</w:t>
      </w:r>
      <w:r w:rsidRPr="0001153D">
        <w:rPr>
          <w:spacing w:val="-4"/>
        </w:rPr>
        <w:t>а</w:t>
      </w:r>
      <w:r w:rsidRPr="0001153D">
        <w:rPr>
          <w:spacing w:val="-4"/>
        </w:rPr>
        <w:t>чение отводится соблюдению технологии выращивания и получения приплода; уровню кормления и состоянию обмена веществ в организме коров на всех периодах натального развития будущего потомства; выполнению санитарно-зоогигиенических нормативов по условиям содержания животных.</w:t>
      </w:r>
      <w:r w:rsidR="0001153D">
        <w:rPr>
          <w:spacing w:val="-4"/>
        </w:rPr>
        <w:t xml:space="preserve"> </w:t>
      </w:r>
      <w:r w:rsidRPr="0001153D">
        <w:rPr>
          <w:spacing w:val="-2"/>
        </w:rPr>
        <w:t>Наруш</w:t>
      </w:r>
      <w:r w:rsidRPr="0001153D">
        <w:rPr>
          <w:spacing w:val="-2"/>
        </w:rPr>
        <w:t>е</w:t>
      </w:r>
      <w:r w:rsidRPr="0001153D">
        <w:rPr>
          <w:spacing w:val="-2"/>
        </w:rPr>
        <w:t>ние указанных параметров сопровождается вспышкой факто</w:t>
      </w:r>
      <w:r w:rsidRPr="0001153D">
        <w:rPr>
          <w:spacing w:val="-2"/>
        </w:rPr>
        <w:t>р</w:t>
      </w:r>
      <w:r w:rsidRPr="0001153D">
        <w:rPr>
          <w:spacing w:val="-2"/>
        </w:rPr>
        <w:t>ных, или как указывает В.Г. Зароза «хлевно-стойловых» инфекций, куда относится и ан</w:t>
      </w:r>
      <w:r w:rsidRPr="0001153D">
        <w:rPr>
          <w:spacing w:val="-2"/>
        </w:rPr>
        <w:t>а</w:t>
      </w:r>
      <w:r w:rsidRPr="0001153D">
        <w:rPr>
          <w:spacing w:val="-2"/>
        </w:rPr>
        <w:t>эробная энтеротоксемия. В благополучных хозяйствах заболевание возник</w:t>
      </w:r>
      <w:r w:rsidRPr="0001153D">
        <w:rPr>
          <w:spacing w:val="-2"/>
        </w:rPr>
        <w:t>а</w:t>
      </w:r>
      <w:r w:rsidRPr="0001153D">
        <w:rPr>
          <w:spacing w:val="-2"/>
        </w:rPr>
        <w:t>ет при заносе вирулентных штаммов CL. perfringens из вне. Длительное с</w:t>
      </w:r>
      <w:r w:rsidRPr="0001153D">
        <w:rPr>
          <w:spacing w:val="-2"/>
        </w:rPr>
        <w:t>о</w:t>
      </w:r>
      <w:r w:rsidRPr="0001153D">
        <w:rPr>
          <w:spacing w:val="-2"/>
        </w:rPr>
        <w:t>хранение споровых форм в кормах, почве, подстилке, экскрементах живо</w:t>
      </w:r>
      <w:r w:rsidRPr="0001153D">
        <w:rPr>
          <w:spacing w:val="-2"/>
        </w:rPr>
        <w:t>т</w:t>
      </w:r>
      <w:r w:rsidRPr="0001153D">
        <w:rPr>
          <w:spacing w:val="-2"/>
        </w:rPr>
        <w:t>ных способствует развитию заболевания в стационарно небл</w:t>
      </w:r>
      <w:r w:rsidRPr="0001153D">
        <w:rPr>
          <w:spacing w:val="-2"/>
        </w:rPr>
        <w:t>а</w:t>
      </w:r>
      <w:r w:rsidRPr="0001153D">
        <w:rPr>
          <w:spacing w:val="-2"/>
        </w:rPr>
        <w:t>гополучных очагах без дополнительного заноса анаэробов (Ф.И. Каган, Л.В. Кириллов, И.Л. Найманов, Ю.Б.Сафаров, В.П. Урбан, К.Р. Ургуев).</w:t>
      </w:r>
      <w:r w:rsidR="0001153D">
        <w:rPr>
          <w:spacing w:val="-2"/>
        </w:rPr>
        <w:t xml:space="preserve"> </w:t>
      </w:r>
      <w:r>
        <w:t>Вопр</w:t>
      </w:r>
      <w:r>
        <w:t>о</w:t>
      </w:r>
      <w:r>
        <w:t>сам изучения этиологии, патогенеза и патоморфологической диагностики посвящены исследования В.Н. Алешкевича,  A. Allen, А.В. Жар</w:t>
      </w:r>
      <w:r>
        <w:t>о</w:t>
      </w:r>
      <w:r>
        <w:t>ва, В.И. Ленькова, U. S. Lontine, В.И. Соломатина, П.Д. Устарханова. Особенно хорошо забол</w:t>
      </w:r>
      <w:r>
        <w:t>е</w:t>
      </w:r>
      <w:r>
        <w:t>вание освещено у овец, несколько слабее у других видов животных, что послужило основанием для представленных исслед</w:t>
      </w:r>
      <w:r>
        <w:t>о</w:t>
      </w:r>
      <w:r>
        <w:t>ваний.</w:t>
      </w:r>
    </w:p>
    <w:p w:rsidR="00F4654E" w:rsidRDefault="00F4654E">
      <w:pPr>
        <w:pStyle w:val="a6"/>
      </w:pPr>
      <w:r>
        <w:lastRenderedPageBreak/>
        <w:t>При анализе собранного материала нами неоднократно обращалось внимание на специфику проявления анаэробной энтеротоксемии (В.А. С</w:t>
      </w:r>
      <w:r>
        <w:t>а</w:t>
      </w:r>
      <w:r>
        <w:t>лимов, И.Н. Хайруллин 1990-2001). По особенностям диагностики и пат</w:t>
      </w:r>
      <w:r>
        <w:t>о</w:t>
      </w:r>
      <w:r>
        <w:t>морфологическому аспекту изменений получены авторские свидетельства. Однако в ходе дальнейшего изучения заболевания выявлены новые факты, на которых считаем необходимым заострить более пристальное внимание, т.к. они позволяют в более ранние сроки высказать серьезное подозрение о наличии энтеротоксемии среди телят по картине вскрытия первых трупов. К тому же, как считают В.П. Урбан, А.Н. Куриленко, В.Л. Крупальник, особое значение следует придавать выявлению закономерностей возни</w:t>
      </w:r>
      <w:r>
        <w:t>к</w:t>
      </w:r>
      <w:r>
        <w:t>новения и развития инфекций, облегчающих организацию не только л</w:t>
      </w:r>
      <w:r>
        <w:t>е</w:t>
      </w:r>
      <w:r>
        <w:t>чебных, но и профилактических мероприятий.</w:t>
      </w:r>
    </w:p>
    <w:p w:rsidR="00F4654E" w:rsidRDefault="00F4654E">
      <w:pPr>
        <w:pStyle w:val="a6"/>
      </w:pPr>
      <w:r>
        <w:t>Проведенные исследования позволили получить убедительные док</w:t>
      </w:r>
      <w:r>
        <w:t>а</w:t>
      </w:r>
      <w:r>
        <w:t>зательства того, что данное заболевание имеет довольно широкое распр</w:t>
      </w:r>
      <w:r>
        <w:t>о</w:t>
      </w:r>
      <w:r>
        <w:t>странение у телят. Клинически может  протекать в энтеритной и токсиге</w:t>
      </w:r>
      <w:r>
        <w:t>н</w:t>
      </w:r>
      <w:r>
        <w:t>ной формах. Энтеритная форма вызывается типом С. Она характеризуется более умеренным поносом, отеком брыжейки и мелкоточечными (игольч</w:t>
      </w:r>
      <w:r>
        <w:t>а</w:t>
      </w:r>
      <w:r>
        <w:t>тыми, экхимозными) кровоизлияниями в корковом слое почек. При токс</w:t>
      </w:r>
      <w:r>
        <w:t>и</w:t>
      </w:r>
      <w:r>
        <w:t>генной форме отмечается увеличение объема почек, развитие зернисто-вакуольной дистрофии паренхиматозных элементов с исходом в обши</w:t>
      </w:r>
      <w:r>
        <w:t>р</w:t>
      </w:r>
      <w:r>
        <w:t>ный некроз. Из-за чего корковый слой размягчается, поэтому капсула сн</w:t>
      </w:r>
      <w:r>
        <w:t>и</w:t>
      </w:r>
      <w:r>
        <w:t>мается с остатками коркового слоя на ней. Вместе с почками у телят в св</w:t>
      </w:r>
      <w:r>
        <w:t>е</w:t>
      </w:r>
      <w:r>
        <w:t>жих очагах вспышки заболевания на фоне развития острого геморрагич</w:t>
      </w:r>
      <w:r>
        <w:t>е</w:t>
      </w:r>
      <w:r>
        <w:t>ского абомазита сильно набухают спиралевидные складки  сычуга, как и при эшерихиозе. Однако в отличие от эшерихиоза в большей степени в</w:t>
      </w:r>
      <w:r>
        <w:t>ы</w:t>
      </w:r>
      <w:r>
        <w:t>ражены процессы альтерации, поэтому слизистая выглядит покрасневшей и усеяна поверхностными дефектами, видимыми даже не вооруженным глазом. Выявленные изменения настолько типичные, что их можно рек</w:t>
      </w:r>
      <w:r>
        <w:t>о</w:t>
      </w:r>
      <w:r>
        <w:t>мендовать для патологоанатомической диагностики анаэробной энтер</w:t>
      </w:r>
      <w:r>
        <w:t>о</w:t>
      </w:r>
      <w:r>
        <w:t>токсемии телят, вызванной  CL. perfringens тип А в свежих очагах вспы</w:t>
      </w:r>
      <w:r>
        <w:t>ш</w:t>
      </w:r>
      <w:r>
        <w:t xml:space="preserve">ки заболевания вместе с другими методами диагностики. </w:t>
      </w:r>
    </w:p>
    <w:p w:rsidR="00F4654E" w:rsidRDefault="00F4654E">
      <w:pPr>
        <w:pStyle w:val="a4"/>
      </w:pPr>
      <w:r>
        <w:t xml:space="preserve">УДК  619:615.981.48:636.2 </w:t>
      </w:r>
    </w:p>
    <w:p w:rsidR="00F4654E" w:rsidRDefault="00F4654E">
      <w:pPr>
        <w:pStyle w:val="1"/>
      </w:pPr>
      <w:bookmarkStart w:id="4690" w:name="_Toc10731584"/>
      <w:bookmarkStart w:id="4691" w:name="_Toc11137999"/>
      <w:bookmarkStart w:id="4692" w:name="_Toc11138417"/>
      <w:bookmarkStart w:id="4693" w:name="_Toc11138835"/>
      <w:bookmarkStart w:id="4694" w:name="_Toc11139253"/>
      <w:bookmarkStart w:id="4695" w:name="_Toc11139671"/>
      <w:bookmarkStart w:id="4696" w:name="_Toc11140089"/>
      <w:bookmarkStart w:id="4697" w:name="_Toc11140507"/>
      <w:bookmarkStart w:id="4698" w:name="_Toc11390611"/>
      <w:bookmarkStart w:id="4699" w:name="_Toc11840298"/>
      <w:bookmarkStart w:id="4700" w:name="_Toc11937834"/>
      <w:r>
        <w:t>Комплексный подход к проблеме  получения и выращивания здоровых телят</w:t>
      </w:r>
      <w:bookmarkEnd w:id="4690"/>
      <w:bookmarkEnd w:id="4691"/>
      <w:bookmarkEnd w:id="4692"/>
      <w:bookmarkEnd w:id="4693"/>
      <w:bookmarkEnd w:id="4694"/>
      <w:bookmarkEnd w:id="4695"/>
      <w:bookmarkEnd w:id="4696"/>
      <w:bookmarkEnd w:id="4697"/>
      <w:bookmarkEnd w:id="4698"/>
      <w:bookmarkEnd w:id="4699"/>
      <w:bookmarkEnd w:id="4700"/>
    </w:p>
    <w:p w:rsidR="00F4654E" w:rsidRDefault="00F4654E">
      <w:pPr>
        <w:pStyle w:val="2"/>
      </w:pPr>
      <w:bookmarkStart w:id="4701" w:name="_Toc10731585"/>
      <w:bookmarkStart w:id="4702" w:name="_Toc11032362"/>
      <w:bookmarkStart w:id="4703" w:name="_Toc11138000"/>
      <w:bookmarkStart w:id="4704" w:name="_Toc11138418"/>
      <w:bookmarkStart w:id="4705" w:name="_Toc11138836"/>
      <w:bookmarkStart w:id="4706" w:name="_Toc11139254"/>
      <w:bookmarkStart w:id="4707" w:name="_Toc11139672"/>
      <w:bookmarkStart w:id="4708" w:name="_Toc11140090"/>
      <w:bookmarkStart w:id="4709" w:name="_Toc11140508"/>
      <w:bookmarkStart w:id="4710" w:name="_Toc11390612"/>
      <w:bookmarkStart w:id="4711" w:name="_Toc11937835"/>
      <w:r>
        <w:t>Сайченко В.И.</w:t>
      </w:r>
      <w:bookmarkEnd w:id="4701"/>
      <w:bookmarkEnd w:id="4702"/>
      <w:bookmarkEnd w:id="4703"/>
      <w:bookmarkEnd w:id="4704"/>
      <w:bookmarkEnd w:id="4705"/>
      <w:bookmarkEnd w:id="4706"/>
      <w:bookmarkEnd w:id="4707"/>
      <w:bookmarkEnd w:id="4708"/>
      <w:bookmarkEnd w:id="4709"/>
      <w:bookmarkEnd w:id="4710"/>
      <w:bookmarkEnd w:id="4711"/>
    </w:p>
    <w:p w:rsidR="00F4654E" w:rsidRDefault="00F4654E">
      <w:pPr>
        <w:pStyle w:val="a5"/>
      </w:pPr>
      <w:r>
        <w:t>Институт экспериментальной ветеринарии Сибири и Дальнего Востока</w:t>
      </w:r>
    </w:p>
    <w:p w:rsidR="00F4654E" w:rsidRPr="0001153D" w:rsidRDefault="00F4654E">
      <w:pPr>
        <w:pStyle w:val="a6"/>
        <w:rPr>
          <w:spacing w:val="2"/>
        </w:rPr>
      </w:pPr>
      <w:r w:rsidRPr="0001153D">
        <w:rPr>
          <w:spacing w:val="2"/>
        </w:rPr>
        <w:t>В современных условиях общественного животноводства приходи</w:t>
      </w:r>
      <w:r w:rsidRPr="0001153D">
        <w:rPr>
          <w:spacing w:val="2"/>
        </w:rPr>
        <w:t>т</w:t>
      </w:r>
      <w:r w:rsidRPr="0001153D">
        <w:rPr>
          <w:spacing w:val="2"/>
        </w:rPr>
        <w:t>ся, к сожалению, констатировать наличие на фермах у молодняка в бол</w:t>
      </w:r>
      <w:r w:rsidRPr="0001153D">
        <w:rPr>
          <w:spacing w:val="2"/>
        </w:rPr>
        <w:t>ь</w:t>
      </w:r>
      <w:r w:rsidRPr="0001153D">
        <w:rPr>
          <w:spacing w:val="2"/>
        </w:rPr>
        <w:t>ши</w:t>
      </w:r>
      <w:r w:rsidRPr="0001153D">
        <w:rPr>
          <w:spacing w:val="2"/>
        </w:rPr>
        <w:t>н</w:t>
      </w:r>
      <w:r w:rsidRPr="0001153D">
        <w:rPr>
          <w:spacing w:val="2"/>
        </w:rPr>
        <w:t>стве случаев ассоциированных эпизоотических процессов, вызванных разноо</w:t>
      </w:r>
      <w:r w:rsidRPr="0001153D">
        <w:rPr>
          <w:spacing w:val="2"/>
        </w:rPr>
        <w:t>б</w:t>
      </w:r>
      <w:r w:rsidRPr="0001153D">
        <w:rPr>
          <w:spacing w:val="2"/>
        </w:rPr>
        <w:t xml:space="preserve">разной ассоциацией микроорганизмов (различные виды бактерий, грибков, микоплазм, хламидий, вирусов и др.), трансформировавшихся из </w:t>
      </w:r>
      <w:r w:rsidRPr="0001153D">
        <w:rPr>
          <w:spacing w:val="2"/>
        </w:rPr>
        <w:lastRenderedPageBreak/>
        <w:t>условно-патогенных в патогенные под влиянием ряда антропогенных факторов.</w:t>
      </w:r>
    </w:p>
    <w:p w:rsidR="00F4654E" w:rsidRDefault="00F4654E">
      <w:pPr>
        <w:pStyle w:val="a6"/>
      </w:pPr>
      <w:r>
        <w:t>В данном сообщении приведены результаты комплексного подхода к проблеме получения и выращивания здоровых телят в хозяйствах Красн</w:t>
      </w:r>
      <w:r>
        <w:t>о</w:t>
      </w:r>
      <w:r>
        <w:t xml:space="preserve">зерского района Новосибирской области.  </w:t>
      </w:r>
    </w:p>
    <w:p w:rsidR="0001153D" w:rsidRPr="0001153D" w:rsidRDefault="00F4654E">
      <w:pPr>
        <w:pStyle w:val="a6"/>
        <w:rPr>
          <w:spacing w:val="2"/>
        </w:rPr>
      </w:pPr>
      <w:r w:rsidRPr="0001153D">
        <w:rPr>
          <w:spacing w:val="2"/>
        </w:rPr>
        <w:t>Одним из наиболее необходимых элементов в повышении жизн</w:t>
      </w:r>
      <w:r w:rsidRPr="0001153D">
        <w:rPr>
          <w:spacing w:val="2"/>
        </w:rPr>
        <w:t>е</w:t>
      </w:r>
      <w:r w:rsidRPr="0001153D">
        <w:rPr>
          <w:spacing w:val="2"/>
        </w:rPr>
        <w:t>стойк</w:t>
      </w:r>
      <w:r w:rsidRPr="0001153D">
        <w:rPr>
          <w:spacing w:val="2"/>
        </w:rPr>
        <w:t>о</w:t>
      </w:r>
      <w:r w:rsidRPr="0001153D">
        <w:rPr>
          <w:spacing w:val="2"/>
        </w:rPr>
        <w:t>сти животного остается организация полноценного сбаланси</w:t>
      </w:r>
      <w:r w:rsidR="0001153D" w:rsidRPr="0001153D">
        <w:rPr>
          <w:spacing w:val="2"/>
        </w:rPr>
        <w:t>-</w:t>
      </w:r>
      <w:r w:rsidRPr="0001153D">
        <w:rPr>
          <w:spacing w:val="2"/>
        </w:rPr>
        <w:t>рованного кор</w:t>
      </w:r>
      <w:r w:rsidRPr="0001153D">
        <w:rPr>
          <w:spacing w:val="2"/>
        </w:rPr>
        <w:t>м</w:t>
      </w:r>
      <w:r w:rsidRPr="0001153D">
        <w:rPr>
          <w:spacing w:val="2"/>
        </w:rPr>
        <w:t>ления животных. К основным простым мерам контроля правильности кормления и содержания крупного рогатого скота следует отнести ежед</w:t>
      </w:r>
      <w:r w:rsidRPr="0001153D">
        <w:rPr>
          <w:spacing w:val="2"/>
        </w:rPr>
        <w:t>е</w:t>
      </w:r>
      <w:r w:rsidRPr="0001153D">
        <w:rPr>
          <w:spacing w:val="2"/>
        </w:rPr>
        <w:t>кадное взвешивание контрольных животных (по 5 голов из отдельных технологич</w:t>
      </w:r>
      <w:r w:rsidRPr="0001153D">
        <w:rPr>
          <w:spacing w:val="2"/>
        </w:rPr>
        <w:t>е</w:t>
      </w:r>
      <w:r w:rsidRPr="0001153D">
        <w:rPr>
          <w:spacing w:val="2"/>
        </w:rPr>
        <w:t>ских групп) с анализом полученных средне</w:t>
      </w:r>
      <w:r w:rsidR="0001153D" w:rsidRPr="0001153D">
        <w:rPr>
          <w:spacing w:val="2"/>
        </w:rPr>
        <w:t>-</w:t>
      </w:r>
      <w:r w:rsidRPr="0001153D">
        <w:rPr>
          <w:spacing w:val="2"/>
        </w:rPr>
        <w:t>суточных привесов и ежеквартальные биохимические исследования крови контрольных живо</w:t>
      </w:r>
      <w:r w:rsidRPr="0001153D">
        <w:rPr>
          <w:spacing w:val="2"/>
        </w:rPr>
        <w:t>т</w:t>
      </w:r>
      <w:r w:rsidRPr="0001153D">
        <w:rPr>
          <w:spacing w:val="2"/>
        </w:rPr>
        <w:t xml:space="preserve">ных. </w:t>
      </w:r>
    </w:p>
    <w:p w:rsidR="00F4654E" w:rsidRDefault="00F4654E">
      <w:pPr>
        <w:pStyle w:val="a6"/>
      </w:pPr>
      <w:r>
        <w:t>Одним из проверенных технологических приемов повышения уровня жизнестойкости матери и плода являются сухостойные дворы со свобо</w:t>
      </w:r>
      <w:r>
        <w:t>д</w:t>
      </w:r>
      <w:r>
        <w:t>новыгульным содержанием животных, куда помещают всех коров в запу</w:t>
      </w:r>
      <w:r>
        <w:t>с</w:t>
      </w:r>
      <w:r>
        <w:t>ке за 45-60 дней до отела. В родильное отделение корову заводят из сух</w:t>
      </w:r>
      <w:r>
        <w:t>о</w:t>
      </w:r>
      <w:r>
        <w:t>стойного двора за 1-2 дня до отела. Важным фактором защиты новоро</w:t>
      </w:r>
      <w:r>
        <w:t>ж</w:t>
      </w:r>
      <w:r>
        <w:t>денного теленка от боле</w:t>
      </w:r>
      <w:r>
        <w:t>з</w:t>
      </w:r>
      <w:r>
        <w:t>нетворного влияния окружающей микрофлоры является организация первого его кормления через 1,5-2 часа после рожд</w:t>
      </w:r>
      <w:r>
        <w:t>е</w:t>
      </w:r>
      <w:r>
        <w:t>ния. К сожалению, в хозяйствах далеко не редки случаи, когда первое кормление новорожденных телят пр</w:t>
      </w:r>
      <w:r>
        <w:t>о</w:t>
      </w:r>
      <w:r>
        <w:t xml:space="preserve">водят через 5-10 и более часов после рождения. </w:t>
      </w:r>
    </w:p>
    <w:p w:rsidR="00F4654E" w:rsidRDefault="00F4654E">
      <w:pPr>
        <w:pStyle w:val="a6"/>
      </w:pPr>
      <w:r>
        <w:t>Для упорядочивания приема новорожденных телят с соблюдением правил первого кормления  отел коров происходит в родильных станках с обязательным совместным содержанием матери и теленка в течение 10 ч</w:t>
      </w:r>
      <w:r>
        <w:t>а</w:t>
      </w:r>
      <w:r>
        <w:t xml:space="preserve">сов. Обслуживающий персонал производит наблюдение за поведением животных при обязательном соблюдении ветеринарно-санитарных правил  подготовки коров к отелу, проведения отела и послеродовых манипуляций. </w:t>
      </w:r>
    </w:p>
    <w:p w:rsidR="00F4654E" w:rsidRDefault="00F4654E">
      <w:pPr>
        <w:pStyle w:val="a6"/>
      </w:pPr>
      <w:r>
        <w:t>В качестве технологических методов разрыва эпизоотической цепи практикуются абсолютно автономные родильно-профилакторные блоки на 16 коров и 16-20 телят (их необходимо иметь 4-8, в зависимости от пог</w:t>
      </w:r>
      <w:r>
        <w:t>о</w:t>
      </w:r>
      <w:r>
        <w:t>ловья коров на ферме), а  также сменные родильные отделения и проф</w:t>
      </w:r>
      <w:r>
        <w:t>и</w:t>
      </w:r>
      <w:r>
        <w:t>лактории, работающие по принципу «пусто - занято».</w:t>
      </w:r>
    </w:p>
    <w:p w:rsidR="00F4654E" w:rsidRDefault="00F4654E">
      <w:pPr>
        <w:pStyle w:val="a6"/>
      </w:pPr>
      <w:r>
        <w:t>Весьма эффективным оказалось содержание телят до 6 месячного во</w:t>
      </w:r>
      <w:r>
        <w:t>з</w:t>
      </w:r>
      <w:r>
        <w:t>раста летнего и зимнего отела, для чего в хозяйствах в летне-пастбищный период  целесообразно иметь три типа летних лагерей, в том числе один у мест доения для содержания телят до 15-дневного  возраста,  второй для телят до 6-месячного возраста летнего отела и третий -  для телят от коров, растелившихся до выхода на пастбище.</w:t>
      </w:r>
    </w:p>
    <w:p w:rsidR="00F4654E" w:rsidRDefault="00F4654E">
      <w:pPr>
        <w:pStyle w:val="a6"/>
      </w:pPr>
      <w:r>
        <w:t xml:space="preserve">В хозяйствах района накоплен определенный опыт по вынужденному выращиванию новорожденных телят на улице в зимне-весенний период в индивидуальных домиках из фанеры, рубероида, обложенных соломой. </w:t>
      </w:r>
      <w:r>
        <w:lastRenderedPageBreak/>
        <w:t>Телята хорошо развивались и не болели при температуре 30 и более град</w:t>
      </w:r>
      <w:r>
        <w:t>у</w:t>
      </w:r>
      <w:r>
        <w:t>сов ниже нуля. Но когда их группировали и переводили в летний период в лагеря, постоянно наблюдали массовые, тяжело протекающие респирато</w:t>
      </w:r>
      <w:r>
        <w:t>р</w:t>
      </w:r>
      <w:r>
        <w:t xml:space="preserve">ные болезни. </w:t>
      </w:r>
    </w:p>
    <w:p w:rsidR="00F4654E" w:rsidRDefault="00F4654E">
      <w:pPr>
        <w:pStyle w:val="a6"/>
      </w:pPr>
      <w:r>
        <w:t>Это можно объяснить тем, что при низких температурах  микроорг</w:t>
      </w:r>
      <w:r>
        <w:t>а</w:t>
      </w:r>
      <w:r>
        <w:t>низмы во внешней среде активно не развиваются, а телята, таким образом, растут в относительно «стерильных» условиях. Не сталкиваясь с микр</w:t>
      </w:r>
      <w:r>
        <w:t>о</w:t>
      </w:r>
      <w:r>
        <w:t>флорой, организм теленка не выработал против них каких либо защитных средств и при первых неблагоприятных ситуациях (дождь, сырость, ветер, жара, и др.) оказался подвержен ее болезнетворному влиянию.</w:t>
      </w:r>
    </w:p>
    <w:p w:rsidR="00F4654E" w:rsidRDefault="00F4654E">
      <w:pPr>
        <w:pStyle w:val="a6"/>
      </w:pPr>
      <w:r>
        <w:t>Необходимым элементом выращивания здорового молодняка являю</w:t>
      </w:r>
      <w:r>
        <w:t>т</w:t>
      </w:r>
      <w:r>
        <w:t xml:space="preserve">ся ежегодный санитарный ремонт и дезинфекция летних лагерей для телят. </w:t>
      </w:r>
    </w:p>
    <w:p w:rsidR="00F4654E" w:rsidRDefault="00F4654E">
      <w:pPr>
        <w:pStyle w:val="a6"/>
      </w:pPr>
      <w:r>
        <w:t>Чем  полнее, качественнее комплекс вышеперечисленных приемов, тем выше сохранность и продуктивность животных.</w:t>
      </w:r>
    </w:p>
    <w:p w:rsidR="00F4654E" w:rsidRPr="0001153D" w:rsidRDefault="00F4654E">
      <w:pPr>
        <w:pStyle w:val="a6"/>
        <w:rPr>
          <w:spacing w:val="2"/>
        </w:rPr>
      </w:pPr>
      <w:r w:rsidRPr="0001153D">
        <w:rPr>
          <w:spacing w:val="2"/>
        </w:rPr>
        <w:t>Последнее время особого внимания заслуживает использование в л</w:t>
      </w:r>
      <w:r w:rsidRPr="0001153D">
        <w:rPr>
          <w:spacing w:val="2"/>
        </w:rPr>
        <w:t>е</w:t>
      </w:r>
      <w:r w:rsidRPr="0001153D">
        <w:rPr>
          <w:spacing w:val="2"/>
        </w:rPr>
        <w:t>чебных и профилактических целях при факторных желудочно-кишечных и респираторных болезнях полиинфекционной природы у телят препар</w:t>
      </w:r>
      <w:r w:rsidRPr="0001153D">
        <w:rPr>
          <w:spacing w:val="2"/>
        </w:rPr>
        <w:t>а</w:t>
      </w:r>
      <w:r w:rsidRPr="0001153D">
        <w:rPr>
          <w:spacing w:val="2"/>
        </w:rPr>
        <w:t>тов гипериммунной  крови на аллогенной основе. В каждом хозяйстве осенью  подбирали быков-доноров из числа здоровых животных и после исключения инфекционных болезней гипериммуннизировали по опред</w:t>
      </w:r>
      <w:r w:rsidRPr="0001153D">
        <w:rPr>
          <w:spacing w:val="2"/>
        </w:rPr>
        <w:t>е</w:t>
      </w:r>
      <w:r w:rsidRPr="0001153D">
        <w:rPr>
          <w:spacing w:val="2"/>
        </w:rPr>
        <w:t>ленным схемам различными вакцинами против «актуальных» для данной местн</w:t>
      </w:r>
      <w:r w:rsidRPr="0001153D">
        <w:rPr>
          <w:spacing w:val="2"/>
        </w:rPr>
        <w:t>о</w:t>
      </w:r>
      <w:r w:rsidRPr="0001153D">
        <w:rPr>
          <w:spacing w:val="2"/>
        </w:rPr>
        <w:t>сти инфекций в сочетании со специальными иммуномодуляторами и  ад</w:t>
      </w:r>
      <w:r w:rsidRPr="0001153D">
        <w:rPr>
          <w:spacing w:val="2"/>
        </w:rPr>
        <w:t>ъ</w:t>
      </w:r>
      <w:r w:rsidRPr="0001153D">
        <w:rPr>
          <w:spacing w:val="2"/>
        </w:rPr>
        <w:t>ювантами. Кровь от быков -  доноров использовали только в своем хозя</w:t>
      </w:r>
      <w:r w:rsidRPr="0001153D">
        <w:rPr>
          <w:spacing w:val="2"/>
        </w:rPr>
        <w:t>й</w:t>
      </w:r>
      <w:r w:rsidRPr="0001153D">
        <w:rPr>
          <w:spacing w:val="2"/>
        </w:rPr>
        <w:t>стве. Кроме эффекта за счет наличия в крови в большом количестве  ант</w:t>
      </w:r>
      <w:r w:rsidRPr="0001153D">
        <w:rPr>
          <w:spacing w:val="2"/>
        </w:rPr>
        <w:t>и</w:t>
      </w:r>
      <w:r w:rsidRPr="0001153D">
        <w:rPr>
          <w:spacing w:val="2"/>
        </w:rPr>
        <w:t>тел против патогенной кишечной палочки, пастерелл, сальмонелл, вирусов парагриппа-3, инфекционного ринотрахеита и др., рассчитывали и на дополнительный эффект и от аллогенной основы, предполагая с</w:t>
      </w:r>
      <w:r w:rsidRPr="0001153D">
        <w:rPr>
          <w:spacing w:val="2"/>
        </w:rPr>
        <w:t>о</w:t>
      </w:r>
      <w:r w:rsidRPr="0001153D">
        <w:rPr>
          <w:spacing w:val="2"/>
        </w:rPr>
        <w:t>держание, пусть и не в больших количествах, антител на циркулирующую в хозяйс</w:t>
      </w:r>
      <w:r w:rsidRPr="0001153D">
        <w:rPr>
          <w:spacing w:val="2"/>
        </w:rPr>
        <w:t>т</w:t>
      </w:r>
      <w:r w:rsidRPr="0001153D">
        <w:rPr>
          <w:spacing w:val="2"/>
        </w:rPr>
        <w:t>вах разнообразную «свою», условно патогенную микрофлору, так как животных-доноров в каждом хозяйстве можно было вполне л</w:t>
      </w:r>
      <w:r w:rsidRPr="0001153D">
        <w:rPr>
          <w:spacing w:val="2"/>
        </w:rPr>
        <w:t>о</w:t>
      </w:r>
      <w:r w:rsidRPr="0001153D">
        <w:rPr>
          <w:spacing w:val="2"/>
        </w:rPr>
        <w:t>гично считать в определенной степени реконвалесцентами – то есть пер</w:t>
      </w:r>
      <w:r w:rsidRPr="0001153D">
        <w:rPr>
          <w:spacing w:val="2"/>
        </w:rPr>
        <w:t>е</w:t>
      </w:r>
      <w:r w:rsidRPr="0001153D">
        <w:rPr>
          <w:spacing w:val="2"/>
        </w:rPr>
        <w:t>болевшими «м</w:t>
      </w:r>
      <w:r w:rsidRPr="0001153D">
        <w:rPr>
          <w:spacing w:val="2"/>
        </w:rPr>
        <w:t>е</w:t>
      </w:r>
      <w:r w:rsidRPr="0001153D">
        <w:rPr>
          <w:spacing w:val="2"/>
        </w:rPr>
        <w:t>стными» инфекциями. Нельзя также сбрасывать со счета и стимулирующий эффект самой  крови, в том числе с общих позиций г</w:t>
      </w:r>
      <w:r w:rsidRPr="0001153D">
        <w:rPr>
          <w:spacing w:val="2"/>
        </w:rPr>
        <w:t>е</w:t>
      </w:r>
      <w:r w:rsidRPr="0001153D">
        <w:rPr>
          <w:spacing w:val="2"/>
        </w:rPr>
        <w:t>мотерапии.</w:t>
      </w:r>
    </w:p>
    <w:p w:rsidR="00F4654E" w:rsidRDefault="00F4654E">
      <w:pPr>
        <w:pStyle w:val="a6"/>
      </w:pPr>
      <w:r>
        <w:t>С 1994 года в районе наблюдается тенденция улучшения сохранности животных. О положительных результатах проводимой руководством, зо</w:t>
      </w:r>
      <w:r>
        <w:t>о</w:t>
      </w:r>
      <w:r>
        <w:t>ветспециалистами района и хозяйств работы говорят следующие цифры: падеж крупного рогатого скота составил в 1994 году 10,3 % к обороту ст</w:t>
      </w:r>
      <w:r>
        <w:t>а</w:t>
      </w:r>
      <w:r>
        <w:t>да, в  2000-2001 годах – 2,5 %. По ряду хозяйств эти показатели улучш</w:t>
      </w:r>
      <w:r>
        <w:t>и</w:t>
      </w:r>
      <w:r>
        <w:t>лись в более значительной степени.</w:t>
      </w:r>
    </w:p>
    <w:p w:rsidR="0001153D" w:rsidRDefault="0001153D">
      <w:pPr>
        <w:pStyle w:val="a6"/>
      </w:pPr>
    </w:p>
    <w:p w:rsidR="0001153D" w:rsidRDefault="0001153D">
      <w:pPr>
        <w:pStyle w:val="a6"/>
      </w:pPr>
    </w:p>
    <w:p w:rsidR="00F4654E" w:rsidRDefault="00F4654E">
      <w:pPr>
        <w:pStyle w:val="a4"/>
      </w:pPr>
      <w:r>
        <w:lastRenderedPageBreak/>
        <w:t>УДК 619:616:615.849:636.92</w:t>
      </w:r>
    </w:p>
    <w:p w:rsidR="00F4654E" w:rsidRDefault="00F4654E">
      <w:pPr>
        <w:pStyle w:val="1"/>
      </w:pPr>
      <w:bookmarkStart w:id="4712" w:name="_Toc10731550"/>
      <w:bookmarkStart w:id="4713" w:name="_Toc11138003"/>
      <w:bookmarkStart w:id="4714" w:name="_Toc11138421"/>
      <w:bookmarkStart w:id="4715" w:name="_Toc11138839"/>
      <w:bookmarkStart w:id="4716" w:name="_Toc11139257"/>
      <w:bookmarkStart w:id="4717" w:name="_Toc11139675"/>
      <w:bookmarkStart w:id="4718" w:name="_Toc11140093"/>
      <w:bookmarkStart w:id="4719" w:name="_Toc11140511"/>
      <w:bookmarkStart w:id="4720" w:name="_Toc11390615"/>
      <w:bookmarkStart w:id="4721" w:name="_Toc11840300"/>
      <w:bookmarkStart w:id="4722" w:name="_Toc11937836"/>
      <w:r>
        <w:t>Морфологические показатели крови у кроликов при острой форме лучевой болезни средней тяжести</w:t>
      </w:r>
      <w:bookmarkEnd w:id="4712"/>
      <w:bookmarkEnd w:id="4713"/>
      <w:bookmarkEnd w:id="4714"/>
      <w:bookmarkEnd w:id="4715"/>
      <w:bookmarkEnd w:id="4716"/>
      <w:bookmarkEnd w:id="4717"/>
      <w:bookmarkEnd w:id="4718"/>
      <w:bookmarkEnd w:id="4719"/>
      <w:bookmarkEnd w:id="4720"/>
      <w:bookmarkEnd w:id="4721"/>
      <w:bookmarkEnd w:id="4722"/>
    </w:p>
    <w:p w:rsidR="00F4654E" w:rsidRDefault="00F4654E">
      <w:pPr>
        <w:pStyle w:val="2"/>
      </w:pPr>
      <w:bookmarkStart w:id="4723" w:name="_Toc10731551"/>
      <w:bookmarkStart w:id="4724" w:name="_Toc11032364"/>
      <w:bookmarkStart w:id="4725" w:name="_Toc11138004"/>
      <w:bookmarkStart w:id="4726" w:name="_Toc11138422"/>
      <w:bookmarkStart w:id="4727" w:name="_Toc11138840"/>
      <w:bookmarkStart w:id="4728" w:name="_Toc11139258"/>
      <w:bookmarkStart w:id="4729" w:name="_Toc11139676"/>
      <w:bookmarkStart w:id="4730" w:name="_Toc11140094"/>
      <w:bookmarkStart w:id="4731" w:name="_Toc11140512"/>
      <w:bookmarkStart w:id="4732" w:name="_Toc11390616"/>
      <w:bookmarkStart w:id="4733" w:name="_Toc11937837"/>
      <w:r>
        <w:t>Самороковская Л.А., Анохин А.Б.</w:t>
      </w:r>
      <w:bookmarkEnd w:id="4723"/>
      <w:bookmarkEnd w:id="4724"/>
      <w:bookmarkEnd w:id="4725"/>
      <w:bookmarkEnd w:id="4726"/>
      <w:bookmarkEnd w:id="4727"/>
      <w:bookmarkEnd w:id="4728"/>
      <w:bookmarkEnd w:id="4729"/>
      <w:bookmarkEnd w:id="4730"/>
      <w:bookmarkEnd w:id="4731"/>
      <w:bookmarkEnd w:id="4732"/>
      <w:bookmarkEnd w:id="4733"/>
    </w:p>
    <w:p w:rsidR="00F4654E" w:rsidRDefault="00F4654E">
      <w:pPr>
        <w:pStyle w:val="a5"/>
      </w:pPr>
      <w:r>
        <w:t>Воронежский государственный аграрный университет им. К.Д. Глинки</w:t>
      </w:r>
    </w:p>
    <w:p w:rsidR="00F4654E" w:rsidRDefault="00F4654E">
      <w:pPr>
        <w:pStyle w:val="a6"/>
      </w:pPr>
      <w:r>
        <w:t>Наши исследования по изучению острой формы лучевой болезни осуществляли на  кроликах. В работе приведены средние данные по группе кроликов, получивших облучение в дозе 300 Р в сравнении с группой ко</w:t>
      </w:r>
      <w:r>
        <w:t>н</w:t>
      </w:r>
      <w:r>
        <w:t>троля (клинически здоровые кролики).</w:t>
      </w:r>
    </w:p>
    <w:p w:rsidR="00F4654E" w:rsidRDefault="00F4654E">
      <w:pPr>
        <w:pStyle w:val="a6"/>
      </w:pPr>
      <w:r>
        <w:t>В период первичных реакций организма на 2 день после облучения обнаружили изменения со стороны белой крови – нейтрофильный лейк</w:t>
      </w:r>
      <w:r>
        <w:t>о</w:t>
      </w:r>
      <w:r>
        <w:t>цитоз. Среднее количество лейкоцитов составило 25 тыс. в 1 мм</w:t>
      </w:r>
      <w:r>
        <w:rPr>
          <w:vertAlign w:val="superscript"/>
        </w:rPr>
        <w:t>3</w:t>
      </w:r>
      <w:r>
        <w:t xml:space="preserve"> крови, тогда как в группе контроля 7,5 тыс. лейкоцитов в 1 мм</w:t>
      </w:r>
      <w:r>
        <w:rPr>
          <w:vertAlign w:val="superscript"/>
        </w:rPr>
        <w:t>3</w:t>
      </w:r>
      <w:r>
        <w:t xml:space="preserve"> крови.</w:t>
      </w:r>
    </w:p>
    <w:p w:rsidR="00F4654E" w:rsidRDefault="00F4654E">
      <w:pPr>
        <w:pStyle w:val="a6"/>
      </w:pPr>
      <w:r>
        <w:t>Во второй (латентный) период, в течение 2,5 недель наблюдалось улучшение клинического состояния животных, но гематологические н</w:t>
      </w:r>
      <w:r>
        <w:t>а</w:t>
      </w:r>
      <w:r>
        <w:t>рушения нарастали. Развивалась лейкопения. Количество лейкоцитов уменьшилось до 2 тыс. в 1 мм</w:t>
      </w:r>
      <w:r>
        <w:rPr>
          <w:vertAlign w:val="superscript"/>
        </w:rPr>
        <w:t>3</w:t>
      </w:r>
      <w:r>
        <w:t>,</w:t>
      </w:r>
      <w:r>
        <w:rPr>
          <w:vertAlign w:val="superscript"/>
        </w:rPr>
        <w:t xml:space="preserve"> </w:t>
      </w:r>
      <w:r>
        <w:t xml:space="preserve"> снизилось и число эритроцитов до 2,6 млн. в 1 мм</w:t>
      </w:r>
      <w:r>
        <w:rPr>
          <w:vertAlign w:val="superscript"/>
        </w:rPr>
        <w:t>3</w:t>
      </w:r>
      <w:r>
        <w:t xml:space="preserve"> крови. В сравнении количество эритроцитов в контрольной группе составило в среднем 5,5 млн. в 1 мм</w:t>
      </w:r>
      <w:r>
        <w:rPr>
          <w:vertAlign w:val="superscript"/>
        </w:rPr>
        <w:t>3</w:t>
      </w:r>
      <w:r>
        <w:t xml:space="preserve"> крови. Отмечалась тромбоцитопения и ядерный сдвиг нейтрофилов вправо (преобладание зрелых форм).</w:t>
      </w:r>
    </w:p>
    <w:p w:rsidR="00F4654E" w:rsidRDefault="00F4654E">
      <w:pPr>
        <w:pStyle w:val="a6"/>
      </w:pPr>
      <w:r>
        <w:t>В третий период (разгар лучевой болезни) количество лейкоцитов уменьшилось до 180 в 1 мм</w:t>
      </w:r>
      <w:r>
        <w:rPr>
          <w:vertAlign w:val="superscript"/>
        </w:rPr>
        <w:t>3</w:t>
      </w:r>
      <w:r>
        <w:t xml:space="preserve"> крови и появились гиперсегментоз ядер, пр</w:t>
      </w:r>
      <w:r>
        <w:t>о</w:t>
      </w:r>
      <w:r>
        <w:t>топлазмы и токсическая зернистость в протоплазме нейтрофилов.  В крови появились эритробласты и мегалоциты.</w:t>
      </w:r>
    </w:p>
    <w:p w:rsidR="00F4654E" w:rsidRDefault="00F4654E">
      <w:pPr>
        <w:pStyle w:val="a6"/>
      </w:pPr>
      <w:r>
        <w:t>Спустя 1,5 месяца после облучения в крови подопытных кроликов у</w:t>
      </w:r>
      <w:r>
        <w:t>с</w:t>
      </w:r>
      <w:r>
        <w:t>тановили  увеличение количества эритроцитов до 3,7 млн. в 1 мм</w:t>
      </w:r>
      <w:r>
        <w:rPr>
          <w:vertAlign w:val="superscript"/>
        </w:rPr>
        <w:t>3</w:t>
      </w:r>
      <w:r>
        <w:t xml:space="preserve"> крови и слабое нарастание числа лейкоцитов до 1,3 тыс. в 1 мм</w:t>
      </w:r>
      <w:r>
        <w:rPr>
          <w:vertAlign w:val="superscript"/>
        </w:rPr>
        <w:t>3</w:t>
      </w:r>
      <w:r>
        <w:t xml:space="preserve"> крови.</w:t>
      </w:r>
    </w:p>
    <w:p w:rsidR="00F4654E" w:rsidRDefault="00F4654E">
      <w:pPr>
        <w:pStyle w:val="a6"/>
      </w:pPr>
      <w:r>
        <w:t>Таким образом, при облучении кроликов в дозе 300 Р происходят гл</w:t>
      </w:r>
      <w:r>
        <w:t>у</w:t>
      </w:r>
      <w:r>
        <w:t>бокие нарушения гемопоэза и общего состояния животных.</w:t>
      </w:r>
    </w:p>
    <w:p w:rsidR="00F4654E" w:rsidRDefault="00F4654E">
      <w:pPr>
        <w:pStyle w:val="a4"/>
      </w:pPr>
      <w:r>
        <w:t>УДК 619:612.015.3:616.36:636.22/.28</w:t>
      </w:r>
    </w:p>
    <w:p w:rsidR="00F4654E" w:rsidRDefault="00F4654E">
      <w:pPr>
        <w:pStyle w:val="1"/>
      </w:pPr>
      <w:bookmarkStart w:id="4734" w:name="_Toc10731598"/>
      <w:bookmarkStart w:id="4735" w:name="_Toc11138005"/>
      <w:bookmarkStart w:id="4736" w:name="_Toc11138423"/>
      <w:bookmarkStart w:id="4737" w:name="_Toc11138841"/>
      <w:bookmarkStart w:id="4738" w:name="_Toc11139259"/>
      <w:bookmarkStart w:id="4739" w:name="_Toc11139677"/>
      <w:bookmarkStart w:id="4740" w:name="_Toc11140095"/>
      <w:bookmarkStart w:id="4741" w:name="_Toc11140513"/>
      <w:bookmarkStart w:id="4742" w:name="_Toc11390617"/>
      <w:bookmarkStart w:id="4743" w:name="_Toc11840302"/>
      <w:bookmarkStart w:id="4744" w:name="_Toc11937838"/>
      <w:r>
        <w:t>НЕКОТОРЫЕ БИОХИМИЧЕСКИЕ ПОКАЗАТЕЛИ ПЕРЕХОДА ОРГАНИЗМА КОРОВ И ТЕЛЯТ ИЗ НОРМАЛЬНОГО СОСТОЯНИЯ В ПАТОЛОГИЧЕСКОЕ</w:t>
      </w:r>
      <w:bookmarkEnd w:id="4734"/>
      <w:bookmarkEnd w:id="4735"/>
      <w:bookmarkEnd w:id="4736"/>
      <w:bookmarkEnd w:id="4737"/>
      <w:bookmarkEnd w:id="4738"/>
      <w:bookmarkEnd w:id="4739"/>
      <w:bookmarkEnd w:id="4740"/>
      <w:bookmarkEnd w:id="4741"/>
      <w:bookmarkEnd w:id="4742"/>
      <w:bookmarkEnd w:id="4743"/>
      <w:bookmarkEnd w:id="4744"/>
    </w:p>
    <w:p w:rsidR="00F4654E" w:rsidRDefault="00F4654E">
      <w:pPr>
        <w:pStyle w:val="2"/>
      </w:pPr>
      <w:bookmarkStart w:id="4745" w:name="_Toc10731599"/>
      <w:bookmarkStart w:id="4746" w:name="_Toc11032365"/>
      <w:bookmarkStart w:id="4747" w:name="_Toc11138006"/>
      <w:bookmarkStart w:id="4748" w:name="_Toc11138424"/>
      <w:bookmarkStart w:id="4749" w:name="_Toc11138842"/>
      <w:bookmarkStart w:id="4750" w:name="_Toc11139260"/>
      <w:bookmarkStart w:id="4751" w:name="_Toc11139678"/>
      <w:bookmarkStart w:id="4752" w:name="_Toc11140096"/>
      <w:bookmarkStart w:id="4753" w:name="_Toc11140514"/>
      <w:bookmarkStart w:id="4754" w:name="_Toc11390618"/>
      <w:bookmarkStart w:id="4755" w:name="_Toc11937839"/>
      <w:r>
        <w:t>Самотин А.М.</w:t>
      </w:r>
      <w:bookmarkEnd w:id="4745"/>
      <w:bookmarkEnd w:id="4746"/>
      <w:bookmarkEnd w:id="4747"/>
      <w:bookmarkEnd w:id="4748"/>
      <w:bookmarkEnd w:id="4749"/>
      <w:bookmarkEnd w:id="4750"/>
      <w:bookmarkEnd w:id="4751"/>
      <w:bookmarkEnd w:id="4752"/>
      <w:bookmarkEnd w:id="4753"/>
      <w:bookmarkEnd w:id="4754"/>
      <w:bookmarkEnd w:id="4755"/>
    </w:p>
    <w:p w:rsidR="00F4654E" w:rsidRDefault="00F4654E">
      <w:pPr>
        <w:pStyle w:val="a5"/>
      </w:pPr>
      <w:r>
        <w:t xml:space="preserve"> Всероссийский НИВИ патологии, фармакологии и терапии </w:t>
      </w:r>
    </w:p>
    <w:p w:rsidR="00F4654E" w:rsidRDefault="00F4654E">
      <w:pPr>
        <w:pStyle w:val="a6"/>
      </w:pPr>
      <w:r>
        <w:t>Развитие патологических процессов в организме происходит по ген</w:t>
      </w:r>
      <w:r>
        <w:t>е</w:t>
      </w:r>
      <w:r>
        <w:t>тически обусловленным схемам, в зависимости от силы воздействия н</w:t>
      </w:r>
      <w:r>
        <w:t>е</w:t>
      </w:r>
      <w:r>
        <w:t>благоприятного фактора (Бузлама В.С. с соавт., 1987; Шабунин С.В., 1987).</w:t>
      </w:r>
    </w:p>
    <w:p w:rsidR="00F4654E" w:rsidRDefault="00F4654E">
      <w:pPr>
        <w:pStyle w:val="a6"/>
      </w:pPr>
      <w:r>
        <w:t>Проведены исследования 500 проб крови коров в период  1-56 дней до и после отела. Исследовано 50 проб крови бычков на выращивании.</w:t>
      </w:r>
    </w:p>
    <w:p w:rsidR="00F4654E" w:rsidRDefault="00F4654E">
      <w:pPr>
        <w:pStyle w:val="a6"/>
      </w:pPr>
      <w:r>
        <w:lastRenderedPageBreak/>
        <w:t>По результатам исследований  в зависимости от заболеваемости коров гинекологическими болезнями и заболеваемости полученных от них телят животные были разделены на группы. Телята 4-х месячного возраста были распределены на 3 группы, в зависимости от степени выраженности ди</w:t>
      </w:r>
      <w:r>
        <w:t>с</w:t>
      </w:r>
      <w:r>
        <w:t>трофических изменений.</w:t>
      </w:r>
    </w:p>
    <w:p w:rsidR="00F4654E" w:rsidRDefault="00F4654E">
      <w:pPr>
        <w:pStyle w:val="a6"/>
      </w:pPr>
      <w:r>
        <w:t>В результате проведенных исследований установлено, что за счет происходящей в организме гормональной перестройки (Власов С.А., 2000) начиная с 6-8 дня до отела у коров за счет мобилизации энергетических р</w:t>
      </w:r>
      <w:r>
        <w:t>е</w:t>
      </w:r>
      <w:r>
        <w:t>сурсов происходит снижение щелочного резерва на 6,7% (с 45,79</w:t>
      </w:r>
      <w:r>
        <w:sym w:font="Symbol" w:char="F0B1"/>
      </w:r>
      <w:r>
        <w:t>1,27Об% СО</w:t>
      </w:r>
      <w:r>
        <w:rPr>
          <w:sz w:val="16"/>
        </w:rPr>
        <w:t>2</w:t>
      </w:r>
      <w:r>
        <w:t xml:space="preserve"> до 42,42</w:t>
      </w:r>
      <w:r>
        <w:sym w:font="Symbol" w:char="F0B1"/>
      </w:r>
      <w:r>
        <w:t>0,597 Об% СО</w:t>
      </w:r>
      <w:r>
        <w:rPr>
          <w:sz w:val="16"/>
        </w:rPr>
        <w:t>2</w:t>
      </w:r>
      <w:r>
        <w:t>) и это состояние продолжается до отела. П</w:t>
      </w:r>
      <w:r>
        <w:t>о</w:t>
      </w:r>
      <w:r>
        <w:t>сле отела нормальное состояние щелочного резерва восстанавливается к 7-10 дню (47,78</w:t>
      </w:r>
      <w:r>
        <w:sym w:font="Symbol" w:char="F0B1"/>
      </w:r>
      <w:r>
        <w:t>3,635 Об% СО</w:t>
      </w:r>
      <w:r>
        <w:rPr>
          <w:sz w:val="16"/>
        </w:rPr>
        <w:t>2</w:t>
      </w:r>
      <w:r>
        <w:t>).</w:t>
      </w:r>
    </w:p>
    <w:p w:rsidR="00F4654E" w:rsidRDefault="00F4654E">
      <w:pPr>
        <w:pStyle w:val="a6"/>
      </w:pPr>
      <w:r>
        <w:t>Изменение щелочного резерва у здоровых коров происходит более резко за 7-10 дней до отела, очевидно за счет более быстрой и эффекти</w:t>
      </w:r>
      <w:r>
        <w:t>в</w:t>
      </w:r>
      <w:r>
        <w:t>ной перестройки гормонального статуса организма. У коров, имеющих в дальнейшем гинекологическую патологию,  эти изменения происходят м</w:t>
      </w:r>
      <w:r>
        <w:t>е</w:t>
      </w:r>
      <w:r>
        <w:t>нее энергично, и, за день до отела, разница составляет 5,7% .</w:t>
      </w:r>
    </w:p>
    <w:p w:rsidR="00F4654E" w:rsidRDefault="00F4654E">
      <w:pPr>
        <w:pStyle w:val="a6"/>
      </w:pPr>
      <w:r>
        <w:t>При анализе изменений  сулемовой пробы  у здоровых коров до и п</w:t>
      </w:r>
      <w:r>
        <w:t>о</w:t>
      </w:r>
      <w:r>
        <w:t>сле отела установлено, что уже за 10-20 дней до отела происходит оптим</w:t>
      </w:r>
      <w:r>
        <w:t>и</w:t>
      </w:r>
      <w:r>
        <w:t>зация показателей. Это состояние удерживается до самого отела, а затем снижается на 7-9 день после отела на 16,8% с 1,53 мл до 1,31 мл, что об</w:t>
      </w:r>
      <w:r>
        <w:t>ъ</w:t>
      </w:r>
      <w:r>
        <w:t>ясняется перестройкой организма, мобилизацией белково-синтезирующей функции печени за счет альбуминовой фракции и необходимостью по</w:t>
      </w:r>
      <w:r>
        <w:t>д</w:t>
      </w:r>
      <w:r>
        <w:t>держивать в период родов оптимальное коллоидное состояние крови и н</w:t>
      </w:r>
      <w:r>
        <w:t>а</w:t>
      </w:r>
      <w:r>
        <w:t>рушением этого состояния после отела при  нарушенной функции печени.</w:t>
      </w:r>
    </w:p>
    <w:p w:rsidR="00F4654E" w:rsidRDefault="00F4654E">
      <w:pPr>
        <w:pStyle w:val="a6"/>
      </w:pPr>
      <w:r>
        <w:t>У заболевших после отела коров острой субинволюцией матки (ОСМ) подобной мобилизации не происходит. В отличие от здоровых у них сн</w:t>
      </w:r>
      <w:r>
        <w:t>и</w:t>
      </w:r>
      <w:r>
        <w:t>жается уровень показателей сулемовой пробы на 12,8%, что указывает на низкий уровень гормональной перестройки организма у коров перед б</w:t>
      </w:r>
      <w:r>
        <w:t>о</w:t>
      </w:r>
      <w:r>
        <w:t>лезнью и наличия печеночно-клеточной недостаточности у коров в период подготовки к родам и определяет необходимость корректировки этого с</w:t>
      </w:r>
      <w:r>
        <w:t>о</w:t>
      </w:r>
      <w:r>
        <w:t>стояния с помощью гепатотропных препаратов.</w:t>
      </w:r>
    </w:p>
    <w:p w:rsidR="00F4654E" w:rsidRDefault="00F4654E">
      <w:pPr>
        <w:pStyle w:val="a6"/>
      </w:pPr>
      <w:r>
        <w:t>При анализе изменений в крови коров содержания сиаловых кислот, указывающих на уровень неспецифической резистентности организма и состояние синтетических процессов в печени, следует отметить, что до отела за счет мобилизации энергетических ресурсов и перестройки орг</w:t>
      </w:r>
      <w:r>
        <w:t>а</w:t>
      </w:r>
      <w:r>
        <w:t>низма с 7-9 дня происходит снижение их содержания с 54,99</w:t>
      </w:r>
      <w:r>
        <w:sym w:font="Symbol" w:char="F0B1"/>
      </w:r>
      <w:r>
        <w:t>2,633 мг% до 43,14</w:t>
      </w:r>
      <w:r>
        <w:sym w:font="Symbol" w:char="F0B1"/>
      </w:r>
      <w:r>
        <w:t>0,948 мг%, что составляет 27,5%. После отела этот уровень восст</w:t>
      </w:r>
      <w:r>
        <w:t>а</w:t>
      </w:r>
      <w:r>
        <w:t>навливается на 7-9 день до прежних величин (52,72</w:t>
      </w:r>
      <w:r>
        <w:sym w:font="Symbol" w:char="F0B1"/>
      </w:r>
      <w:r>
        <w:t>3б458 мг%). И после начала активной лактации с 10-14 дня опять начинает снижаться и указ</w:t>
      </w:r>
      <w:r>
        <w:t>ы</w:t>
      </w:r>
      <w:r>
        <w:t>вает на низкий уровень резистентности организма коров в выше указанные периоды 7-9 дней до отела и весь период после отела до 35-60 дня.</w:t>
      </w:r>
    </w:p>
    <w:p w:rsidR="00F4654E" w:rsidRDefault="00F4654E">
      <w:pPr>
        <w:pStyle w:val="a6"/>
      </w:pPr>
      <w:r>
        <w:lastRenderedPageBreak/>
        <w:t>При анализе изменений уровня сиаловых кислот у коров, заболевших послеродовыми болезнями и здоровых коров установлено, что перед род</w:t>
      </w:r>
      <w:r>
        <w:t>а</w:t>
      </w:r>
      <w:r>
        <w:t>ми уровень сиаловых кислот находится на одинаковом уровне (42,0-43,14), однако у больных коров снижение этого показателя с 6-8 дня до родов происходит более резко, чем у здоровых коров, что указывает на наруш</w:t>
      </w:r>
      <w:r>
        <w:t>е</w:t>
      </w:r>
      <w:r>
        <w:t>ние регуляторных процессов гомеостаза в организме заболевших в дал</w:t>
      </w:r>
      <w:r>
        <w:t>ь</w:t>
      </w:r>
      <w:r>
        <w:t>нейшем коров (Рейнтам Э.А., Куусксалу В.Г., 1977).</w:t>
      </w:r>
    </w:p>
    <w:p w:rsidR="00F4654E" w:rsidRDefault="00F4654E">
      <w:pPr>
        <w:pStyle w:val="a6"/>
      </w:pPr>
      <w:r>
        <w:t>При анализе изученных нами показателей щелочного резерва, сулем</w:t>
      </w:r>
      <w:r>
        <w:t>о</w:t>
      </w:r>
      <w:r>
        <w:t>вой пробы и содержания сиаловых кислот в зависимости от тяжести теч</w:t>
      </w:r>
      <w:r>
        <w:t>е</w:t>
      </w:r>
      <w:r>
        <w:t>ния болезни у новорожденных телят отмечена следующая закономерность. При легкой степени течения болезни отклонения в изучаемых показателях от нормы в организме коров перед отелом в среднем составляют 12%. При средней и тяжелой степени течения болезни эти отклонения  составляют 20-30%. Сиаловые кислоты и сулемовая проба указывают на усиление си</w:t>
      </w:r>
      <w:r>
        <w:t>н</w:t>
      </w:r>
      <w:r>
        <w:t>тетических процессов в организме телят при тяжелой степени течения б</w:t>
      </w:r>
      <w:r>
        <w:t>о</w:t>
      </w:r>
      <w:r>
        <w:t>лезни, а снижение щелочного резерва у этих животных связано, очевидно, с  мобилизацией энергетических ресурсов организма (Шабунин С.В., 1987) за счет усиления гликолиза, мобилизации жировых депо и накопления в организме вызывающих ацидоз продуктов обмена – молочной, пировин</w:t>
      </w:r>
      <w:r>
        <w:t>о</w:t>
      </w:r>
      <w:r>
        <w:t>градной  и других кислот.</w:t>
      </w:r>
    </w:p>
    <w:p w:rsidR="00F4654E" w:rsidRDefault="00F4654E">
      <w:pPr>
        <w:pStyle w:val="a6"/>
      </w:pPr>
      <w:r>
        <w:t>Установлено, что у коров, как лактирующих, так и стельных, соде</w:t>
      </w:r>
      <w:r>
        <w:t>р</w:t>
      </w:r>
      <w:r>
        <w:t>жащихся на несбалансированных по микро- и макроэлементам рационах количество животных с нарушенной функцией печени и жирового обмена увеличивается с 55% до 92% и с 33% до 75% соответственно.</w:t>
      </w:r>
    </w:p>
    <w:p w:rsidR="00F4654E" w:rsidRDefault="00F4654E">
      <w:pPr>
        <w:pStyle w:val="a6"/>
      </w:pPr>
      <w:r>
        <w:t>При изучении биохимического статуса бычков в хозяйстве, стаци</w:t>
      </w:r>
      <w:r>
        <w:t>о</w:t>
      </w:r>
      <w:r>
        <w:t>нарно неблагополучном по циррозу, установлено, что у 50% животных о</w:t>
      </w:r>
      <w:r>
        <w:t>т</w:t>
      </w:r>
      <w:r>
        <w:t>мечена анемия, у 95% - нарушение коллоидного состояния сыворотки кр</w:t>
      </w:r>
      <w:r>
        <w:t>о</w:t>
      </w:r>
      <w:r>
        <w:t xml:space="preserve">ви, у 100% - диспротеинемия (снижение альбуминовой, </w:t>
      </w:r>
      <w:r>
        <w:sym w:font="Symbol" w:char="F067"/>
      </w:r>
      <w:r>
        <w:t xml:space="preserve">-глобулиновой фракций – у 32%, увеличение содержания </w:t>
      </w:r>
      <w:r>
        <w:sym w:font="Symbol" w:char="F061"/>
      </w:r>
      <w:r>
        <w:t xml:space="preserve">- и </w:t>
      </w:r>
      <w:r>
        <w:sym w:font="Symbol" w:char="F062"/>
      </w:r>
      <w:r>
        <w:t>-глобулинов. Аутоимму</w:t>
      </w:r>
      <w:r>
        <w:t>н</w:t>
      </w:r>
      <w:r>
        <w:t xml:space="preserve">ные нарушения (повышение количества антител к печеночным клеткам в титрах 1:50 и выше) отмечены у 15% животных, повышенное количество циркулирующих иммунных комплексов – у 24%. </w:t>
      </w:r>
    </w:p>
    <w:p w:rsidR="00F4654E" w:rsidRDefault="00F4654E">
      <w:pPr>
        <w:pStyle w:val="a6"/>
      </w:pPr>
      <w:r>
        <w:t>При обследовании животных с сильной степенью дистрофии, разд</w:t>
      </w:r>
      <w:r>
        <w:t>е</w:t>
      </w:r>
      <w:r>
        <w:t>ленных по клиническому состоянию, аппетиту на больных, условно здор</w:t>
      </w:r>
      <w:r>
        <w:t>о</w:t>
      </w:r>
      <w:r>
        <w:t>вых и здоровых бычков 4 месячного возраста установлено, что у здоровых животных коэффициент Фишера составляет 2,26</w:t>
      </w:r>
      <w:r>
        <w:sym w:font="Symbol" w:char="F0B1"/>
      </w:r>
      <w:r>
        <w:t>0,012 и выше, у условно здоровых - 1,71</w:t>
      </w:r>
      <w:r>
        <w:sym w:font="Symbol" w:char="F0B1"/>
      </w:r>
      <w:r>
        <w:t>0,23, у больных - 1,67</w:t>
      </w:r>
      <w:r>
        <w:sym w:font="Symbol" w:char="F0B1"/>
      </w:r>
      <w:r>
        <w:t>0,18. Соотношение незаменимых и заменимых аминокислот в крови  у  условно здоровых  животных соста</w:t>
      </w:r>
      <w:r>
        <w:t>в</w:t>
      </w:r>
      <w:r>
        <w:t>ляет  0,67</w:t>
      </w:r>
      <w:r>
        <w:sym w:font="Symbol" w:char="F0B1"/>
      </w:r>
      <w:r>
        <w:t>0,06, у больных - 0,65</w:t>
      </w:r>
      <w:r>
        <w:sym w:font="Symbol" w:char="F0B1"/>
      </w:r>
      <w:r>
        <w:t>0,07, у здоровых – 0,89. Количество з</w:t>
      </w:r>
      <w:r>
        <w:t>а</w:t>
      </w:r>
      <w:r>
        <w:t>менимых аминокислот увеличивается с 991,5</w:t>
      </w:r>
      <w:r>
        <w:sym w:font="Symbol" w:char="F0B1"/>
      </w:r>
      <w:r>
        <w:t>67,49 - у здоровых до 1021,39</w:t>
      </w:r>
      <w:r>
        <w:sym w:font="Symbol" w:char="F0B1"/>
      </w:r>
      <w:r>
        <w:t>102,1 - 1122,27</w:t>
      </w:r>
      <w:r>
        <w:sym w:font="Symbol" w:char="F0B1"/>
      </w:r>
      <w:r>
        <w:t>78,99 у больных и условно здоровых телят.</w:t>
      </w:r>
    </w:p>
    <w:p w:rsidR="00F4654E" w:rsidRDefault="00F4654E">
      <w:pPr>
        <w:pStyle w:val="a6"/>
      </w:pPr>
      <w:r>
        <w:lastRenderedPageBreak/>
        <w:t xml:space="preserve">У больных телят на фоне резкого снижения мясной продуктивности отмечено снижение </w:t>
      </w:r>
      <w:r>
        <w:sym w:font="Symbol" w:char="F062"/>
      </w:r>
      <w:r>
        <w:t>-липопротеидов до 49,76</w:t>
      </w:r>
      <w:r>
        <w:sym w:font="Symbol" w:char="F0B1"/>
      </w:r>
      <w:r>
        <w:t>2,22 мг% против 63,7</w:t>
      </w:r>
      <w:r>
        <w:sym w:font="Symbol" w:char="F0B1"/>
      </w:r>
      <w:r>
        <w:t xml:space="preserve"> 3,11 мг% у здоровых (Р</w:t>
      </w:r>
      <w:r>
        <w:sym w:font="Symbol" w:char="F03C"/>
      </w:r>
      <w:r>
        <w:t>0,001), повышение билирубина до 0,56</w:t>
      </w:r>
      <w:r>
        <w:sym w:font="Symbol" w:char="F0B1"/>
      </w:r>
      <w:r>
        <w:t>0,02 мг% пр</w:t>
      </w:r>
      <w:r>
        <w:t>о</w:t>
      </w:r>
      <w:r>
        <w:t>тив 0,40</w:t>
      </w:r>
      <w:r>
        <w:sym w:font="Symbol" w:char="F0B1"/>
      </w:r>
      <w:r>
        <w:t>0,02 мг% у условно здоровых и здоровых.</w:t>
      </w:r>
    </w:p>
    <w:p w:rsidR="00F4654E" w:rsidRDefault="00F4654E">
      <w:pPr>
        <w:pStyle w:val="a6"/>
      </w:pPr>
      <w:r>
        <w:t>При сравнении  микроминерального состава волос 10-ти дневных т</w:t>
      </w:r>
      <w:r>
        <w:t>е</w:t>
      </w:r>
      <w:r>
        <w:t>лят, на 30-том и 90-том дне в хозяйстве с селеновой и микроминеральной недостаточностью, со стационарным неблагополучием по циррозу, уст</w:t>
      </w:r>
      <w:r>
        <w:t>а</w:t>
      </w:r>
      <w:r>
        <w:t>новлено, что содержание цинка  в волосах этих телят снижается с 129,47 мг/кг до 95,29 мг/кг через месяц и до 41,8 мг/ кг через 5 месяцев после р</w:t>
      </w:r>
      <w:r>
        <w:t>о</w:t>
      </w:r>
      <w:r>
        <w:t>ждения.</w:t>
      </w:r>
    </w:p>
    <w:p w:rsidR="00F4654E" w:rsidRDefault="00F4654E">
      <w:pPr>
        <w:pStyle w:val="a6"/>
      </w:pPr>
      <w:r>
        <w:t>На основе результатов проведенных исследований, следует закл</w:t>
      </w:r>
      <w:r>
        <w:t>ю</w:t>
      </w:r>
      <w:r>
        <w:t xml:space="preserve">чить, что у животных, склонных к развитию патологии, в частности ОСМ у коров, гепатоза и цирроза у телят, отмечают глубокие нарушения обмена веществ. При введении выше изученных биохимических показателей в программу предварительного контроля за состоянием обмена веществ можно прогнозировать развитие предполагаемой патологии.  </w:t>
      </w:r>
    </w:p>
    <w:p w:rsidR="00F4654E" w:rsidRDefault="00F4654E">
      <w:pPr>
        <w:pStyle w:val="a4"/>
      </w:pPr>
      <w:r>
        <w:t>УДК 619:618.14-084:636.22/.28.087.72</w:t>
      </w:r>
    </w:p>
    <w:p w:rsidR="00F4654E" w:rsidRDefault="00F4654E">
      <w:pPr>
        <w:pStyle w:val="1"/>
      </w:pPr>
      <w:bookmarkStart w:id="4756" w:name="_Toc11138007"/>
      <w:bookmarkStart w:id="4757" w:name="_Toc11138425"/>
      <w:bookmarkStart w:id="4758" w:name="_Toc11138843"/>
      <w:bookmarkStart w:id="4759" w:name="_Toc11139261"/>
      <w:bookmarkStart w:id="4760" w:name="_Toc11139679"/>
      <w:bookmarkStart w:id="4761" w:name="_Toc11140097"/>
      <w:bookmarkStart w:id="4762" w:name="_Toc11140515"/>
      <w:bookmarkStart w:id="4763" w:name="_Toc11390619"/>
      <w:bookmarkStart w:id="4764" w:name="_Toc11840304"/>
      <w:bookmarkStart w:id="4765" w:name="_Toc11937840"/>
      <w:r>
        <w:t>ПРИМЕНЕНИЕ ВИТАМИННО-МИНЕРАЛЬНОГО ПРЕМИКСА ДЛЯ ПРОФИЛАКТИКИ СУБИНВОЛЮЦИИ МАТКИ У КОРОВ</w:t>
      </w:r>
      <w:bookmarkEnd w:id="4756"/>
      <w:bookmarkEnd w:id="4757"/>
      <w:bookmarkEnd w:id="4758"/>
      <w:bookmarkEnd w:id="4759"/>
      <w:bookmarkEnd w:id="4760"/>
      <w:bookmarkEnd w:id="4761"/>
      <w:bookmarkEnd w:id="4762"/>
      <w:bookmarkEnd w:id="4763"/>
      <w:bookmarkEnd w:id="4764"/>
      <w:bookmarkEnd w:id="4765"/>
    </w:p>
    <w:p w:rsidR="00F4654E" w:rsidRDefault="00F4654E">
      <w:pPr>
        <w:pStyle w:val="2"/>
      </w:pPr>
      <w:bookmarkStart w:id="4766" w:name="_Toc11032367"/>
      <w:bookmarkStart w:id="4767" w:name="_Toc11138008"/>
      <w:bookmarkStart w:id="4768" w:name="_Toc11138426"/>
      <w:bookmarkStart w:id="4769" w:name="_Toc11138844"/>
      <w:bookmarkStart w:id="4770" w:name="_Toc11139262"/>
      <w:bookmarkStart w:id="4771" w:name="_Toc11139680"/>
      <w:bookmarkStart w:id="4772" w:name="_Toc11140098"/>
      <w:bookmarkStart w:id="4773" w:name="_Toc11140516"/>
      <w:bookmarkStart w:id="4774" w:name="_Toc11390620"/>
      <w:bookmarkStart w:id="4775" w:name="_Toc11937841"/>
      <w:r>
        <w:t>Самохин В.Т.,  Шушлебин В.И.,  Коцарев В.Н.,  Михалев В.И.,</w:t>
      </w:r>
      <w:r>
        <w:br/>
        <w:t>Сотников А.А., Ермакова Н. В., Кочура М.Н.</w:t>
      </w:r>
      <w:bookmarkEnd w:id="4766"/>
      <w:bookmarkEnd w:id="4767"/>
      <w:bookmarkEnd w:id="4768"/>
      <w:bookmarkEnd w:id="4769"/>
      <w:bookmarkEnd w:id="4770"/>
      <w:bookmarkEnd w:id="4771"/>
      <w:bookmarkEnd w:id="4772"/>
      <w:bookmarkEnd w:id="4773"/>
      <w:bookmarkEnd w:id="4774"/>
      <w:bookmarkEnd w:id="4775"/>
    </w:p>
    <w:p w:rsidR="00F4654E" w:rsidRDefault="00F4654E">
      <w:pPr>
        <w:pStyle w:val="a5"/>
      </w:pPr>
      <w:r>
        <w:t>Всероссийский НИВИ патологии, фармакологии и терапии</w:t>
      </w:r>
    </w:p>
    <w:p w:rsidR="00F4654E" w:rsidRDefault="00F4654E">
      <w:pPr>
        <w:pStyle w:val="a6"/>
      </w:pPr>
      <w:r>
        <w:t>Большое значение в системе мероприятий по профилактике родовых и послеродовых заболеваний имеет обеспечение нормального течения обм</w:t>
      </w:r>
      <w:r>
        <w:t>е</w:t>
      </w:r>
      <w:r>
        <w:t>на веществ у животных. По литературным данным устранение витаминно-минеральной недостаточности в организме коров способствует снижению заболеваемости в послеродовый период, ускорению инволюционных пр</w:t>
      </w:r>
      <w:r>
        <w:t>о</w:t>
      </w:r>
      <w:r>
        <w:t>цессов и т.д. (А.А. Ковальчук, 1977; А.Г. Нежданов, 1982; К.Д. Валюшкин, 1988; Т.Е. Григорьева, 1994; А.Г.Нежданов, В.Д. Мисайлов, 1996).</w:t>
      </w:r>
    </w:p>
    <w:p w:rsidR="00F4654E" w:rsidRDefault="00F4654E">
      <w:pPr>
        <w:pStyle w:val="a6"/>
      </w:pPr>
      <w:r>
        <w:t>Исследования по применению витаминно-минерального премикса для профилактики субинволюции матки проведены на коровах ОПХ ВНИИСС Рамонского района Воронежской области. Перед дачей премикса задерж</w:t>
      </w:r>
      <w:r>
        <w:t>а</w:t>
      </w:r>
      <w:r>
        <w:t>ние последа регистрировалось у 24,7% животных, острая субинволюция матки (4-8 день послеродового периода) – у 46,3%, острый послеродовой гнойно-катаральный эндометрит (7-12 день послеродового периода) – у  29,5%, под-острая субинволюция матки (2-3 недели после отелов) – у 31,9% коров.</w:t>
      </w:r>
    </w:p>
    <w:p w:rsidR="00F4654E" w:rsidRDefault="00F4654E">
      <w:pPr>
        <w:pStyle w:val="a6"/>
      </w:pPr>
      <w:r>
        <w:t>Для нормализации обмена веществ и профилактики родовых и посл</w:t>
      </w:r>
      <w:r>
        <w:t>е</w:t>
      </w:r>
      <w:r>
        <w:t>родовых заболеваний в рацион коров был введен витаминно-минеральный премикс, содержащий сернокислую медь, цинк, железо, марганец, хлор</w:t>
      </w:r>
      <w:r>
        <w:t>и</w:t>
      </w:r>
      <w:r>
        <w:t xml:space="preserve">стый кобальт, йодистый калий, витамин А и </w:t>
      </w:r>
      <w:r>
        <w:rPr>
          <w:lang w:val="en-US"/>
        </w:rPr>
        <w:t>D</w:t>
      </w:r>
      <w:r>
        <w:t>, а также использована м</w:t>
      </w:r>
      <w:r>
        <w:t>и</w:t>
      </w:r>
      <w:r>
        <w:lastRenderedPageBreak/>
        <w:t>неральная добавка в виде трикальцийфосфата. Кроме того, коровам по</w:t>
      </w:r>
      <w:r>
        <w:t>д</w:t>
      </w:r>
      <w:r>
        <w:t>кожно вводился 0,5% раствор селенита натрия в дозе 2 мл/100 кг массы т</w:t>
      </w:r>
      <w:r>
        <w:t>е</w:t>
      </w:r>
      <w:r>
        <w:t>ла для нормализации функциональных расстройств печени, предупрежд</w:t>
      </w:r>
      <w:r>
        <w:t>е</w:t>
      </w:r>
      <w:r>
        <w:t>ния накопления то</w:t>
      </w:r>
      <w:r>
        <w:t>к</w:t>
      </w:r>
      <w:r>
        <w:t>сических продуктов перекисного окисления липидов (ПОЛ) и повышения активности системы антиоксидантной защиты орг</w:t>
      </w:r>
      <w:r>
        <w:t>а</w:t>
      </w:r>
      <w:r>
        <w:t>низма.</w:t>
      </w:r>
    </w:p>
    <w:p w:rsidR="00F4654E" w:rsidRDefault="00F4654E">
      <w:pPr>
        <w:pStyle w:val="a6"/>
      </w:pPr>
      <w:r>
        <w:t>Через месяц после назначения премикса от коров в период сухостоя взяты пробы крови для морфологического и биохимического исследов</w:t>
      </w:r>
      <w:r>
        <w:t>а</w:t>
      </w:r>
      <w:r>
        <w:t>ния. Установлено, что в крови коров, получавших премикс  и минеральную добавку, в сравнении с животными не получавшими премикс, возросло с</w:t>
      </w:r>
      <w:r>
        <w:t>о</w:t>
      </w:r>
      <w:r>
        <w:t>держание гемоглобина на 5,3%, общего белка – на 5,6%, общих липидов – на 51,1%, глюкозы – на 79,9%, кальция – на 10,2%, меди – на 36,1%, ма</w:t>
      </w:r>
      <w:r>
        <w:t>р</w:t>
      </w:r>
      <w:r>
        <w:t>ганца – на 12,3%, цинка – на 16,9%, железа – на 15,4%, СБЙ – на 22,5%, витамина Е – на 29,1%. При этом снизилась активность щелочной фосф</w:t>
      </w:r>
      <w:r>
        <w:t>а</w:t>
      </w:r>
      <w:r>
        <w:t>тазы на 27,1% и АсАТ и АлАТ соответственно на 17,4 и 25,3%.</w:t>
      </w:r>
    </w:p>
    <w:p w:rsidR="00F4654E" w:rsidRDefault="00F4654E">
      <w:pPr>
        <w:pStyle w:val="a6"/>
      </w:pPr>
      <w:r>
        <w:t>Назначение животным премикса, содержащего витамины и микроэл</w:t>
      </w:r>
      <w:r>
        <w:t>е</w:t>
      </w:r>
      <w:r>
        <w:t>менты, также привело к нормализации интенсивности процессов перокс</w:t>
      </w:r>
      <w:r>
        <w:t>и</w:t>
      </w:r>
      <w:r>
        <w:t>дации липидов и снижению накопления в организме его токсических пр</w:t>
      </w:r>
      <w:r>
        <w:t>о</w:t>
      </w:r>
      <w:r>
        <w:t>дуктов, в том числе малонового диальдегида на 23,3%. Кроме того, в крови у животных, получавших премикс, отмечено увеличение активности с</w:t>
      </w:r>
      <w:r>
        <w:t>у</w:t>
      </w:r>
      <w:r>
        <w:t>пероксиддисмутазы на 53,8 %, глутатионпероксидазы – на 86,7%, глутат</w:t>
      </w:r>
      <w:r>
        <w:t>и</w:t>
      </w:r>
      <w:r>
        <w:t>онредуктазы – на 37,3 %, содержания  витамина Е – на 29,1%, β-каротина – на 41,5% и общей антирадикальной активности плазмы крови – на 41,2 %.</w:t>
      </w:r>
    </w:p>
    <w:p w:rsidR="00F4654E" w:rsidRDefault="00F4654E">
      <w:pPr>
        <w:pStyle w:val="a6"/>
      </w:pPr>
      <w:r>
        <w:t>У коров, получавших премикс, отмечено уменьшение случаев заде</w:t>
      </w:r>
      <w:r>
        <w:t>р</w:t>
      </w:r>
      <w:r>
        <w:t>жания последа в 2,17 раза, острой субинволюции матки – в 1,89 раза, под</w:t>
      </w:r>
      <w:r>
        <w:t>о</w:t>
      </w:r>
      <w:r>
        <w:t>строй субинволюции матки в 1,74 раза и острого послеродового гнойно-катарального эндометрита – в 1,6 раза.</w:t>
      </w:r>
    </w:p>
    <w:p w:rsidR="00F4654E" w:rsidRDefault="00F4654E">
      <w:pPr>
        <w:pStyle w:val="a6"/>
      </w:pPr>
      <w:r>
        <w:t>Таким образом, после введения в рацион животным премикса, мин</w:t>
      </w:r>
      <w:r>
        <w:t>е</w:t>
      </w:r>
      <w:r>
        <w:t>ральной подкормки и обработки селенитом натрия в значительной мере устранялся дисбаланс в белковом, углеводном, минеральном обменах, п</w:t>
      </w:r>
      <w:r>
        <w:t>о</w:t>
      </w:r>
      <w:r>
        <w:t>вышался потенциал антиоксидантной системы и нормализовалось течение процессов пероксидации липидов, что проявилось в сокращении случаев задержания последа и послеродовых заболеваний у коров.</w:t>
      </w:r>
    </w:p>
    <w:p w:rsidR="00F4654E" w:rsidRDefault="00F4654E">
      <w:pPr>
        <w:pStyle w:val="a4"/>
      </w:pPr>
      <w:r>
        <w:t>УДК 619:615.83:617:636.1</w:t>
      </w:r>
    </w:p>
    <w:p w:rsidR="00F4654E" w:rsidRDefault="00F4654E">
      <w:pPr>
        <w:pStyle w:val="1"/>
      </w:pPr>
      <w:bookmarkStart w:id="4776" w:name="_Toc10731554"/>
      <w:bookmarkStart w:id="4777" w:name="_Toc11138011"/>
      <w:bookmarkStart w:id="4778" w:name="_Toc11138429"/>
      <w:bookmarkStart w:id="4779" w:name="_Toc11138847"/>
      <w:bookmarkStart w:id="4780" w:name="_Toc11139265"/>
      <w:bookmarkStart w:id="4781" w:name="_Toc11139683"/>
      <w:bookmarkStart w:id="4782" w:name="_Toc11140101"/>
      <w:bookmarkStart w:id="4783" w:name="_Toc11140519"/>
      <w:bookmarkStart w:id="4784" w:name="_Toc11390623"/>
      <w:bookmarkStart w:id="4785" w:name="_Toc11937842"/>
      <w:r>
        <w:t>ИСПОЛЬЗОВАНИЕ ФИЗИЧЕСКОЙ ЭНЕРГИИ ДЛЯ ЛЕЧЕНИЯ РАН РАЗЛИЧНОЙ ЭТИОЛОГИИ У ЛОШАДЕЙ</w:t>
      </w:r>
      <w:bookmarkEnd w:id="4776"/>
      <w:bookmarkEnd w:id="4777"/>
      <w:bookmarkEnd w:id="4778"/>
      <w:bookmarkEnd w:id="4779"/>
      <w:bookmarkEnd w:id="4780"/>
      <w:bookmarkEnd w:id="4781"/>
      <w:bookmarkEnd w:id="4782"/>
      <w:bookmarkEnd w:id="4783"/>
      <w:bookmarkEnd w:id="4784"/>
      <w:bookmarkEnd w:id="4785"/>
    </w:p>
    <w:p w:rsidR="00F4654E" w:rsidRDefault="00F4654E">
      <w:pPr>
        <w:pStyle w:val="2"/>
      </w:pPr>
      <w:bookmarkStart w:id="4786" w:name="_Toc10731555"/>
      <w:bookmarkStart w:id="4787" w:name="_Toc11032369"/>
      <w:bookmarkStart w:id="4788" w:name="_Toc11138012"/>
      <w:bookmarkStart w:id="4789" w:name="_Toc11138430"/>
      <w:bookmarkStart w:id="4790" w:name="_Toc11138848"/>
      <w:bookmarkStart w:id="4791" w:name="_Toc11139266"/>
      <w:bookmarkStart w:id="4792" w:name="_Toc11139684"/>
      <w:bookmarkStart w:id="4793" w:name="_Toc11140102"/>
      <w:bookmarkStart w:id="4794" w:name="_Toc11140520"/>
      <w:bookmarkStart w:id="4795" w:name="_Toc11390624"/>
      <w:bookmarkStart w:id="4796" w:name="_Toc11937843"/>
      <w:r>
        <w:t>Сапожков В.С., Черванёв В.А., Трояновская Л.П.</w:t>
      </w:r>
      <w:bookmarkEnd w:id="4786"/>
      <w:bookmarkEnd w:id="4787"/>
      <w:bookmarkEnd w:id="4788"/>
      <w:bookmarkEnd w:id="4789"/>
      <w:bookmarkEnd w:id="4790"/>
      <w:bookmarkEnd w:id="4791"/>
      <w:bookmarkEnd w:id="4792"/>
      <w:bookmarkEnd w:id="4793"/>
      <w:bookmarkEnd w:id="4794"/>
      <w:bookmarkEnd w:id="4795"/>
      <w:bookmarkEnd w:id="4796"/>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Для сокращения сроков лечения случайных ран различной этиологии у лошадей, нами с успехом применялся метод их терапии с помощью ква</w:t>
      </w:r>
      <w:r>
        <w:t>н</w:t>
      </w:r>
      <w:r>
        <w:t>товой энергии. Проведённые нами клинические исследования показали п</w:t>
      </w:r>
      <w:r>
        <w:t>о</w:t>
      </w:r>
      <w:r>
        <w:lastRenderedPageBreak/>
        <w:t>ложительное воздействие квантовой энергии на раневой процесс в сравн</w:t>
      </w:r>
      <w:r>
        <w:t>е</w:t>
      </w:r>
      <w:r>
        <w:t>нии с бальзамическим линиментом по А.В. Вишневскому.</w:t>
      </w:r>
    </w:p>
    <w:p w:rsidR="00F4654E" w:rsidRDefault="00F4654E">
      <w:pPr>
        <w:pStyle w:val="a6"/>
      </w:pPr>
      <w:r>
        <w:t>У 10 животных опытной группы мы применяли, в обе фазы раневого процесса, магнито</w:t>
      </w:r>
      <w:r>
        <w:sym w:font="Symbol" w:char="F02D"/>
      </w:r>
      <w:r>
        <w:t>инфракрасное излучение. Перед воздействием квант</w:t>
      </w:r>
      <w:r>
        <w:t>о</w:t>
      </w:r>
      <w:r>
        <w:t>вой энергией проводили полную первичную и вторичную обработку ран с ежедневным орошением поверхности ран раствором фурацилина (1:5000). Метод лечения осуществлялся путём сканирования раны с расстояния 0,5</w:t>
      </w:r>
      <w:r>
        <w:sym w:font="Symbol" w:char="F02D"/>
      </w:r>
      <w:r>
        <w:t>1 см от её поверхности с захватом краёв раны на 2</w:t>
      </w:r>
      <w:r>
        <w:sym w:font="Symbol" w:char="F02D"/>
      </w:r>
      <w:r>
        <w:t xml:space="preserve">3 см влево, вправо, вверх и вниз. Частота модуляции с 1 по 4 день лечения составляет 5 Гц,  с 5 по 15 день </w:t>
      </w:r>
      <w:r>
        <w:sym w:font="Symbol" w:char="F02D"/>
      </w:r>
      <w:r>
        <w:t xml:space="preserve"> 50 Гц, при экспозиции 5 минут на каждые 10 см</w:t>
      </w:r>
      <w:r>
        <w:rPr>
          <w:vertAlign w:val="superscript"/>
        </w:rPr>
        <w:t>2</w:t>
      </w:r>
      <w:r>
        <w:t xml:space="preserve"> поверхн</w:t>
      </w:r>
      <w:r>
        <w:t>о</w:t>
      </w:r>
      <w:r>
        <w:t>сти. Полное заживление ран происходит, в среднем, на 15</w:t>
      </w:r>
      <w:r>
        <w:sym w:font="Symbol" w:char="F02D"/>
      </w:r>
      <w:r>
        <w:t>22 день.</w:t>
      </w:r>
    </w:p>
    <w:p w:rsidR="00F4654E" w:rsidRDefault="00F4654E">
      <w:pPr>
        <w:pStyle w:val="a6"/>
      </w:pPr>
      <w:r>
        <w:t>У животных контрольной группы (n=10), во вторую фазу раневого процесса, использовали бальзамический линимент по А.В. Вишневскому.</w:t>
      </w:r>
    </w:p>
    <w:p w:rsidR="00F4654E" w:rsidRDefault="00F4654E">
      <w:pPr>
        <w:pStyle w:val="a6"/>
      </w:pPr>
      <w:r>
        <w:t>Результаты исследований показали, что использование квантовой энергии, вырабатываемой аппаратом «Витязь» уже на 5</w:t>
      </w:r>
      <w:r>
        <w:sym w:font="Symbol" w:char="F02D"/>
      </w:r>
      <w:r>
        <w:t>6 сутки после о</w:t>
      </w:r>
      <w:r>
        <w:t>б</w:t>
      </w:r>
      <w:r>
        <w:t>работки способствует улучшению общего состояния у лошадей, уменьш</w:t>
      </w:r>
      <w:r>
        <w:t>а</w:t>
      </w:r>
      <w:r>
        <w:t>ется частота пульса, дыхания, нормализуется температура тела. В течении первой фазы раневого процесса отмечалось истечение из ран гнойного эк</w:t>
      </w:r>
      <w:r>
        <w:t>с</w:t>
      </w:r>
      <w:r>
        <w:t xml:space="preserve">судата. </w:t>
      </w:r>
    </w:p>
    <w:p w:rsidR="00F4654E" w:rsidRDefault="00F4654E">
      <w:pPr>
        <w:pStyle w:val="a6"/>
      </w:pPr>
      <w:r>
        <w:t>В раневых отпечатках, к этому сроку, уменьшалось количество св</w:t>
      </w:r>
      <w:r>
        <w:t>о</w:t>
      </w:r>
      <w:r>
        <w:t>бодно лежащих микробов, увеличивалось количество лимфоцитов и се</w:t>
      </w:r>
      <w:r>
        <w:t>г</w:t>
      </w:r>
      <w:r>
        <w:t xml:space="preserve">ментоядерных нейтрофилов с выраженным фагоцитозом. Отёк тканей и другие признаки воспаления, по сравнению с животными контрольной группы, исчезали быстрее. </w:t>
      </w:r>
    </w:p>
    <w:p w:rsidR="00F4654E" w:rsidRDefault="00F4654E">
      <w:pPr>
        <w:pStyle w:val="a6"/>
      </w:pPr>
      <w:r>
        <w:t>Рассасывание перифокального отёка происходило на 3</w:t>
      </w:r>
      <w:r>
        <w:sym w:font="Symbol" w:char="F02D"/>
      </w:r>
      <w:r>
        <w:t>4 сутки, пе</w:t>
      </w:r>
      <w:r>
        <w:t>р</w:t>
      </w:r>
      <w:r>
        <w:t>вичные грануляции появлялись через 2,66±0,33 дня против 3,99±0,44 суток в контроле, первые элементы эпителиального ободка появлялись на 5,44±1,66, а полная эпителизация раны происходила через 21,99±1,33 дня. В контрольной группе первые элементы и полная эпителизация ран прои</w:t>
      </w:r>
      <w:r>
        <w:t>с</w:t>
      </w:r>
      <w:r>
        <w:t>ходила, соответственно, через 11,3±1,66 дня и 28,33±1,66 дня.</w:t>
      </w:r>
    </w:p>
    <w:p w:rsidR="00F4654E" w:rsidRDefault="00F4654E">
      <w:pPr>
        <w:pStyle w:val="a6"/>
      </w:pPr>
      <w:r>
        <w:t>Таким образом, использование бесконтактного магнито-лазерного и</w:t>
      </w:r>
      <w:r>
        <w:t>з</w:t>
      </w:r>
      <w:r>
        <w:t>лучения, вырабатываемого аппаратом «Витязь» ускоряет заживление ран различной этиологии у лошадей. Заживление ран происходит почти на 7 суток раньше, чем у лошадей, которым для терапии открытых механич</w:t>
      </w:r>
      <w:r>
        <w:t>е</w:t>
      </w:r>
      <w:r>
        <w:t>ских повреждений различной этиологии использовали линимент бальзам</w:t>
      </w:r>
      <w:r>
        <w:t>и</w:t>
      </w:r>
      <w:r>
        <w:t>ческий по А.В. Вишневскому. Воздействие квантовой энергии на раневую поверхность создаёт благоприятные условия для роста и созревания гран</w:t>
      </w:r>
      <w:r>
        <w:t>у</w:t>
      </w:r>
      <w:r>
        <w:t>ляционной ткани, нарастания на неё покровного эпителия, что способств</w:t>
      </w:r>
      <w:r>
        <w:t>у</w:t>
      </w:r>
      <w:r>
        <w:t>ет более раннему заживлению ран. Следовательно, дальнейшее более гл</w:t>
      </w:r>
      <w:r>
        <w:t>у</w:t>
      </w:r>
      <w:r>
        <w:t xml:space="preserve">бокое изучение действия квантовой энергии на течение раневого процесса у лошадей является актуальным и в известной мере перспективным. </w:t>
      </w:r>
    </w:p>
    <w:p w:rsidR="0001153D" w:rsidRDefault="0001153D">
      <w:pPr>
        <w:pStyle w:val="a4"/>
      </w:pPr>
    </w:p>
    <w:p w:rsidR="00F4654E" w:rsidRDefault="00F4654E">
      <w:pPr>
        <w:pStyle w:val="a4"/>
      </w:pPr>
      <w:r>
        <w:lastRenderedPageBreak/>
        <w:t>УДК 619:617-089.8:636.1</w:t>
      </w:r>
    </w:p>
    <w:p w:rsidR="00F4654E" w:rsidRDefault="00F4654E">
      <w:pPr>
        <w:pStyle w:val="1"/>
      </w:pPr>
      <w:bookmarkStart w:id="4797" w:name="_Toc10731556"/>
      <w:bookmarkStart w:id="4798" w:name="_Toc11138009"/>
      <w:bookmarkStart w:id="4799" w:name="_Toc11138427"/>
      <w:bookmarkStart w:id="4800" w:name="_Toc11138845"/>
      <w:bookmarkStart w:id="4801" w:name="_Toc11139263"/>
      <w:bookmarkStart w:id="4802" w:name="_Toc11139681"/>
      <w:bookmarkStart w:id="4803" w:name="_Toc11140099"/>
      <w:bookmarkStart w:id="4804" w:name="_Toc11140517"/>
      <w:bookmarkStart w:id="4805" w:name="_Toc11390621"/>
      <w:bookmarkStart w:id="4806" w:name="_Toc11840308"/>
      <w:bookmarkStart w:id="4807" w:name="_Toc11937844"/>
      <w:r>
        <w:t xml:space="preserve">КЛИНИКО-ГЕМАТОЛОГИЧЕСКИЕ ИЗМЕНЕНИЯ У ЛОШАДЕЙ </w:t>
      </w:r>
      <w:r>
        <w:br/>
        <w:t xml:space="preserve">ПРИ РАНАХ РАЗЛИЧНОЙ ЭТИОЛОГИИ В ЗАВИСИМОСТИ </w:t>
      </w:r>
      <w:r>
        <w:br/>
        <w:t>ОТ МЕТОДОВ ИХ ЛЕЧЕНИЯ</w:t>
      </w:r>
      <w:bookmarkEnd w:id="4797"/>
      <w:bookmarkEnd w:id="4798"/>
      <w:bookmarkEnd w:id="4799"/>
      <w:bookmarkEnd w:id="4800"/>
      <w:bookmarkEnd w:id="4801"/>
      <w:bookmarkEnd w:id="4802"/>
      <w:bookmarkEnd w:id="4803"/>
      <w:bookmarkEnd w:id="4804"/>
      <w:bookmarkEnd w:id="4805"/>
      <w:bookmarkEnd w:id="4806"/>
      <w:bookmarkEnd w:id="4807"/>
    </w:p>
    <w:p w:rsidR="00F4654E" w:rsidRDefault="00F4654E">
      <w:pPr>
        <w:pStyle w:val="2"/>
      </w:pPr>
      <w:bookmarkStart w:id="4808" w:name="_Toc10731557"/>
      <w:bookmarkStart w:id="4809" w:name="_Toc11032368"/>
      <w:bookmarkStart w:id="4810" w:name="_Toc11138010"/>
      <w:bookmarkStart w:id="4811" w:name="_Toc11138428"/>
      <w:bookmarkStart w:id="4812" w:name="_Toc11138846"/>
      <w:bookmarkStart w:id="4813" w:name="_Toc11139264"/>
      <w:bookmarkStart w:id="4814" w:name="_Toc11139682"/>
      <w:bookmarkStart w:id="4815" w:name="_Toc11140100"/>
      <w:bookmarkStart w:id="4816" w:name="_Toc11140518"/>
      <w:bookmarkStart w:id="4817" w:name="_Toc11390622"/>
      <w:bookmarkStart w:id="4818" w:name="_Toc11937845"/>
      <w:r>
        <w:t>Сапожков В.С.</w:t>
      </w:r>
      <w:bookmarkEnd w:id="4808"/>
      <w:bookmarkEnd w:id="4809"/>
      <w:bookmarkEnd w:id="4810"/>
      <w:bookmarkEnd w:id="4811"/>
      <w:bookmarkEnd w:id="4812"/>
      <w:bookmarkEnd w:id="4813"/>
      <w:bookmarkEnd w:id="4814"/>
      <w:bookmarkEnd w:id="4815"/>
      <w:bookmarkEnd w:id="4816"/>
      <w:bookmarkEnd w:id="4817"/>
      <w:bookmarkEnd w:id="4818"/>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Случайные раны различной этиологии у лошадей отрицательно вли</w:t>
      </w:r>
      <w:r>
        <w:t>я</w:t>
      </w:r>
      <w:r>
        <w:t>ют на основные физиологические функции организма. Как правило, ран</w:t>
      </w:r>
      <w:r>
        <w:t>е</w:t>
      </w:r>
      <w:r>
        <w:t>ние сопровождается разрывом и размозжением мягких тканей, нервных элементов, сосудов. Перечисленные факторы обуславливают быстрое ра</w:t>
      </w:r>
      <w:r>
        <w:t>з</w:t>
      </w:r>
      <w:r>
        <w:t>витие ответной реакции организма на травму, и наряду с общей реакцией создают неблагоприятные условия в системе кровообращения, отриц</w:t>
      </w:r>
      <w:r>
        <w:t>а</w:t>
      </w:r>
      <w:r>
        <w:t>тельно влияют на состав крови.</w:t>
      </w:r>
    </w:p>
    <w:p w:rsidR="00F4654E" w:rsidRDefault="00F4654E">
      <w:pPr>
        <w:pStyle w:val="a6"/>
      </w:pPr>
      <w:r>
        <w:t>С целью изучения естественной резистентности у лошадей при ранах различной этиологии, в зависимости от способов их лечения, нами были проведены гематологические исследования.</w:t>
      </w:r>
    </w:p>
    <w:p w:rsidR="00F4654E" w:rsidRDefault="00F4654E">
      <w:pPr>
        <w:pStyle w:val="a6"/>
      </w:pPr>
      <w:r>
        <w:t>Клинико-экспериментальные исследования проводились на лошадях русской рысистой породы в возрасте 6 – 10 лет, подобранных по принципу парных аналогов. В зависимости от способ лечения ран, все животные б</w:t>
      </w:r>
      <w:r>
        <w:t>ы</w:t>
      </w:r>
      <w:r>
        <w:t>ли разбиты на три группы: по 10 в каждой. Животным первой группы для лечения случайных ран различной этиологии во вторую фазу раневого процесса использовали линимент бальзамический (по А.В. Вишневскому) и они служили контролем. Лошадям второй группы  для лечения ран пр</w:t>
      </w:r>
      <w:r>
        <w:t>и</w:t>
      </w:r>
      <w:r>
        <w:t>меняли электрохимически активированные растворы хлорида натрия (ЭХАР). В первую фазу раневого процесса использовали анолит, а во вт</w:t>
      </w:r>
      <w:r>
        <w:t>о</w:t>
      </w:r>
      <w:r>
        <w:t>рую – католит хлорида натрия в концентрациях – 0,3 %. Животным трет</w:t>
      </w:r>
      <w:r>
        <w:t>ь</w:t>
      </w:r>
      <w:r>
        <w:t>ей группы применяли в обе фазы раневого процесса магнитно-инфракрасное излучение ежедневным орошением поверхности раны ра</w:t>
      </w:r>
      <w:r>
        <w:t>с</w:t>
      </w:r>
      <w:r>
        <w:t>твором фурацилина (1:5000).</w:t>
      </w:r>
    </w:p>
    <w:p w:rsidR="00F4654E" w:rsidRPr="0001153D" w:rsidRDefault="00F4654E">
      <w:pPr>
        <w:pStyle w:val="a6"/>
        <w:rPr>
          <w:spacing w:val="-2"/>
        </w:rPr>
      </w:pPr>
      <w:r w:rsidRPr="0001153D">
        <w:rPr>
          <w:spacing w:val="-2"/>
        </w:rPr>
        <w:t>Кровь брали из ярёмной вены, перед кормлением, непосредственно п</w:t>
      </w:r>
      <w:r w:rsidRPr="0001153D">
        <w:rPr>
          <w:spacing w:val="-2"/>
        </w:rPr>
        <w:t>о</w:t>
      </w:r>
      <w:r w:rsidRPr="0001153D">
        <w:rPr>
          <w:spacing w:val="-2"/>
        </w:rPr>
        <w:t>сле ранения, а затем на 3, 7, 10, 15, 20, 25 сутки после травмы. Количес</w:t>
      </w:r>
      <w:r w:rsidRPr="0001153D">
        <w:rPr>
          <w:spacing w:val="-2"/>
        </w:rPr>
        <w:t>т</w:t>
      </w:r>
      <w:r w:rsidRPr="0001153D">
        <w:rPr>
          <w:spacing w:val="-2"/>
        </w:rPr>
        <w:t>во эритроцитов и лейкоцитов определяли с помощью счётчика микроча</w:t>
      </w:r>
      <w:r w:rsidRPr="0001153D">
        <w:rPr>
          <w:spacing w:val="-2"/>
        </w:rPr>
        <w:t>с</w:t>
      </w:r>
      <w:r w:rsidRPr="0001153D">
        <w:rPr>
          <w:spacing w:val="-2"/>
        </w:rPr>
        <w:t>тиц «Ликоспель» (Франция), гемоглобин – гемометром Сали. Лейкограмму в</w:t>
      </w:r>
      <w:r w:rsidRPr="0001153D">
        <w:rPr>
          <w:spacing w:val="-2"/>
        </w:rPr>
        <w:t>ы</w:t>
      </w:r>
      <w:r w:rsidRPr="0001153D">
        <w:rPr>
          <w:spacing w:val="-2"/>
        </w:rPr>
        <w:t>водили по общепринятой методике в мазках крови, окрашенных по Ром</w:t>
      </w:r>
      <w:r w:rsidRPr="0001153D">
        <w:rPr>
          <w:spacing w:val="-2"/>
        </w:rPr>
        <w:t>а</w:t>
      </w:r>
      <w:r w:rsidRPr="0001153D">
        <w:rPr>
          <w:spacing w:val="-2"/>
        </w:rPr>
        <w:t>новскому-Гимза. Перед ранением все животные были клинически зд</w:t>
      </w:r>
      <w:r w:rsidRPr="0001153D">
        <w:rPr>
          <w:spacing w:val="-2"/>
        </w:rPr>
        <w:t>о</w:t>
      </w:r>
      <w:r w:rsidRPr="0001153D">
        <w:rPr>
          <w:spacing w:val="-2"/>
        </w:rPr>
        <w:t>ровы.</w:t>
      </w:r>
    </w:p>
    <w:p w:rsidR="00F4654E" w:rsidRDefault="00F4654E">
      <w:pPr>
        <w:pStyle w:val="a6"/>
      </w:pPr>
      <w:r>
        <w:t>Анализ результатов морфологических исследований крови свидетел</w:t>
      </w:r>
      <w:r>
        <w:t>ь</w:t>
      </w:r>
      <w:r>
        <w:t>ствует, что на 3 сутки после ранения в крови у всех лошадей наблюдалось снижение количества эритроцитов и уровня гемоглобина. На 7 день после травмирования наблюдалась нормализация показателей красной крови у животных, которым для лечения ран использовали растворы ЭХАР и ма</w:t>
      </w:r>
      <w:r>
        <w:t>г</w:t>
      </w:r>
      <w:r>
        <w:t xml:space="preserve">нитно-инфракрасное излучение. В первые трое суток после получения ран </w:t>
      </w:r>
      <w:r>
        <w:lastRenderedPageBreak/>
        <w:t>регистрировалось увеличение числа лейкоцитов во всех группах живо</w:t>
      </w:r>
      <w:r>
        <w:t>т</w:t>
      </w:r>
      <w:r>
        <w:t>ных, что объясняется общей реакцией организма на травму.</w:t>
      </w:r>
    </w:p>
    <w:p w:rsidR="00F4654E" w:rsidRDefault="00F4654E">
      <w:pPr>
        <w:pStyle w:val="a6"/>
      </w:pPr>
      <w:r>
        <w:t>При обработке случайных ран линиментом бальзамическим по А.В. Вишневскому нормализация содержания эритроцитов и гемоглобина пр</w:t>
      </w:r>
      <w:r>
        <w:t>о</w:t>
      </w:r>
      <w:r>
        <w:t>исходила на 15-25 сутки.</w:t>
      </w:r>
    </w:p>
    <w:p w:rsidR="00F4654E" w:rsidRDefault="00F4654E">
      <w:pPr>
        <w:pStyle w:val="a6"/>
      </w:pPr>
      <w:r>
        <w:t>Установлены также существенные колебания в лейкограмме, характ</w:t>
      </w:r>
      <w:r>
        <w:t>е</w:t>
      </w:r>
      <w:r>
        <w:t>ризующие степень выраженности течения раневого процесса.</w:t>
      </w:r>
    </w:p>
    <w:p w:rsidR="00F4654E" w:rsidRDefault="00F4654E">
      <w:pPr>
        <w:pStyle w:val="a6"/>
      </w:pPr>
      <w:r>
        <w:t>В первые трое суток после выявления у лошадей случайных ран ра</w:t>
      </w:r>
      <w:r>
        <w:t>з</w:t>
      </w:r>
      <w:r>
        <w:t>личной этиологии и их обработки ЭХАР и магнитно-инфракрасным изл</w:t>
      </w:r>
      <w:r>
        <w:t>у</w:t>
      </w:r>
      <w:r>
        <w:t>чением отмечался простой регенеративный сдвиг нейтрофильных лейк</w:t>
      </w:r>
      <w:r>
        <w:t>о</w:t>
      </w:r>
      <w:r>
        <w:t>цитов влево с однонаправленной нормализацией данных показателей на третьи сутки после ранения, что свидетельствует о благоприятном течении раневого процесса и указывает на активизацию регенеративных процессов в ранах.</w:t>
      </w:r>
    </w:p>
    <w:p w:rsidR="00F4654E" w:rsidRDefault="00F4654E">
      <w:pPr>
        <w:pStyle w:val="a6"/>
      </w:pPr>
      <w:r>
        <w:t>По мере развития воспалительного процесса в ранах при использов</w:t>
      </w:r>
      <w:r>
        <w:t>а</w:t>
      </w:r>
      <w:r>
        <w:t>нии  линимента бальзамического по А.В. Вишневскому наблюдалась эоз</w:t>
      </w:r>
      <w:r>
        <w:t>и</w:t>
      </w:r>
      <w:r>
        <w:t>нопения, гранулоцитопения, и особенно моноцитопения, что является п</w:t>
      </w:r>
      <w:r>
        <w:t>о</w:t>
      </w:r>
      <w:r>
        <w:t>казателем угнетения микро- и макрофагальной функции организма и св</w:t>
      </w:r>
      <w:r>
        <w:t>и</w:t>
      </w:r>
      <w:r>
        <w:t>детельствует о развитии аллергического состояния замедленного типа и угнетения детоксикационной способности организма в целом.</w:t>
      </w:r>
    </w:p>
    <w:p w:rsidR="00F4654E" w:rsidRDefault="00F4654E">
      <w:pPr>
        <w:pStyle w:val="a6"/>
      </w:pPr>
      <w:r>
        <w:t>Увеличение количества палочкоядерных, сегментоядерных нейтроф</w:t>
      </w:r>
      <w:r>
        <w:t>и</w:t>
      </w:r>
      <w:r>
        <w:t>лов, лимфоцитов с 10-15 суток при терапии случайных ран ЭХАР хлорида натрия и магнитно-инфракрасным излучением и на 15-25 сутки при леч</w:t>
      </w:r>
      <w:r>
        <w:t>е</w:t>
      </w:r>
      <w:r>
        <w:t>нии ран линиментом бальзамическим по А.В. Вишневскому указывает на благоприятное завершение течения раневого процесса.</w:t>
      </w:r>
    </w:p>
    <w:p w:rsidR="00F4654E" w:rsidRDefault="00F4654E">
      <w:pPr>
        <w:pStyle w:val="a6"/>
      </w:pPr>
      <w:r>
        <w:t>Таким образом, уменьшение количества лейкоцитов, эозинофилов и моноцитов в постраневой период свидетельствует о значительной пер</w:t>
      </w:r>
      <w:r>
        <w:t>е</w:t>
      </w:r>
      <w:r>
        <w:t>стройке иммунной системы в организме лошадей в зависимости от способа терапии ран различной этиологии. Поэтому, течение раневого процесса у животных нельзя рассматривать как местный, он касается организма в ц</w:t>
      </w:r>
      <w:r>
        <w:t>е</w:t>
      </w:r>
      <w:r>
        <w:t>лом. Следовательно, наиболее приемлемыми методами терапии ран ра</w:t>
      </w:r>
      <w:r>
        <w:t>з</w:t>
      </w:r>
      <w:r>
        <w:t>личной этиологии у лошадей являются методы с использованием ЭХАР хлорида натрия и магнитно-инфракрасного излучения.</w:t>
      </w:r>
    </w:p>
    <w:p w:rsidR="00F4654E" w:rsidRDefault="00F4654E">
      <w:pPr>
        <w:pStyle w:val="a4"/>
      </w:pPr>
      <w:r>
        <w:t>УДК 619:616.468.636.2</w:t>
      </w:r>
    </w:p>
    <w:p w:rsidR="00F4654E" w:rsidRDefault="00F4654E">
      <w:pPr>
        <w:pStyle w:val="1"/>
      </w:pPr>
      <w:bookmarkStart w:id="4819" w:name="_Toc10731558"/>
      <w:bookmarkStart w:id="4820" w:name="_Toc11138013"/>
      <w:bookmarkStart w:id="4821" w:name="_Toc11138431"/>
      <w:bookmarkStart w:id="4822" w:name="_Toc11138849"/>
      <w:bookmarkStart w:id="4823" w:name="_Toc11139267"/>
      <w:bookmarkStart w:id="4824" w:name="_Toc11139685"/>
      <w:bookmarkStart w:id="4825" w:name="_Toc11140103"/>
      <w:bookmarkStart w:id="4826" w:name="_Toc11140521"/>
      <w:bookmarkStart w:id="4827" w:name="_Toc11390625"/>
      <w:bookmarkStart w:id="4828" w:name="_Toc11840310"/>
      <w:bookmarkStart w:id="4829" w:name="_Toc11937846"/>
      <w:r>
        <w:t>ОСОБЕННОСТИ ПАТОМОРФОЛОГИИ  КОКСИЕЛЛЁЗА ТЕЛЯТ</w:t>
      </w:r>
      <w:bookmarkEnd w:id="4819"/>
      <w:bookmarkEnd w:id="4820"/>
      <w:bookmarkEnd w:id="4821"/>
      <w:bookmarkEnd w:id="4822"/>
      <w:bookmarkEnd w:id="4823"/>
      <w:bookmarkEnd w:id="4824"/>
      <w:bookmarkEnd w:id="4825"/>
      <w:bookmarkEnd w:id="4826"/>
      <w:bookmarkEnd w:id="4827"/>
      <w:bookmarkEnd w:id="4828"/>
      <w:bookmarkEnd w:id="4829"/>
    </w:p>
    <w:p w:rsidR="00F4654E" w:rsidRDefault="00F4654E">
      <w:pPr>
        <w:pStyle w:val="2"/>
      </w:pPr>
      <w:bookmarkStart w:id="4830" w:name="_Toc10731559"/>
      <w:bookmarkStart w:id="4831" w:name="_Toc11032370"/>
      <w:bookmarkStart w:id="4832" w:name="_Toc11138014"/>
      <w:bookmarkStart w:id="4833" w:name="_Toc11138432"/>
      <w:bookmarkStart w:id="4834" w:name="_Toc11138850"/>
      <w:bookmarkStart w:id="4835" w:name="_Toc11139268"/>
      <w:bookmarkStart w:id="4836" w:name="_Toc11139686"/>
      <w:bookmarkStart w:id="4837" w:name="_Toc11140104"/>
      <w:bookmarkStart w:id="4838" w:name="_Toc11140522"/>
      <w:bookmarkStart w:id="4839" w:name="_Toc11390626"/>
      <w:bookmarkStart w:id="4840" w:name="_Toc11937847"/>
      <w:r>
        <w:t>Сапожкова О.А.</w:t>
      </w:r>
      <w:bookmarkEnd w:id="4830"/>
      <w:bookmarkEnd w:id="4831"/>
      <w:bookmarkEnd w:id="4832"/>
      <w:bookmarkEnd w:id="4833"/>
      <w:bookmarkEnd w:id="4834"/>
      <w:bookmarkEnd w:id="4835"/>
      <w:bookmarkEnd w:id="4836"/>
      <w:bookmarkEnd w:id="4837"/>
      <w:bookmarkEnd w:id="4838"/>
      <w:bookmarkEnd w:id="4839"/>
      <w:bookmarkEnd w:id="4840"/>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Коксиеллёз у крупного рогатого скота протекает чаще всего в виде острого инфекционного процесса с выраженным акцентом на патологию глаз. Кроме выраженного конъюнктиво-кератита у больных телят, осно</w:t>
      </w:r>
      <w:r>
        <w:t>в</w:t>
      </w:r>
      <w:r>
        <w:t xml:space="preserve">ные патоморфологические изменения обнаруживали в лёгких и в верхних </w:t>
      </w:r>
      <w:r>
        <w:lastRenderedPageBreak/>
        <w:t>дыхательных путях. Слизистая оболочка носовой полости, трахеи, бронхов покрасневшая, набухшая с синюшным оттенком, покрыта тягучей серов</w:t>
      </w:r>
      <w:r>
        <w:t>а</w:t>
      </w:r>
      <w:r>
        <w:t>то-белой пенистой массой. Верхушечные, средние и верхняя треть ди</w:t>
      </w:r>
      <w:r>
        <w:t>а</w:t>
      </w:r>
      <w:r>
        <w:t>фрагмальных долей лёгких уплотненны, серовато-красного цвета, бугр</w:t>
      </w:r>
      <w:r>
        <w:t>и</w:t>
      </w:r>
      <w:r>
        <w:t>стые. С поверхности разреза стекала густая, серовато-белая слизь. Во мн</w:t>
      </w:r>
      <w:r>
        <w:t>о</w:t>
      </w:r>
      <w:r>
        <w:t>гих случаях наблюдали единичные и множественные участки некроза в</w:t>
      </w:r>
      <w:r>
        <w:t>е</w:t>
      </w:r>
      <w:r>
        <w:t>личиной от просяного зерна до крупной горошины. Нередко, вышеописа</w:t>
      </w:r>
      <w:r>
        <w:t>н</w:t>
      </w:r>
      <w:r>
        <w:t>ные изменения в лёгких осложнялись серозным и серозно-фибринозным плевритом и перикардитом. Регионарные лимфоузлы и селезёнка с пр</w:t>
      </w:r>
      <w:r>
        <w:t>и</w:t>
      </w:r>
      <w:r>
        <w:t>знаками неярко выраженной гиперплазии.</w:t>
      </w:r>
    </w:p>
    <w:p w:rsidR="00F4654E" w:rsidRDefault="00F4654E">
      <w:pPr>
        <w:pStyle w:val="a6"/>
      </w:pPr>
      <w:r>
        <w:t>Кроме этого наблюдали острый катаральный гастроэнтерит, дистр</w:t>
      </w:r>
      <w:r>
        <w:t>о</w:t>
      </w:r>
      <w:r>
        <w:t>фию паренхиматозных органов, незначительный отёк и застойную гипер</w:t>
      </w:r>
      <w:r>
        <w:t>е</w:t>
      </w:r>
      <w:r>
        <w:t>мию сосудов головного мозга. У 25% больных телят с 3, 4 и 5 стадиями коксиеллезного конъюнктиво-кератита диагностировали менинго-энцефа-лит с поражением зрительных бугров. Последние имели темно-серый вид. Примерно у трети больных коксиеллёзом животных, отмечали орхит, а также артриты запястного, коленного и заплюсневого суставов.</w:t>
      </w:r>
    </w:p>
    <w:p w:rsidR="00F4654E" w:rsidRDefault="00F4654E">
      <w:pPr>
        <w:pStyle w:val="a6"/>
      </w:pPr>
      <w:r>
        <w:t>Следовательно, можно заключить, что коксиеллёз у крупного рогатого скота протекает в виде генерализованного инфекционного процесса.</w:t>
      </w:r>
    </w:p>
    <w:p w:rsidR="0001153D" w:rsidRDefault="0001153D">
      <w:pPr>
        <w:pStyle w:val="1"/>
      </w:pPr>
      <w:bookmarkStart w:id="4841" w:name="_Toc10731560"/>
      <w:bookmarkStart w:id="4842" w:name="_Toc11138015"/>
      <w:bookmarkStart w:id="4843" w:name="_Toc11138433"/>
      <w:bookmarkStart w:id="4844" w:name="_Toc11138851"/>
      <w:bookmarkStart w:id="4845" w:name="_Toc11139269"/>
      <w:bookmarkStart w:id="4846" w:name="_Toc11139687"/>
      <w:bookmarkStart w:id="4847" w:name="_Toc11140105"/>
      <w:bookmarkStart w:id="4848" w:name="_Toc11140523"/>
      <w:bookmarkStart w:id="4849" w:name="_Toc11390627"/>
      <w:bookmarkStart w:id="4850" w:name="_Toc11840312"/>
      <w:bookmarkStart w:id="4851" w:name="_Toc11937848"/>
    </w:p>
    <w:p w:rsidR="00F4654E" w:rsidRDefault="00F4654E">
      <w:pPr>
        <w:pStyle w:val="1"/>
      </w:pPr>
      <w:r>
        <w:t>ПРОТИВОРОЖИСТЫЕ БИОПРЕПАРАТЫ</w:t>
      </w:r>
      <w:bookmarkEnd w:id="4841"/>
      <w:bookmarkEnd w:id="4842"/>
      <w:bookmarkEnd w:id="4843"/>
      <w:bookmarkEnd w:id="4844"/>
      <w:bookmarkEnd w:id="4845"/>
      <w:bookmarkEnd w:id="4846"/>
      <w:bookmarkEnd w:id="4847"/>
      <w:bookmarkEnd w:id="4848"/>
      <w:bookmarkEnd w:id="4849"/>
      <w:bookmarkEnd w:id="4850"/>
      <w:bookmarkEnd w:id="4851"/>
    </w:p>
    <w:p w:rsidR="00F4654E" w:rsidRDefault="00F4654E">
      <w:pPr>
        <w:pStyle w:val="2"/>
      </w:pPr>
      <w:bookmarkStart w:id="4852" w:name="_Toc10731561"/>
      <w:bookmarkStart w:id="4853" w:name="_Toc11032371"/>
      <w:bookmarkStart w:id="4854" w:name="_Toc11138016"/>
      <w:bookmarkStart w:id="4855" w:name="_Toc11138434"/>
      <w:bookmarkStart w:id="4856" w:name="_Toc11138852"/>
      <w:bookmarkStart w:id="4857" w:name="_Toc11139270"/>
      <w:bookmarkStart w:id="4858" w:name="_Toc11139688"/>
      <w:bookmarkStart w:id="4859" w:name="_Toc11140106"/>
      <w:bookmarkStart w:id="4860" w:name="_Toc11140524"/>
      <w:bookmarkStart w:id="4861" w:name="_Toc11390628"/>
      <w:bookmarkStart w:id="4862" w:name="_Toc11937849"/>
      <w:r>
        <w:t>Семенов Л.В.</w:t>
      </w:r>
      <w:bookmarkEnd w:id="4852"/>
      <w:bookmarkEnd w:id="4853"/>
      <w:bookmarkEnd w:id="4854"/>
      <w:bookmarkEnd w:id="4855"/>
      <w:bookmarkEnd w:id="4856"/>
      <w:bookmarkEnd w:id="4857"/>
      <w:bookmarkEnd w:id="4858"/>
      <w:bookmarkEnd w:id="4859"/>
      <w:bookmarkEnd w:id="4860"/>
      <w:bookmarkEnd w:id="4861"/>
      <w:bookmarkEnd w:id="4862"/>
    </w:p>
    <w:p w:rsidR="00F4654E" w:rsidRDefault="00F4654E">
      <w:pPr>
        <w:pStyle w:val="a5"/>
      </w:pPr>
      <w:r>
        <w:t>ФГУП  «Армавирская биофабрика»</w:t>
      </w:r>
    </w:p>
    <w:p w:rsidR="00F4654E" w:rsidRDefault="00F4654E">
      <w:pPr>
        <w:pStyle w:val="a6"/>
      </w:pPr>
      <w:r>
        <w:t>Рожа – инфекционная болезнь, поражающая преимущественно св</w:t>
      </w:r>
      <w:r>
        <w:t>и</w:t>
      </w:r>
      <w:r>
        <w:t>ней, характеризующаяся при остром и подостром течении септицемией,  воспалительной эритемой кожного покрова, гастроэнтеритом и гиперпл</w:t>
      </w:r>
      <w:r>
        <w:t>а</w:t>
      </w:r>
      <w:r>
        <w:t>зией селезенки, а при хроническом – эндокардитом и артритами.</w:t>
      </w:r>
    </w:p>
    <w:p w:rsidR="00F4654E" w:rsidRDefault="00F4654E">
      <w:pPr>
        <w:pStyle w:val="a6"/>
      </w:pPr>
      <w:r>
        <w:t>Возбудитель рожи Е. Ehusiopathlae убиквитарен он выделяется от ж</w:t>
      </w:r>
      <w:r>
        <w:t>и</w:t>
      </w:r>
      <w:r>
        <w:t>вотных разных видов и объектов внешней среды. Это обусловливает ча</w:t>
      </w:r>
      <w:r>
        <w:t>с</w:t>
      </w:r>
      <w:r>
        <w:t>тое инфицирование сельскохозяйственных животных. Профилактика заб</w:t>
      </w:r>
      <w:r>
        <w:t>о</w:t>
      </w:r>
      <w:r>
        <w:t>левания свиней рожей обеспечивается постоянной вакцинацией которая должна обеспечить напряженный иммунитет у вакцинированных живо</w:t>
      </w:r>
      <w:r>
        <w:t>т</w:t>
      </w:r>
      <w:r>
        <w:t>ных на протяжении всей жизни.</w:t>
      </w:r>
    </w:p>
    <w:p w:rsidR="00F4654E" w:rsidRDefault="00F4654E">
      <w:pPr>
        <w:pStyle w:val="a6"/>
      </w:pPr>
      <w:r>
        <w:t>Армавирская биофабрика с давних пор готовит противорожистую с</w:t>
      </w:r>
      <w:r>
        <w:t>ы</w:t>
      </w:r>
      <w:r>
        <w:t>воротку, а в последние годы выпускает две вакцины против рожи свиней: депонированную из матрикса Конева и сухую живую из штамма ВР-2. За период с 1999 по 2002 (4 мес.) гг. произведено: противорожистой сыворо</w:t>
      </w:r>
      <w:r>
        <w:t>т</w:t>
      </w:r>
      <w:r>
        <w:t>ки 38046 л, депонированной вакцины – 8684 л и из штамма ВР-2 – 10,5 млн.доз. Если принять во внимание весь валовой объем произведенных за последние годы в стране противорожистых препаратов за 100%, то на д</w:t>
      </w:r>
      <w:r>
        <w:t>о</w:t>
      </w:r>
      <w:r>
        <w:t xml:space="preserve">лю нашей фабрики приходится по сыворотке 99,9%, по депонированной </w:t>
      </w:r>
      <w:r>
        <w:lastRenderedPageBreak/>
        <w:t>вакцине 48,7% и по вакцине из штамма ВР-2 – 22,3%. Следовательно, А</w:t>
      </w:r>
      <w:r>
        <w:t>р</w:t>
      </w:r>
      <w:r>
        <w:t>мавирская биофабрика является практически единственным изготовителем сыворотки и ведущим предприятием по производству вакцин против рожи свиней. Если пересчитать количество всех выпущенных вакцин на дозы,  то можно полагать, что каждая вторая свинья привита нашей депонир</w:t>
      </w:r>
      <w:r>
        <w:t>о</w:t>
      </w:r>
      <w:r>
        <w:t>ванной вакциной, каждая четвертая нашей из штамма ВР-2 и каждое ж</w:t>
      </w:r>
      <w:r>
        <w:t>и</w:t>
      </w:r>
      <w:r>
        <w:t>вотное, иммунизированное сывороткой, получило наш препарат.</w:t>
      </w:r>
    </w:p>
    <w:p w:rsidR="00F4654E" w:rsidRDefault="00F4654E">
      <w:pPr>
        <w:pStyle w:val="a6"/>
      </w:pPr>
      <w:r>
        <w:t>Обе вакцины против рожи свиней из штамма ВР-2 и депонированная высокоиммуногены. Однако депонированная вакцина довольно часто в</w:t>
      </w:r>
      <w:r>
        <w:t>ы</w:t>
      </w:r>
      <w:r>
        <w:t>зывает аллергические реакции, сопровождающиеся гибелью вакцинир</w:t>
      </w:r>
      <w:r>
        <w:t>о</w:t>
      </w:r>
      <w:r>
        <w:t>ванных животных. Кроме того, депонированная вакцина не имеет контр</w:t>
      </w:r>
      <w:r>
        <w:t>о</w:t>
      </w:r>
      <w:r>
        <w:t>ля, позволяющего дифференцировать иммуногенную вакцину от неимм</w:t>
      </w:r>
      <w:r>
        <w:t>у</w:t>
      </w:r>
      <w:r>
        <w:t>ногенной концентрация микробных тел в вакцине не стандартизована.</w:t>
      </w:r>
    </w:p>
    <w:p w:rsidR="00F4654E" w:rsidRDefault="00F4654E">
      <w:pPr>
        <w:pStyle w:val="a6"/>
      </w:pPr>
      <w:r>
        <w:t>Вакцина из штамма ВР-2 совершенно безвредна, не вызывает п</w:t>
      </w:r>
      <w:r>
        <w:t>о</w:t>
      </w:r>
      <w:r>
        <w:t>ствакцинированных осложнений, высокоиммуногенна. Мы считаем, что преимущество в применении должно быть отдано вакцине из штамма ВР-2 вплоть до того момента, когда депонированная вакцина будет в достато</w:t>
      </w:r>
      <w:r>
        <w:t>ч</w:t>
      </w:r>
      <w:r>
        <w:t>ной степени усовершенствована.</w:t>
      </w:r>
    </w:p>
    <w:p w:rsidR="00F4654E" w:rsidRDefault="00F4654E">
      <w:pPr>
        <w:pStyle w:val="a4"/>
      </w:pPr>
      <w:r>
        <w:t>УДК 636.0:656:567</w:t>
      </w:r>
    </w:p>
    <w:p w:rsidR="00F4654E" w:rsidRDefault="00F4654E">
      <w:pPr>
        <w:pStyle w:val="1"/>
      </w:pPr>
      <w:bookmarkStart w:id="4863" w:name="_Toc10731562"/>
      <w:bookmarkStart w:id="4864" w:name="_Toc11138017"/>
      <w:bookmarkStart w:id="4865" w:name="_Toc11138435"/>
      <w:bookmarkStart w:id="4866" w:name="_Toc11138853"/>
      <w:bookmarkStart w:id="4867" w:name="_Toc11139271"/>
      <w:bookmarkStart w:id="4868" w:name="_Toc11139689"/>
      <w:bookmarkStart w:id="4869" w:name="_Toc11140107"/>
      <w:bookmarkStart w:id="4870" w:name="_Toc11140525"/>
      <w:bookmarkStart w:id="4871" w:name="_Toc11390629"/>
      <w:bookmarkStart w:id="4872" w:name="_Toc11840314"/>
      <w:bookmarkStart w:id="4873" w:name="_Toc11937850"/>
      <w:r>
        <w:t>ОБЕЗЗАРАЖИВАНИЕ ТОВАРНЫХ ЯИЦ</w:t>
      </w:r>
      <w:bookmarkEnd w:id="4863"/>
      <w:bookmarkEnd w:id="4864"/>
      <w:bookmarkEnd w:id="4865"/>
      <w:bookmarkEnd w:id="4866"/>
      <w:bookmarkEnd w:id="4867"/>
      <w:bookmarkEnd w:id="4868"/>
      <w:bookmarkEnd w:id="4869"/>
      <w:bookmarkEnd w:id="4870"/>
      <w:bookmarkEnd w:id="4871"/>
      <w:bookmarkEnd w:id="4872"/>
      <w:bookmarkEnd w:id="4873"/>
    </w:p>
    <w:p w:rsidR="00F4654E" w:rsidRDefault="00F4654E">
      <w:pPr>
        <w:pStyle w:val="2"/>
      </w:pPr>
      <w:bookmarkStart w:id="4874" w:name="_Toc10731563"/>
      <w:bookmarkStart w:id="4875" w:name="_Toc11032372"/>
      <w:bookmarkStart w:id="4876" w:name="_Toc11138018"/>
      <w:bookmarkStart w:id="4877" w:name="_Toc11138436"/>
      <w:bookmarkStart w:id="4878" w:name="_Toc11138854"/>
      <w:bookmarkStart w:id="4879" w:name="_Toc11139272"/>
      <w:bookmarkStart w:id="4880" w:name="_Toc11139690"/>
      <w:bookmarkStart w:id="4881" w:name="_Toc11140108"/>
      <w:bookmarkStart w:id="4882" w:name="_Toc11140526"/>
      <w:bookmarkStart w:id="4883" w:name="_Toc11390630"/>
      <w:bookmarkStart w:id="4884" w:name="_Toc11937851"/>
      <w:r>
        <w:t>Семенченко С.В., Братских В.Г.</w:t>
      </w:r>
      <w:bookmarkEnd w:id="4874"/>
      <w:bookmarkEnd w:id="4875"/>
      <w:bookmarkEnd w:id="4876"/>
      <w:bookmarkEnd w:id="4877"/>
      <w:bookmarkEnd w:id="4878"/>
      <w:bookmarkEnd w:id="4879"/>
      <w:bookmarkEnd w:id="4880"/>
      <w:bookmarkEnd w:id="4881"/>
      <w:bookmarkEnd w:id="4882"/>
      <w:bookmarkEnd w:id="4883"/>
      <w:bookmarkEnd w:id="4884"/>
    </w:p>
    <w:p w:rsidR="00F4654E" w:rsidRDefault="00F4654E">
      <w:pPr>
        <w:pStyle w:val="a5"/>
      </w:pPr>
      <w:r>
        <w:t>Донской государственный аграрный университет</w:t>
      </w:r>
    </w:p>
    <w:p w:rsidR="00F4654E" w:rsidRDefault="00F4654E">
      <w:pPr>
        <w:pStyle w:val="a6"/>
      </w:pPr>
      <w:r>
        <w:t>Постоянное загрязнение окружающей среды вынуждает человека все больше внимания уделять экологической чистоте продуктов питания. П</w:t>
      </w:r>
      <w:r>
        <w:t>и</w:t>
      </w:r>
      <w:r>
        <w:t>щевые продукты могут являться источником и носителем многих потенц</w:t>
      </w:r>
      <w:r>
        <w:t>и</w:t>
      </w:r>
      <w:r>
        <w:t>ально опасных и токсичных веществ химической и биологической прир</w:t>
      </w:r>
      <w:r>
        <w:t>о</w:t>
      </w:r>
      <w:r>
        <w:t>ды. Поэтому тщательному контролю подлежит все сырье из которого в</w:t>
      </w:r>
      <w:r>
        <w:t>ы</w:t>
      </w:r>
      <w:r>
        <w:t>рабатываются продукты питания. Безопасность и качество пищевых пр</w:t>
      </w:r>
      <w:r>
        <w:t>о</w:t>
      </w:r>
      <w:r>
        <w:t>дуктов, благополучие животных, генная инженерия, роль внешней среды – это только некоторые факторы, с которыми сталкивается производство яиц. Основная цель санитарно - микробиологического контроля пищевых яиц – это обеспечение выпуска продукции высокого качества, безопасной в эпидемиологиче</w:t>
      </w:r>
      <w:r>
        <w:softHyphen/>
        <w:t>ском и экологическом отношениях.</w:t>
      </w:r>
    </w:p>
    <w:p w:rsidR="00F4654E" w:rsidRDefault="00F4654E">
      <w:pPr>
        <w:pStyle w:val="a6"/>
      </w:pPr>
      <w:r>
        <w:t>Мы провели сравнительную оценку разных способов обеззараживания скорлупы цель</w:t>
      </w:r>
      <w:r>
        <w:softHyphen/>
        <w:t>ных яиц в условиях птицефабрики «Таганрогская» Некл</w:t>
      </w:r>
      <w:r>
        <w:t>и</w:t>
      </w:r>
      <w:r>
        <w:t>новского района Ростовской области, в ветеринарно-санитарной лаборат</w:t>
      </w:r>
      <w:r>
        <w:t>о</w:t>
      </w:r>
      <w:r>
        <w:t xml:space="preserve">рии цеха по переработки яиц в яичный порошок. </w:t>
      </w:r>
    </w:p>
    <w:p w:rsidR="00F4654E" w:rsidRDefault="00F4654E">
      <w:pPr>
        <w:pStyle w:val="a6"/>
      </w:pPr>
      <w:r>
        <w:t>Технология обработки включала три этапа: 1 – механическую очистку капроновыми щетками и мойку в течение 2 мин. растворами 0,5%-ной кальцинированной или 0,2%-ной каустической соды при темпе</w:t>
      </w:r>
      <w:r>
        <w:softHyphen/>
        <w:t xml:space="preserve">ратуре 38° С; 2 – ополаскивание водой в течение 10 с.; 3 – дезинфекцию растворами </w:t>
      </w:r>
      <w:r>
        <w:lastRenderedPageBreak/>
        <w:t>перекиси водорода в концентрациях 1,6; 2,0 и 3,0 % или уксусной кислотой – 0,03%; 0,04 и 0,05 %. Растворы наносили на поверхность скорлу</w:t>
      </w:r>
      <w:r>
        <w:softHyphen/>
        <w:t>пы мет</w:t>
      </w:r>
      <w:r>
        <w:t>о</w:t>
      </w:r>
      <w:r>
        <w:t>дом орошения в момент вращения  яиц по горизонтальной оси в машине для санитарной обработки. Моющие растворы и растворы перекиси вод</w:t>
      </w:r>
      <w:r>
        <w:t>о</w:t>
      </w:r>
      <w:r>
        <w:t>рода готовили в эмалированных емкос</w:t>
      </w:r>
      <w:r>
        <w:softHyphen/>
        <w:t>тях; капроновые щетки были с во</w:t>
      </w:r>
      <w:r>
        <w:t>р</w:t>
      </w:r>
      <w:r>
        <w:t>сом длиной 150 мм. Обработку яиц проводили в специальном устройстве. В опытах использо</w:t>
      </w:r>
      <w:r>
        <w:softHyphen/>
        <w:t>вали куриные яйца. Инфицировали их после сортировки и фломбирования погружая в разные виды суспензий: либо в чистую ба</w:t>
      </w:r>
      <w:r>
        <w:t>к</w:t>
      </w:r>
      <w:r>
        <w:t>териальную взвесь, либо во взвесь с добавлением 10%-ного стерильного куриного помета, 10%-ного яичного белка или того и другого вместе. П</w:t>
      </w:r>
      <w:r>
        <w:t>о</w:t>
      </w:r>
      <w:r>
        <w:t>мет стерилизовали в автоклаве 60 мин при 1,6 атм. Белок извлекали из яиц с длительным сроком хранения (не менее 2 мес) и разводили его физиол</w:t>
      </w:r>
      <w:r>
        <w:t>о</w:t>
      </w:r>
      <w:r>
        <w:t>гическим раствором поваренной соли в соотношении 1:10.</w:t>
      </w:r>
    </w:p>
    <w:p w:rsidR="00F4654E" w:rsidRDefault="00F4654E">
      <w:pPr>
        <w:pStyle w:val="a6"/>
      </w:pPr>
      <w:r>
        <w:t>Инфицировали скорлупу яиц путем их погружения в стеклянную е</w:t>
      </w:r>
      <w:r>
        <w:t>м</w:t>
      </w:r>
      <w:r>
        <w:t>кость с суспен</w:t>
      </w:r>
      <w:r>
        <w:softHyphen/>
        <w:t>зией. Затем яйца обсушивали и исследовали на обсемене</w:t>
      </w:r>
      <w:r>
        <w:t>н</w:t>
      </w:r>
      <w:r>
        <w:t>ность. Если в исходной суспен</w:t>
      </w:r>
      <w:r>
        <w:softHyphen/>
        <w:t>зии содержалось 2,0</w:t>
      </w:r>
      <w:r>
        <w:sym w:font="Symbol" w:char="F0B4"/>
      </w:r>
      <w:r>
        <w:t>10</w:t>
      </w:r>
      <w:r>
        <w:rPr>
          <w:vertAlign w:val="superscript"/>
        </w:rPr>
        <w:t>9</w:t>
      </w:r>
      <w:r>
        <w:t xml:space="preserve"> КОЕ сальмонелл, то на поверхности яйца, погруженного в «чис</w:t>
      </w:r>
      <w:r>
        <w:softHyphen/>
        <w:t>тую» бактериальную взвесь,– 2,8</w:t>
      </w:r>
      <w:r>
        <w:sym w:font="Symbol" w:char="F0B4"/>
      </w:r>
      <w:r>
        <w:t>10</w:t>
      </w:r>
      <w:r>
        <w:rPr>
          <w:vertAlign w:val="superscript"/>
        </w:rPr>
        <w:t>5</w:t>
      </w:r>
      <w:r>
        <w:t xml:space="preserve"> КОЕ, соответственно во взвеси с добавлением поме</w:t>
      </w:r>
      <w:r>
        <w:softHyphen/>
        <w:t>та – 9</w:t>
      </w:r>
      <w:r>
        <w:sym w:font="Symbol" w:char="F0B4"/>
      </w:r>
      <w:r>
        <w:t>10</w:t>
      </w:r>
      <w:r>
        <w:rPr>
          <w:vertAlign w:val="superscript"/>
        </w:rPr>
        <w:t>5</w:t>
      </w:r>
      <w:r>
        <w:t>, бе</w:t>
      </w:r>
      <w:r>
        <w:t>л</w:t>
      </w:r>
      <w:r>
        <w:t>ка – 3,4</w:t>
      </w:r>
      <w:r>
        <w:sym w:font="Symbol" w:char="F0B4"/>
      </w:r>
      <w:r>
        <w:t>10</w:t>
      </w:r>
      <w:r>
        <w:rPr>
          <w:vertAlign w:val="superscript"/>
        </w:rPr>
        <w:t>4</w:t>
      </w:r>
      <w:r>
        <w:t>, того и дру</w:t>
      </w:r>
      <w:r>
        <w:softHyphen/>
        <w:t>гого –2,7</w:t>
      </w:r>
      <w:r>
        <w:sym w:font="Symbol" w:char="F0B4"/>
      </w:r>
      <w:r>
        <w:t>10</w:t>
      </w:r>
      <w:r>
        <w:rPr>
          <w:vertAlign w:val="superscript"/>
        </w:rPr>
        <w:t>4</w:t>
      </w:r>
      <w:r>
        <w:t xml:space="preserve"> КОЕ. Яйца с такой обсемененностью использова</w:t>
      </w:r>
      <w:r>
        <w:softHyphen/>
        <w:t>ли в экспериментах при разработке способов деконтаминации сальмонелл на поверхности скорлупы. Микробиологическому исследова</w:t>
      </w:r>
      <w:r>
        <w:softHyphen/>
        <w:t>нию подвергали смывы, взятые со скорлупы до и после санитарной обр</w:t>
      </w:r>
      <w:r>
        <w:t>а</w:t>
      </w:r>
      <w:r>
        <w:t>ботки яиц. Каждая проба составляла 3 яйца. Их погру</w:t>
      </w:r>
      <w:r>
        <w:softHyphen/>
        <w:t>жали в 30 мл ст</w:t>
      </w:r>
      <w:r>
        <w:t>е</w:t>
      </w:r>
      <w:r>
        <w:t>рильной воды или стериль</w:t>
      </w:r>
      <w:r>
        <w:softHyphen/>
        <w:t>ного физиологического раствора поваренной с</w:t>
      </w:r>
      <w:r>
        <w:t>о</w:t>
      </w:r>
      <w:r>
        <w:t>ли и стерильным тампоном обмывали в течение 2-3 мин. Затем использ</w:t>
      </w:r>
      <w:r>
        <w:t>о</w:t>
      </w:r>
      <w:r>
        <w:t>вали для исследования. Бактерии рода сальмонелл определяли по общ</w:t>
      </w:r>
      <w:r>
        <w:t>е</w:t>
      </w:r>
      <w:r>
        <w:t>принятой методике. Всего проведено 144 опыта.</w:t>
      </w:r>
    </w:p>
    <w:p w:rsidR="00F4654E" w:rsidRDefault="00F4654E">
      <w:pPr>
        <w:pStyle w:val="a6"/>
      </w:pPr>
      <w:r>
        <w:t>Таким образом, оценивали результаты мик</w:t>
      </w:r>
      <w:r>
        <w:softHyphen/>
        <w:t>робиологических исслед</w:t>
      </w:r>
      <w:r>
        <w:t>о</w:t>
      </w:r>
      <w:r>
        <w:t>ваний смывов со скорлупы яиц, инфицированных сальмонеллой после мойки,  ополаскивания и дезинфекции 1,- 2- и 3%-ными растворами пер</w:t>
      </w:r>
      <w:r>
        <w:t>е</w:t>
      </w:r>
      <w:r>
        <w:t>киси водорода при экспозиции 2 мин.</w:t>
      </w:r>
    </w:p>
    <w:p w:rsidR="00F4654E" w:rsidRDefault="00F4654E">
      <w:pPr>
        <w:pStyle w:val="a6"/>
      </w:pPr>
      <w:r>
        <w:t>Контролем служили смывы с поверхности скорлупы яиц, взятые п</w:t>
      </w:r>
      <w:r>
        <w:t>о</w:t>
      </w:r>
      <w:r>
        <w:t>сле их инфицирования, мойки и ополаскивания, то есть перед дезинфекц</w:t>
      </w:r>
      <w:r>
        <w:t>и</w:t>
      </w:r>
      <w:r>
        <w:t>ей. Во всех этих смывах были выявлены сальмонеллы. В смывах с поверх</w:t>
      </w:r>
      <w:r>
        <w:softHyphen/>
        <w:t>ности скорлупы яиц, зараженных сальмонеллой и исследованных после мойки или мойки с ополаскиванием, также обнаружены сальмонеллы.</w:t>
      </w:r>
    </w:p>
    <w:p w:rsidR="00F4654E" w:rsidRDefault="00F4654E">
      <w:pPr>
        <w:pStyle w:val="a6"/>
      </w:pPr>
      <w:r>
        <w:t>Растворы перекиси водорода 1,6%-ной кон</w:t>
      </w:r>
      <w:r>
        <w:softHyphen/>
        <w:t>центрации, которыми обр</w:t>
      </w:r>
      <w:r>
        <w:t>а</w:t>
      </w:r>
      <w:r>
        <w:t>батывали яйца методом орошения или погружения, не вызывали деконт</w:t>
      </w:r>
      <w:r>
        <w:t>а</w:t>
      </w:r>
      <w:r>
        <w:t>минации сальмонелл на поверхности скорлупы. При испытании 2%-ной перекиси водорода сальмонеллы не были выделены из смывов после обр</w:t>
      </w:r>
      <w:r>
        <w:t>а</w:t>
      </w:r>
      <w:r>
        <w:t>ботки яиц только методом погру</w:t>
      </w:r>
      <w:r>
        <w:softHyphen/>
        <w:t>жения (100%-ная эффективность).</w:t>
      </w:r>
    </w:p>
    <w:p w:rsidR="00F4654E" w:rsidRDefault="00F4654E">
      <w:pPr>
        <w:pStyle w:val="a6"/>
      </w:pPr>
      <w:r>
        <w:t>Самой эффективной оказалась дезинфек</w:t>
      </w:r>
      <w:r>
        <w:softHyphen/>
        <w:t xml:space="preserve">ция яиц раствором перекиси водорода 3%-ной концентрации, как орошением, так и погружением на 2 </w:t>
      </w:r>
      <w:r>
        <w:lastRenderedPageBreak/>
        <w:t>мин. Ни в том,  ни в другом случае сальмонеллы не выделены. Перекись водорода отбеливает скорлупу и инактивирует микроорганизмы, в том числе и сальмонеллы. Она быстро разлагается на воду и кислород, не им</w:t>
      </w:r>
      <w:r>
        <w:t>е</w:t>
      </w:r>
      <w:r>
        <w:t>ет запаха, обладает высоким бактерицидным действием. Допуще</w:t>
      </w:r>
      <w:r>
        <w:softHyphen/>
        <w:t>на орг</w:t>
      </w:r>
      <w:r>
        <w:t>а</w:t>
      </w:r>
      <w:r>
        <w:t>нами санитарно-эпидемиологического надзора для обработки пищевых продуктов и медицинских препаратов. За рубежом ее широко используют для стерилизации моло</w:t>
      </w:r>
      <w:r>
        <w:softHyphen/>
        <w:t>ка и обесцвечивания крови.</w:t>
      </w:r>
    </w:p>
    <w:p w:rsidR="00F4654E" w:rsidRDefault="00F4654E">
      <w:pPr>
        <w:pStyle w:val="a6"/>
      </w:pPr>
      <w:r>
        <w:t>Результаты экспериментов по обработке яиц растворами надуксусной кислоты (НУК) в разных концентрациях с  экспозицией 2 мин с целью ин-активации сальмонелл на поверхности скорлупы при искусственном и</w:t>
      </w:r>
      <w:r>
        <w:t>н</w:t>
      </w:r>
      <w:r>
        <w:t>фицировании показали, что микробы уничтожаются полностью под во</w:t>
      </w:r>
      <w:r>
        <w:t>з</w:t>
      </w:r>
      <w:r>
        <w:t>действием 0,06%-ного раствора НУК.</w:t>
      </w:r>
    </w:p>
    <w:p w:rsidR="00F4654E" w:rsidRDefault="00F4654E">
      <w:pPr>
        <w:pStyle w:val="a6"/>
      </w:pPr>
      <w:r>
        <w:t>Проведенные исследования дают нам осно</w:t>
      </w:r>
      <w:r>
        <w:softHyphen/>
        <w:t>вание рекомендовать для дезинфекции пище</w:t>
      </w:r>
      <w:r>
        <w:softHyphen/>
        <w:t>вых яиц любой из трех способов: погруже</w:t>
      </w:r>
      <w:r>
        <w:softHyphen/>
        <w:t>ние в раствор перекиси водорода 2%-ной концентрации на 2 мин; орошение и погру</w:t>
      </w:r>
      <w:r>
        <w:softHyphen/>
        <w:t>жение в 3%-ный раствор перекиси водорода на такое же время; орошение и погружение в 0,05%-ный раствор (по действующему веществу) наду</w:t>
      </w:r>
      <w:r>
        <w:t>к</w:t>
      </w:r>
      <w:r>
        <w:t>сусной кислоты при указан</w:t>
      </w:r>
      <w:r>
        <w:softHyphen/>
        <w:t>ной выше экспозиции.</w:t>
      </w:r>
    </w:p>
    <w:p w:rsidR="00F4654E" w:rsidRDefault="00F4654E">
      <w:pPr>
        <w:pStyle w:val="a4"/>
      </w:pPr>
      <w:r>
        <w:t>УДК 619:618.7-085:636.22/.28</w:t>
      </w:r>
    </w:p>
    <w:p w:rsidR="00F4654E" w:rsidRDefault="00F4654E">
      <w:pPr>
        <w:pStyle w:val="1"/>
      </w:pPr>
      <w:bookmarkStart w:id="4885" w:name="_Toc10731564"/>
      <w:bookmarkStart w:id="4886" w:name="_Toc11138019"/>
      <w:bookmarkStart w:id="4887" w:name="_Toc11138437"/>
      <w:bookmarkStart w:id="4888" w:name="_Toc11138855"/>
      <w:bookmarkStart w:id="4889" w:name="_Toc11139273"/>
      <w:bookmarkStart w:id="4890" w:name="_Toc11139691"/>
      <w:bookmarkStart w:id="4891" w:name="_Toc11140109"/>
      <w:bookmarkStart w:id="4892" w:name="_Toc11140527"/>
      <w:bookmarkStart w:id="4893" w:name="_Toc11390631"/>
      <w:bookmarkStart w:id="4894" w:name="_Toc11840316"/>
      <w:bookmarkStart w:id="4895" w:name="_Toc11937852"/>
      <w:r>
        <w:t>Сравнительная оценка способов отделения задержавшегося последа у коров</w:t>
      </w:r>
      <w:bookmarkEnd w:id="4885"/>
      <w:bookmarkEnd w:id="4886"/>
      <w:bookmarkEnd w:id="4887"/>
      <w:bookmarkEnd w:id="4888"/>
      <w:bookmarkEnd w:id="4889"/>
      <w:bookmarkEnd w:id="4890"/>
      <w:bookmarkEnd w:id="4891"/>
      <w:bookmarkEnd w:id="4892"/>
      <w:bookmarkEnd w:id="4893"/>
      <w:bookmarkEnd w:id="4894"/>
      <w:bookmarkEnd w:id="4895"/>
    </w:p>
    <w:p w:rsidR="00F4654E" w:rsidRDefault="00F4654E">
      <w:pPr>
        <w:pStyle w:val="2"/>
      </w:pPr>
      <w:bookmarkStart w:id="4896" w:name="_Toc10731565"/>
      <w:bookmarkStart w:id="4897" w:name="_Toc11032373"/>
      <w:bookmarkStart w:id="4898" w:name="_Toc11138020"/>
      <w:bookmarkStart w:id="4899" w:name="_Toc11138438"/>
      <w:bookmarkStart w:id="4900" w:name="_Toc11138856"/>
      <w:bookmarkStart w:id="4901" w:name="_Toc11139274"/>
      <w:bookmarkStart w:id="4902" w:name="_Toc11139692"/>
      <w:bookmarkStart w:id="4903" w:name="_Toc11140110"/>
      <w:bookmarkStart w:id="4904" w:name="_Toc11140528"/>
      <w:bookmarkStart w:id="4905" w:name="_Toc11390632"/>
      <w:bookmarkStart w:id="4906" w:name="_Toc11937853"/>
      <w:r>
        <w:t>Семиволос А.М., Соколова Н.В.</w:t>
      </w:r>
      <w:bookmarkEnd w:id="4896"/>
      <w:bookmarkEnd w:id="4897"/>
      <w:bookmarkEnd w:id="4898"/>
      <w:bookmarkEnd w:id="4899"/>
      <w:bookmarkEnd w:id="4900"/>
      <w:bookmarkEnd w:id="4901"/>
      <w:bookmarkEnd w:id="4902"/>
      <w:bookmarkEnd w:id="4903"/>
      <w:bookmarkEnd w:id="4904"/>
      <w:bookmarkEnd w:id="4905"/>
      <w:bookmarkEnd w:id="4906"/>
    </w:p>
    <w:p w:rsidR="00F4654E" w:rsidRDefault="00F4654E">
      <w:pPr>
        <w:pStyle w:val="a5"/>
      </w:pPr>
      <w:r>
        <w:t>Саратовский государственный аграрный университет им. Н.И. Вавилова</w:t>
      </w:r>
    </w:p>
    <w:p w:rsidR="00F4654E" w:rsidRDefault="00F4654E">
      <w:pPr>
        <w:pStyle w:val="a6"/>
      </w:pPr>
      <w:r>
        <w:t>Задержанию последа у коров посвящено много экспериментальных исследований, однако вопрос о выборе эффективного лекарственного средства для лечения коров с данной патологией или создании новых пр</w:t>
      </w:r>
      <w:r>
        <w:t>е</w:t>
      </w:r>
      <w:r>
        <w:t>паратов остается открытым до настоящего время.</w:t>
      </w:r>
    </w:p>
    <w:p w:rsidR="00F4654E" w:rsidRDefault="00F4654E">
      <w:pPr>
        <w:pStyle w:val="a6"/>
      </w:pPr>
      <w:r>
        <w:t>По принципу аналогов сформировали 5 опытных групп коров с з</w:t>
      </w:r>
      <w:r>
        <w:t>а</w:t>
      </w:r>
      <w:r>
        <w:t>держанием последа (n=20). Для отделения последа у коров первой опытной группы использовали утеротон внутримышечно, в дозе 10 мл. Животным второй опытной группы внутриматочно вводили микстуру, состоящую из 3 мл 10% -ной настойки белой чемерицы и 97 мл дистиллированной воды. Коров третьей опытной группы подвергали аурикулярной акупунктуре, а у животных пятой опытной группы стимуляцию сократительной функции матки осуществляли с помощью радиоэлектронного отделителя последа "Элегант", который вводили рукой в полость матки.</w:t>
      </w:r>
    </w:p>
    <w:p w:rsidR="00F4654E" w:rsidRDefault="00F4654E">
      <w:pPr>
        <w:pStyle w:val="a6"/>
      </w:pPr>
      <w:r>
        <w:t>Клиническими наблюдениями установлено, что самой низкой оказ</w:t>
      </w:r>
      <w:r>
        <w:t>а</w:t>
      </w:r>
      <w:r>
        <w:t>лась терапевтическая эффективность аурикулярной акупунктуры. Послед отделился только у 45,0% животных, оплодотворяемость от первого ос</w:t>
      </w:r>
      <w:r>
        <w:t>е</w:t>
      </w:r>
      <w:r>
        <w:t>менения составила 35,0%.</w:t>
      </w:r>
    </w:p>
    <w:p w:rsidR="00F4654E" w:rsidRDefault="00F4654E">
      <w:pPr>
        <w:pStyle w:val="a6"/>
      </w:pPr>
      <w:r>
        <w:lastRenderedPageBreak/>
        <w:t>Электростимуляция сократительной деятельности матки способств</w:t>
      </w:r>
      <w:r>
        <w:t>о</w:t>
      </w:r>
      <w:r>
        <w:t>вала отделению последа у 75,0% коров с оплодотворяемостью по первому половому циклу 45,0% самок.</w:t>
      </w:r>
    </w:p>
    <w:p w:rsidR="00F4654E" w:rsidRDefault="00F4654E">
      <w:pPr>
        <w:pStyle w:val="a6"/>
      </w:pPr>
      <w:r>
        <w:t>Использование "Элеганта" не предусматривает закрепления прибора около больного животного или даже на теле самки. Устройство, имея м</w:t>
      </w:r>
      <w:r>
        <w:t>а</w:t>
      </w:r>
      <w:r>
        <w:t>лые габариты (0,04х0,12 м</w:t>
      </w:r>
      <w:r>
        <w:rPr>
          <w:vertAlign w:val="superscript"/>
        </w:rPr>
        <w:t>2</w:t>
      </w:r>
      <w:r>
        <w:t>) и массу (0,15 кг) полностью находится в п</w:t>
      </w:r>
      <w:r>
        <w:t>о</w:t>
      </w:r>
      <w:r>
        <w:t>лости матки. Включение, подача коротких импульсов тока и отключение осуществляется автоматически по заданной программе. После подачи н</w:t>
      </w:r>
      <w:r>
        <w:t>е</w:t>
      </w:r>
      <w:r>
        <w:t>скольких импульсов тока слабой силы и напряжения во всех случаях отм</w:t>
      </w:r>
      <w:r>
        <w:t>е</w:t>
      </w:r>
      <w:r>
        <w:t>чали восстановление рефлекторной сократимости миометрия коров.</w:t>
      </w:r>
    </w:p>
    <w:p w:rsidR="00F4654E" w:rsidRDefault="00F4654E">
      <w:pPr>
        <w:pStyle w:val="a6"/>
      </w:pPr>
      <w:r>
        <w:t>Применение утеротона сопровождалось отделением задержавшегося последа у коров в 80,0% случаев и оплодотворяемостью 55,0% самок.</w:t>
      </w:r>
    </w:p>
    <w:p w:rsidR="00F4654E" w:rsidRDefault="00F4654E">
      <w:pPr>
        <w:pStyle w:val="a6"/>
      </w:pPr>
      <w:r>
        <w:t>Лучшая терапевтическая эффективность лечения коров с задержа</w:t>
      </w:r>
      <w:r>
        <w:t>в</w:t>
      </w:r>
      <w:r>
        <w:t>шимся последом получена от внутриматочного введения микстуры (85,0%) при оплодотворяемости от первого осеменения 45,0%.</w:t>
      </w:r>
    </w:p>
    <w:p w:rsidR="00F4654E" w:rsidRPr="0001153D" w:rsidRDefault="00F4654E">
      <w:pPr>
        <w:pStyle w:val="a6"/>
        <w:rPr>
          <w:spacing w:val="-2"/>
        </w:rPr>
      </w:pPr>
      <w:r w:rsidRPr="0001153D">
        <w:rPr>
          <w:spacing w:val="-2"/>
        </w:rPr>
        <w:t>Следует отметить, что усиление сократительной функции миометрия происходило почти одновременно с потугами, которые возникали через 10-15 сек. после попадания микстуры на слизистую эндометрия, что и обесп</w:t>
      </w:r>
      <w:r w:rsidRPr="0001153D">
        <w:rPr>
          <w:spacing w:val="-2"/>
        </w:rPr>
        <w:t>е</w:t>
      </w:r>
      <w:r w:rsidRPr="0001153D">
        <w:rPr>
          <w:spacing w:val="-2"/>
        </w:rPr>
        <w:t>чивало более активное отделение котиледонов от карункулов у к</w:t>
      </w:r>
      <w:r w:rsidRPr="0001153D">
        <w:rPr>
          <w:spacing w:val="-2"/>
        </w:rPr>
        <w:t>о</w:t>
      </w:r>
      <w:r w:rsidRPr="0001153D">
        <w:rPr>
          <w:spacing w:val="-2"/>
        </w:rPr>
        <w:t>ров.</w:t>
      </w:r>
    </w:p>
    <w:p w:rsidR="00F4654E" w:rsidRDefault="00F4654E">
      <w:pPr>
        <w:pStyle w:val="a4"/>
      </w:pPr>
      <w:r>
        <w:t>УДК 619:615.31+636.5</w:t>
      </w:r>
    </w:p>
    <w:p w:rsidR="00F4654E" w:rsidRDefault="00F4654E">
      <w:pPr>
        <w:pStyle w:val="1"/>
      </w:pPr>
      <w:bookmarkStart w:id="4907" w:name="_Toc10731566"/>
      <w:bookmarkStart w:id="4908" w:name="_Toc11138021"/>
      <w:bookmarkStart w:id="4909" w:name="_Toc11138439"/>
      <w:bookmarkStart w:id="4910" w:name="_Toc11138857"/>
      <w:bookmarkStart w:id="4911" w:name="_Toc11139275"/>
      <w:bookmarkStart w:id="4912" w:name="_Toc11139693"/>
      <w:bookmarkStart w:id="4913" w:name="_Toc11140111"/>
      <w:bookmarkStart w:id="4914" w:name="_Toc11140529"/>
      <w:bookmarkStart w:id="4915" w:name="_Toc11390633"/>
      <w:bookmarkStart w:id="4916" w:name="_Toc11840318"/>
      <w:bookmarkStart w:id="4917" w:name="_Toc11937854"/>
      <w:r>
        <w:t>Применение сульфалена в птицеводстве</w:t>
      </w:r>
      <w:bookmarkEnd w:id="4907"/>
      <w:bookmarkEnd w:id="4908"/>
      <w:bookmarkEnd w:id="4909"/>
      <w:bookmarkEnd w:id="4910"/>
      <w:bookmarkEnd w:id="4911"/>
      <w:bookmarkEnd w:id="4912"/>
      <w:bookmarkEnd w:id="4913"/>
      <w:bookmarkEnd w:id="4914"/>
      <w:bookmarkEnd w:id="4915"/>
      <w:bookmarkEnd w:id="4916"/>
      <w:bookmarkEnd w:id="4917"/>
    </w:p>
    <w:p w:rsidR="00F4654E" w:rsidRDefault="00F4654E">
      <w:pPr>
        <w:pStyle w:val="2"/>
      </w:pPr>
      <w:bookmarkStart w:id="4918" w:name="_Toc10731567"/>
      <w:bookmarkStart w:id="4919" w:name="_Toc11032374"/>
      <w:bookmarkStart w:id="4920" w:name="_Toc11138022"/>
      <w:bookmarkStart w:id="4921" w:name="_Toc11138440"/>
      <w:bookmarkStart w:id="4922" w:name="_Toc11138858"/>
      <w:bookmarkStart w:id="4923" w:name="_Toc11139276"/>
      <w:bookmarkStart w:id="4924" w:name="_Toc11139694"/>
      <w:bookmarkStart w:id="4925" w:name="_Toc11140112"/>
      <w:bookmarkStart w:id="4926" w:name="_Toc11140530"/>
      <w:bookmarkStart w:id="4927" w:name="_Toc11390634"/>
      <w:bookmarkStart w:id="4928" w:name="_Toc11937855"/>
      <w:r>
        <w:t>Сингариева Н.Ш., Ортман Р. А.</w:t>
      </w:r>
      <w:bookmarkEnd w:id="4918"/>
      <w:bookmarkEnd w:id="4919"/>
      <w:bookmarkEnd w:id="4920"/>
      <w:bookmarkEnd w:id="4921"/>
      <w:bookmarkEnd w:id="4922"/>
      <w:bookmarkEnd w:id="4923"/>
      <w:bookmarkEnd w:id="4924"/>
      <w:bookmarkEnd w:id="4925"/>
      <w:bookmarkEnd w:id="4926"/>
      <w:bookmarkEnd w:id="4927"/>
      <w:bookmarkEnd w:id="4928"/>
    </w:p>
    <w:p w:rsidR="00F4654E" w:rsidRDefault="00F4654E">
      <w:pPr>
        <w:pStyle w:val="a5"/>
      </w:pPr>
      <w:r>
        <w:t>Оренбургский государственный аграрный университет</w:t>
      </w:r>
    </w:p>
    <w:p w:rsidR="00F4654E" w:rsidRDefault="00F4654E">
      <w:pPr>
        <w:pStyle w:val="a6"/>
      </w:pPr>
      <w:r>
        <w:t>Сульфален - это ультрапролонгированный сульфаниламидный преп</w:t>
      </w:r>
      <w:r>
        <w:t>а</w:t>
      </w:r>
      <w:r>
        <w:t>рат широкого спектра действия. Изучив фармакокинетику данного преп</w:t>
      </w:r>
      <w:r>
        <w:t>а</w:t>
      </w:r>
      <w:r>
        <w:t>рата в лабораторных условиях, мы установили оптимальные дозы и раци</w:t>
      </w:r>
      <w:r>
        <w:t>о</w:t>
      </w:r>
      <w:r>
        <w:t>нальные схемы назначения сульфалена цыплятам 2-3-месячного возраста.</w:t>
      </w:r>
    </w:p>
    <w:p w:rsidR="00F4654E" w:rsidRDefault="00F4654E">
      <w:pPr>
        <w:pStyle w:val="a6"/>
      </w:pPr>
      <w:r>
        <w:t>Испытание сульфалена проводились в условиях АОЗТ «Спутник» Соль-Илецкого района Оренбургской области. Птицефабрика является благополучной по инфекционным заболеваниям. По заключению ветер</w:t>
      </w:r>
      <w:r>
        <w:t>и</w:t>
      </w:r>
      <w:r>
        <w:t>нарных специалистов данного хозяйства наиболее распространенными из незаразных болезней являются гастроэнтериты, расклев и травмы. Мод</w:t>
      </w:r>
      <w:r>
        <w:t>е</w:t>
      </w:r>
      <w:r>
        <w:t>лью патологического состояния организма мы выбрали неспецифический гастроэнтерит.</w:t>
      </w:r>
    </w:p>
    <w:p w:rsidR="00F4654E" w:rsidRDefault="00F4654E">
      <w:pPr>
        <w:pStyle w:val="a6"/>
      </w:pPr>
      <w:r>
        <w:t>Были сформированы три группы цыплят породы ломанн-браун 2-месячного возраста, по 100 голов в каждой. Все цыплята имели явные пр</w:t>
      </w:r>
      <w:r>
        <w:t>и</w:t>
      </w:r>
      <w:r>
        <w:t>знаки расстройства функции желудочно-кишечного тракта. У них отмеч</w:t>
      </w:r>
      <w:r>
        <w:t>а</w:t>
      </w:r>
      <w:r>
        <w:t>лось частое выделение жидкого помета с примесью слизи и непереваре</w:t>
      </w:r>
      <w:r>
        <w:t>н</w:t>
      </w:r>
      <w:r>
        <w:t>ных частиц корма. Наблюдалось угнетенное состояние, оперение загрязн</w:t>
      </w:r>
      <w:r>
        <w:t>е</w:t>
      </w:r>
      <w:r>
        <w:t>но испражнениями, было тусклым и взъерошенным, на теле цыплят отм</w:t>
      </w:r>
      <w:r>
        <w:t>е</w:t>
      </w:r>
      <w:r>
        <w:t>чались алопетические участки и следы расклева Масса тела была в сре</w:t>
      </w:r>
      <w:r>
        <w:t>д</w:t>
      </w:r>
      <w:r>
        <w:lastRenderedPageBreak/>
        <w:t>нем ниже на 120 г по сравнению с нормой. При вскрытии трупов основные изменения отмечали в желудочно-кишечном тракте,</w:t>
      </w:r>
    </w:p>
    <w:p w:rsidR="00F4654E" w:rsidRDefault="00F4654E">
      <w:pPr>
        <w:pStyle w:val="a6"/>
      </w:pPr>
      <w:r>
        <w:t>Первая группа цыплят являлась контролем, и сульфален ей не назн</w:t>
      </w:r>
      <w:r>
        <w:t>а</w:t>
      </w:r>
      <w:r>
        <w:t>чали, вторая и третья группы были опытными, и препарат назначали по разработанной нами схеме многократного введения, но в отличие от лаб</w:t>
      </w:r>
      <w:r>
        <w:t>о</w:t>
      </w:r>
      <w:r>
        <w:t>раторных исследований, сульфален задавали не индивидуально, а групп</w:t>
      </w:r>
      <w:r>
        <w:t>о</w:t>
      </w:r>
      <w:r>
        <w:t>вым способом, с кормом. Цыплятам второй опытной группы назначали сульфален по схеме: 0,05 г/кг - начальная и 0,025 г/кг -поддерживающая, а третьей - 0,1 г/кг- начальная и 0,05 г/кг -поддерживающая с 24-часовыми интервалами между введениями. Препарат тщательно смешивали с кормом из расчета, что 8-недельный цыпленок потребляет 50-60 граммов в день (согласно руководству по содержанию стада ломанн-браун).</w:t>
      </w:r>
    </w:p>
    <w:p w:rsidR="00F4654E" w:rsidRDefault="00F4654E">
      <w:pPr>
        <w:pStyle w:val="a6"/>
      </w:pPr>
      <w:r>
        <w:t>Проведенные исследования показали, что разработанные схемы ку</w:t>
      </w:r>
      <w:r>
        <w:t>р</w:t>
      </w:r>
      <w:r>
        <w:t>сового назначения вполне обеспечивали стабильные терапевтические уровни концентрации. Уже на второй-третий день отмечались определе</w:t>
      </w:r>
      <w:r>
        <w:t>н</w:t>
      </w:r>
      <w:r>
        <w:t>ные изменения: улучшение общего состояния, повышение аппетита, но</w:t>
      </w:r>
      <w:r>
        <w:t>р</w:t>
      </w:r>
      <w:r>
        <w:t>мализация акта дефекации и каловые массы приобретали естественный вид и консистенцию. За период наблюдения в опытных группах падежа цыплят не было, а в контрольной группе пало 12 голов. Следовательно, сульфален проявлял химиотерапевтическое действие при неспецифическом гастроэ</w:t>
      </w:r>
      <w:r>
        <w:t>н</w:t>
      </w:r>
      <w:r>
        <w:t>терите и обеспечивал 100% сохранность цыплят.</w:t>
      </w:r>
    </w:p>
    <w:p w:rsidR="00F4654E" w:rsidRDefault="00F4654E">
      <w:pPr>
        <w:pStyle w:val="a6"/>
      </w:pPr>
      <w:r>
        <w:t>Положительные результаты получены и при анализе массы тела цы</w:t>
      </w:r>
      <w:r>
        <w:t>п</w:t>
      </w:r>
      <w:r>
        <w:t>лят. Перед началом эксперимента мы произвели взвешивание цыплят и выяснили, что средняя масса тела их в контрольной группе равнялась 498,3±24,42 г, в двух опытных группах - 491,б±8,33 и 506,6 ±15,63 г соо</w:t>
      </w:r>
      <w:r>
        <w:t>т</w:t>
      </w:r>
      <w:r>
        <w:t>ветственно, а согла</w:t>
      </w:r>
      <w:r>
        <w:t>с</w:t>
      </w:r>
      <w:r>
        <w:t>но нормативам по породе ломанн-браун, она должна составлять в 8-недельном возрасте 620 г. В процессе эксперимента масса тела цыплят во всех группах постепенно увеличивалась, но имелись нек</w:t>
      </w:r>
      <w:r>
        <w:t>о</w:t>
      </w:r>
      <w:r>
        <w:t>торые различия в интенсивности роста. Так, по прошествии 20 и 30 дней с момента экспер</w:t>
      </w:r>
      <w:r>
        <w:t>и</w:t>
      </w:r>
      <w:r>
        <w:t>мента средняя масса тела увеличивалась на 59,7% и 79,8% в опытной группе и на 51.2% и 66,6% в контрольной группе. Следовател</w:t>
      </w:r>
      <w:r>
        <w:t>ь</w:t>
      </w:r>
      <w:r>
        <w:t>но, прирост массы тела у цыплят после лечения сульфаленом был дост</w:t>
      </w:r>
      <w:r>
        <w:t>о</w:t>
      </w:r>
      <w:r>
        <w:t>верно выше, чем у особей контрольной группы, на 14,1% (р&lt;0,01) и 13,2% (р&lt;0,02).</w:t>
      </w:r>
    </w:p>
    <w:p w:rsidR="00F4654E" w:rsidRDefault="00F4654E">
      <w:pPr>
        <w:pStyle w:val="a6"/>
      </w:pPr>
      <w:r>
        <w:t>Таким образом, назначение сульфалена по двум схемам показало, что препарат, помимо химиотерапевтического действия, оказывает полож</w:t>
      </w:r>
      <w:r>
        <w:t>и</w:t>
      </w:r>
      <w:r>
        <w:t>тельное влияние на прирост массы тела цыплят. Этот факт можно объя</w:t>
      </w:r>
      <w:r>
        <w:t>с</w:t>
      </w:r>
      <w:r>
        <w:t>нить тем, что препарат способствует купированию воспалительного пр</w:t>
      </w:r>
      <w:r>
        <w:t>о</w:t>
      </w:r>
      <w:r>
        <w:t>цесса, восстановлению нормальной функции желудочно-кишечного тракта и улучшению усвоения кормов за счет стимулирующего влияния на ма</w:t>
      </w:r>
      <w:r>
        <w:t>к</w:t>
      </w:r>
      <w:r>
        <w:t>роорганизм. Кроме того, применение сульфалена экономически обоснов</w:t>
      </w:r>
      <w:r>
        <w:t>а</w:t>
      </w:r>
      <w:r>
        <w:t>но, т.к. на один рубль затрат дает 13, 75 рубля прибыли.</w:t>
      </w:r>
    </w:p>
    <w:p w:rsidR="00F4654E" w:rsidRDefault="00F4654E">
      <w:pPr>
        <w:pStyle w:val="a4"/>
      </w:pPr>
      <w:r>
        <w:lastRenderedPageBreak/>
        <w:t>УДК 636.4:612.017.11/.12</w:t>
      </w:r>
    </w:p>
    <w:p w:rsidR="00F4654E" w:rsidRDefault="00F4654E">
      <w:pPr>
        <w:pStyle w:val="1"/>
      </w:pPr>
      <w:bookmarkStart w:id="4929" w:name="_Toc10731588"/>
      <w:bookmarkStart w:id="4930" w:name="_Toc11138023"/>
      <w:bookmarkStart w:id="4931" w:name="_Toc11138441"/>
      <w:bookmarkStart w:id="4932" w:name="_Toc11138859"/>
      <w:bookmarkStart w:id="4933" w:name="_Toc11139277"/>
      <w:bookmarkStart w:id="4934" w:name="_Toc11139695"/>
      <w:bookmarkStart w:id="4935" w:name="_Toc11140113"/>
      <w:bookmarkStart w:id="4936" w:name="_Toc11140531"/>
      <w:bookmarkStart w:id="4937" w:name="_Toc11390635"/>
      <w:bookmarkStart w:id="4938" w:name="_Toc11840320"/>
      <w:bookmarkStart w:id="4939" w:name="_Toc11937856"/>
      <w:r>
        <w:t>ПРОГНОЗИРОВАНИЕ И КОРРЕКЦИЯ ИММУННОГО СТАТУСА НОВОРОЖДЕННЫХ ПОРОСЯТ</w:t>
      </w:r>
      <w:bookmarkEnd w:id="4929"/>
      <w:bookmarkEnd w:id="4930"/>
      <w:bookmarkEnd w:id="4931"/>
      <w:bookmarkEnd w:id="4932"/>
      <w:bookmarkEnd w:id="4933"/>
      <w:bookmarkEnd w:id="4934"/>
      <w:bookmarkEnd w:id="4935"/>
      <w:bookmarkEnd w:id="4936"/>
      <w:bookmarkEnd w:id="4937"/>
      <w:bookmarkEnd w:id="4938"/>
      <w:bookmarkEnd w:id="4939"/>
    </w:p>
    <w:p w:rsidR="00F4654E" w:rsidRDefault="00F4654E">
      <w:pPr>
        <w:pStyle w:val="2"/>
      </w:pPr>
      <w:bookmarkStart w:id="4940" w:name="_Toc10731589"/>
      <w:bookmarkStart w:id="4941" w:name="_Toc11032375"/>
      <w:bookmarkStart w:id="4942" w:name="_Toc11138024"/>
      <w:bookmarkStart w:id="4943" w:name="_Toc11138442"/>
      <w:bookmarkStart w:id="4944" w:name="_Toc11138860"/>
      <w:bookmarkStart w:id="4945" w:name="_Toc11139278"/>
      <w:bookmarkStart w:id="4946" w:name="_Toc11139696"/>
      <w:bookmarkStart w:id="4947" w:name="_Toc11140114"/>
      <w:bookmarkStart w:id="4948" w:name="_Toc11140532"/>
      <w:bookmarkStart w:id="4949" w:name="_Toc11390636"/>
      <w:bookmarkStart w:id="4950" w:name="_Toc11937857"/>
      <w:r>
        <w:t>Симонов А.Л., Великанов В.И., Ярушин А.Д., Молев А.И.</w:t>
      </w:r>
      <w:bookmarkEnd w:id="4940"/>
      <w:bookmarkEnd w:id="4941"/>
      <w:bookmarkEnd w:id="4942"/>
      <w:bookmarkEnd w:id="4943"/>
      <w:bookmarkEnd w:id="4944"/>
      <w:bookmarkEnd w:id="4945"/>
      <w:bookmarkEnd w:id="4946"/>
      <w:bookmarkEnd w:id="4947"/>
      <w:bookmarkEnd w:id="4948"/>
      <w:bookmarkEnd w:id="4949"/>
      <w:bookmarkEnd w:id="4950"/>
    </w:p>
    <w:p w:rsidR="00F4654E" w:rsidRDefault="00F4654E">
      <w:pPr>
        <w:pStyle w:val="a5"/>
      </w:pPr>
      <w:r>
        <w:t>Нижегородская государственная сельскохозяйственная академия</w:t>
      </w:r>
    </w:p>
    <w:p w:rsidR="00F4654E" w:rsidRDefault="00F4654E">
      <w:pPr>
        <w:pStyle w:val="a6"/>
      </w:pPr>
      <w:r>
        <w:t>Необходимость изучения проблемы адаптации сельскохозяйственных животных связана с преобразованием исторически сложившихся приемов и методов ведения животноводства. Перевод животных в промышленные комплексы и создание для них новой экологической среды, микроклимата, типа кормления закономерно видоизменяет адаптационные возможности организма. Поэтому одной из актуальных задач физиологии сельскохозя</w:t>
      </w:r>
      <w:r>
        <w:t>й</w:t>
      </w:r>
      <w:r>
        <w:t>ственных животных является поиск путей оптимизации быстрой и усто</w:t>
      </w:r>
      <w:r>
        <w:t>й</w:t>
      </w:r>
      <w:r>
        <w:t xml:space="preserve">чивой адаптации для предупреждения вероятного перехода организма из состояния здоровья на грань патологии. </w:t>
      </w:r>
    </w:p>
    <w:p w:rsidR="00F4654E" w:rsidRDefault="00F4654E">
      <w:pPr>
        <w:pStyle w:val="a6"/>
      </w:pPr>
      <w:r>
        <w:t>Продолжают оставаться актуальными задачи поиска препаратов, во</w:t>
      </w:r>
      <w:r>
        <w:t>з</w:t>
      </w:r>
      <w:r>
        <w:t>действующих на иммунные  и компенсаторные механизмы адаптации н</w:t>
      </w:r>
      <w:r>
        <w:t>о</w:t>
      </w:r>
      <w:r>
        <w:t>ворожденных животных к новой среде обитания с целью предупреждения вероятных нарушений процесса формирования гомеостатических функций организма.</w:t>
      </w:r>
    </w:p>
    <w:p w:rsidR="0001153D" w:rsidRDefault="00F4654E">
      <w:pPr>
        <w:pStyle w:val="a6"/>
      </w:pPr>
      <w:r>
        <w:t>Проведенные нами исследования показали, что физиологический ст</w:t>
      </w:r>
      <w:r>
        <w:t>а</w:t>
      </w:r>
      <w:r>
        <w:t>тус новорожденных поросят по многим параметрам ниже физиологической нормы. Показатель общего белка ниже физиологической нормы на 8,6% и составляет 5,94 г%. Нарушено соотношение фракций альбуминов и глоб</w:t>
      </w:r>
      <w:r>
        <w:t>у</w:t>
      </w:r>
      <w:r>
        <w:t>линов. Альбумины составляют 3,13 г%, что превышает физиологическую норму на 20%, в то же время показатель глобулинов составил 2,81 г%, что ниже физиологических параметров на 28%. Это свидетельствует о напр</w:t>
      </w:r>
      <w:r>
        <w:t>я</w:t>
      </w:r>
      <w:r>
        <w:t xml:space="preserve">женности обменных и адаптационных процессов. </w:t>
      </w:r>
    </w:p>
    <w:p w:rsidR="00F4654E" w:rsidRPr="0001153D" w:rsidRDefault="00F4654E">
      <w:pPr>
        <w:pStyle w:val="a6"/>
        <w:rPr>
          <w:spacing w:val="2"/>
        </w:rPr>
      </w:pPr>
      <w:r w:rsidRPr="0001153D">
        <w:rPr>
          <w:spacing w:val="2"/>
        </w:rPr>
        <w:t>Также значительно ниже физиологической нормы показатели йода с белком – 3,0 мкг%, при физи</w:t>
      </w:r>
      <w:r w:rsidRPr="0001153D">
        <w:rPr>
          <w:spacing w:val="2"/>
        </w:rPr>
        <w:t>о</w:t>
      </w:r>
      <w:r w:rsidRPr="0001153D">
        <w:rPr>
          <w:spacing w:val="2"/>
        </w:rPr>
        <w:t>логической норме 4,0 мкг%; кальция – 10,9 мг% и неорганического фосфора – 4,15 мг% при физиологических норм</w:t>
      </w:r>
      <w:r w:rsidRPr="0001153D">
        <w:rPr>
          <w:spacing w:val="2"/>
        </w:rPr>
        <w:t>а</w:t>
      </w:r>
      <w:r w:rsidRPr="0001153D">
        <w:rPr>
          <w:spacing w:val="2"/>
        </w:rPr>
        <w:t>тивах 12 мг% и 5,0 мг% соответственно; селена – 0,33 мкг% при физиол</w:t>
      </w:r>
      <w:r w:rsidRPr="0001153D">
        <w:rPr>
          <w:spacing w:val="2"/>
        </w:rPr>
        <w:t>о</w:t>
      </w:r>
      <w:r w:rsidRPr="0001153D">
        <w:rPr>
          <w:spacing w:val="2"/>
        </w:rPr>
        <w:t>гических пределах 0,5 мкг%; аз</w:t>
      </w:r>
      <w:r w:rsidRPr="0001153D">
        <w:rPr>
          <w:spacing w:val="2"/>
        </w:rPr>
        <w:t>о</w:t>
      </w:r>
      <w:r w:rsidRPr="0001153D">
        <w:rPr>
          <w:spacing w:val="2"/>
        </w:rPr>
        <w:t>та аминокислот и аминного азота – 5,15 и 4,5 мг% при норме 7,0 и 5,0 мг% соответственно; фагоцитарной и лиз</w:t>
      </w:r>
      <w:r w:rsidRPr="0001153D">
        <w:rPr>
          <w:spacing w:val="2"/>
        </w:rPr>
        <w:t>о</w:t>
      </w:r>
      <w:r w:rsidRPr="0001153D">
        <w:rPr>
          <w:spacing w:val="2"/>
        </w:rPr>
        <w:t>цимной активности – 25 и 15 % при норме 31 и 18 % соответственно. П</w:t>
      </w:r>
      <w:r w:rsidRPr="0001153D">
        <w:rPr>
          <w:spacing w:val="2"/>
        </w:rPr>
        <w:t>о</w:t>
      </w:r>
      <w:r w:rsidRPr="0001153D">
        <w:rPr>
          <w:spacing w:val="2"/>
        </w:rPr>
        <w:t>казатели кобальта и меди превышали физиологическую норму на 40 и 28,6 %.</w:t>
      </w:r>
    </w:p>
    <w:p w:rsidR="00F4654E" w:rsidRDefault="00F4654E">
      <w:pPr>
        <w:pStyle w:val="a6"/>
      </w:pPr>
      <w:r>
        <w:t>При опоросах отмечали неравномерность развития приплода, что в дальнейшем обуславливало значительный процент поросят (до 40 %) о</w:t>
      </w:r>
      <w:r>
        <w:t>т</w:t>
      </w:r>
      <w:r>
        <w:t>стававших в росте и развитии. Отход новорожденных поросят доходил до 20 %, в том числе до 15 % в первые 5 дней жизни животных.</w:t>
      </w:r>
    </w:p>
    <w:p w:rsidR="00F4654E" w:rsidRDefault="00F4654E">
      <w:pPr>
        <w:pStyle w:val="a6"/>
      </w:pPr>
      <w:r>
        <w:t>Учитывая вышеизложенное, нами была разработана схема терапевт</w:t>
      </w:r>
      <w:r>
        <w:t>и</w:t>
      </w:r>
      <w:r>
        <w:t>ческой профилактики развития патологии новорожденных поросят. За м</w:t>
      </w:r>
      <w:r>
        <w:t>е</w:t>
      </w:r>
      <w:r>
        <w:lastRenderedPageBreak/>
        <w:t>сяц до опороса супоросным свиноматкам еженедельно вводили аминопе</w:t>
      </w:r>
      <w:r>
        <w:t>п</w:t>
      </w:r>
      <w:r>
        <w:t>тид, ферроглюкин и деполен. Новорожденным поросятам в первые сутки вводили ферроглюкин, на третьи сутки – деполен. В такой же очередности инъекции повторяли 2 раза с интервалом через одну неделю. Если регис</w:t>
      </w:r>
      <w:r>
        <w:t>т</w:t>
      </w:r>
      <w:r>
        <w:t>рировали отставание в росте и развитии, то указанным поросятам допо</w:t>
      </w:r>
      <w:r>
        <w:t>л</w:t>
      </w:r>
      <w:r>
        <w:t>нительно вводили тривит и гидролизин.</w:t>
      </w:r>
    </w:p>
    <w:p w:rsidR="00F4654E" w:rsidRDefault="00F4654E">
      <w:pPr>
        <w:pStyle w:val="a6"/>
      </w:pPr>
      <w:r>
        <w:t>В результате внедрения данных мероприятий значительно снизилось количество отстававших в росте и развитии поросят, нормализовалась ра</w:t>
      </w:r>
      <w:r>
        <w:t>в</w:t>
      </w:r>
      <w:r>
        <w:t>номерность развития помета, сохранность новорожденных поросят сост</w:t>
      </w:r>
      <w:r>
        <w:t>а</w:t>
      </w:r>
      <w:r>
        <w:t>вила 98,4 %.</w:t>
      </w:r>
    </w:p>
    <w:p w:rsidR="00F4654E" w:rsidRDefault="00F4654E">
      <w:pPr>
        <w:pStyle w:val="a4"/>
      </w:pPr>
      <w:r>
        <w:t>УДК 619:616.053-085:615.849.19:636.22/.28</w:t>
      </w:r>
    </w:p>
    <w:p w:rsidR="00F4654E" w:rsidRDefault="00F4654E">
      <w:pPr>
        <w:pStyle w:val="1"/>
      </w:pPr>
      <w:bookmarkStart w:id="4951" w:name="_Toc10731600"/>
      <w:bookmarkStart w:id="4952" w:name="_Toc11138027"/>
      <w:bookmarkStart w:id="4953" w:name="_Toc11138445"/>
      <w:bookmarkStart w:id="4954" w:name="_Toc11138863"/>
      <w:bookmarkStart w:id="4955" w:name="_Toc11139281"/>
      <w:bookmarkStart w:id="4956" w:name="_Toc11139699"/>
      <w:bookmarkStart w:id="4957" w:name="_Toc11140117"/>
      <w:bookmarkStart w:id="4958" w:name="_Toc11140535"/>
      <w:bookmarkStart w:id="4959" w:name="_Toc11390637"/>
      <w:bookmarkStart w:id="4960" w:name="_Toc11840322"/>
      <w:bookmarkStart w:id="4961" w:name="_Toc11937858"/>
      <w:r>
        <w:t>Влияние природного иммуномодулятора на перекисное окисление липидов при вакцинации телят против инфекционного ринотрахеита</w:t>
      </w:r>
      <w:bookmarkEnd w:id="4951"/>
      <w:bookmarkEnd w:id="4952"/>
      <w:bookmarkEnd w:id="4953"/>
      <w:bookmarkEnd w:id="4954"/>
      <w:bookmarkEnd w:id="4955"/>
      <w:bookmarkEnd w:id="4956"/>
      <w:bookmarkEnd w:id="4957"/>
      <w:bookmarkEnd w:id="4958"/>
      <w:bookmarkEnd w:id="4959"/>
      <w:bookmarkEnd w:id="4960"/>
      <w:bookmarkEnd w:id="4961"/>
    </w:p>
    <w:p w:rsidR="00F4654E" w:rsidRDefault="00F4654E">
      <w:pPr>
        <w:pStyle w:val="2"/>
      </w:pPr>
      <w:bookmarkStart w:id="4962" w:name="_Toc10731601"/>
      <w:bookmarkStart w:id="4963" w:name="_Toc11032377"/>
      <w:bookmarkStart w:id="4964" w:name="_Toc11138028"/>
      <w:bookmarkStart w:id="4965" w:name="_Toc11138446"/>
      <w:bookmarkStart w:id="4966" w:name="_Toc11138864"/>
      <w:bookmarkStart w:id="4967" w:name="_Toc11139282"/>
      <w:bookmarkStart w:id="4968" w:name="_Toc11139700"/>
      <w:bookmarkStart w:id="4969" w:name="_Toc11140118"/>
      <w:bookmarkStart w:id="4970" w:name="_Toc11140536"/>
      <w:bookmarkStart w:id="4971" w:name="_Toc11390638"/>
      <w:bookmarkStart w:id="4972" w:name="_Toc11937859"/>
      <w:r>
        <w:t>Слащилин В. А., Кардашов А.М.</w:t>
      </w:r>
      <w:bookmarkEnd w:id="4962"/>
      <w:bookmarkEnd w:id="4963"/>
      <w:bookmarkEnd w:id="4964"/>
      <w:bookmarkEnd w:id="4965"/>
      <w:bookmarkEnd w:id="4966"/>
      <w:bookmarkEnd w:id="4967"/>
      <w:bookmarkEnd w:id="4968"/>
      <w:bookmarkEnd w:id="4969"/>
      <w:bookmarkEnd w:id="4970"/>
      <w:bookmarkEnd w:id="4971"/>
      <w:bookmarkEnd w:id="4972"/>
    </w:p>
    <w:p w:rsidR="00F4654E" w:rsidRDefault="00F4654E">
      <w:pPr>
        <w:pStyle w:val="a5"/>
      </w:pPr>
      <w:r>
        <w:t>Воронежский государственный аграрный университет им. К.Д. Глинки</w:t>
      </w:r>
    </w:p>
    <w:p w:rsidR="00F4654E" w:rsidRDefault="00F4654E">
      <w:pPr>
        <w:pStyle w:val="a6"/>
      </w:pPr>
      <w:r>
        <w:t>Решая проблему профилактики инфекционного ринотрахеита, нами были проведены исследования по влиянию лигфола на перекисное окисл</w:t>
      </w:r>
      <w:r>
        <w:t>е</w:t>
      </w:r>
      <w:r>
        <w:t>ние липидов при вакцинации инфекционного ринотрахеита.</w:t>
      </w:r>
    </w:p>
    <w:p w:rsidR="00F4654E" w:rsidRDefault="00F4654E">
      <w:pPr>
        <w:pStyle w:val="a6"/>
      </w:pPr>
      <w:r>
        <w:t>В опыт были взяты три группы телят-аналогов. Первой группе телят вводили лигфол по определенной схеме в дозе 3 мл на животное. Во вт</w:t>
      </w:r>
      <w:r>
        <w:t>о</w:t>
      </w:r>
      <w:r>
        <w:t>рой группе телятам вводили известный иммуномодулятор тимоген в дозе 1мл 0,01% раствора на животное по схеме утвержденной инструкции. Тр</w:t>
      </w:r>
      <w:r>
        <w:t>е</w:t>
      </w:r>
      <w:r>
        <w:t>тья группа контроль.</w:t>
      </w:r>
    </w:p>
    <w:p w:rsidR="00F4654E" w:rsidRDefault="00F4654E">
      <w:pPr>
        <w:pStyle w:val="a6"/>
      </w:pPr>
      <w:r>
        <w:t>Анализируя данные опыта, мы видим, что в начале опыта перекисное окисление существенно изменялась, о чем говорит изменение малонового диальдегида и первичных продуктов пероксидации до 40%. Введение ли</w:t>
      </w:r>
      <w:r>
        <w:t>г</w:t>
      </w:r>
      <w:r>
        <w:t>фола, в период опыта, достоверно снижает избыточную активацию св</w:t>
      </w:r>
      <w:r>
        <w:t>о</w:t>
      </w:r>
      <w:r>
        <w:t>боднорадикальных процессов, что, вероятно, связано с его антиоксидан</w:t>
      </w:r>
      <w:r>
        <w:t>т</w:t>
      </w:r>
      <w:r>
        <w:t>ными и стресс-протективными свойствами.</w:t>
      </w:r>
    </w:p>
    <w:p w:rsidR="00F4654E" w:rsidRDefault="00F4654E">
      <w:pPr>
        <w:pStyle w:val="a6"/>
      </w:pPr>
      <w:r>
        <w:t>Применение тимогена, в период вакцинации, существенно не влияет на интенсивность процессов перекисного окисления, но все же снижает содержание флуоресцирующих оснований Шиффа.</w:t>
      </w:r>
    </w:p>
    <w:p w:rsidR="00F4654E" w:rsidRDefault="00F4654E">
      <w:pPr>
        <w:pStyle w:val="a6"/>
      </w:pPr>
      <w:r>
        <w:t>Таким образом, применение лигфола в период вакцинации снижает избыточную активацию процессов перекисного окисления, что вероятно, обусловлено стресс-протективными и антиоксидантными свойствами пр</w:t>
      </w:r>
      <w:r>
        <w:t>е</w:t>
      </w:r>
      <w:r>
        <w:t>парата. В связи с этим, мы считаем, что применение лигфола животным в период опыта было технологически выгодно.</w:t>
      </w:r>
    </w:p>
    <w:p w:rsidR="0001153D" w:rsidRDefault="0001153D">
      <w:pPr>
        <w:pStyle w:val="a6"/>
      </w:pPr>
    </w:p>
    <w:p w:rsidR="0001153D" w:rsidRDefault="0001153D">
      <w:pPr>
        <w:pStyle w:val="a6"/>
      </w:pPr>
    </w:p>
    <w:p w:rsidR="0001153D" w:rsidRDefault="0001153D">
      <w:pPr>
        <w:pStyle w:val="a6"/>
      </w:pPr>
    </w:p>
    <w:p w:rsidR="00F4654E" w:rsidRDefault="00F4654E">
      <w:pPr>
        <w:pStyle w:val="a4"/>
      </w:pPr>
      <w:r>
        <w:lastRenderedPageBreak/>
        <w:t>УДК 619:616.053-085:615.849.19:636.22/.28</w:t>
      </w:r>
    </w:p>
    <w:p w:rsidR="00F4654E" w:rsidRDefault="00F4654E">
      <w:pPr>
        <w:pStyle w:val="1"/>
      </w:pPr>
      <w:bookmarkStart w:id="4973" w:name="_Toc10731602"/>
      <w:bookmarkStart w:id="4974" w:name="_Toc11138029"/>
      <w:bookmarkStart w:id="4975" w:name="_Toc11138447"/>
      <w:bookmarkStart w:id="4976" w:name="_Toc11138865"/>
      <w:bookmarkStart w:id="4977" w:name="_Toc11139283"/>
      <w:bookmarkStart w:id="4978" w:name="_Toc11139701"/>
      <w:bookmarkStart w:id="4979" w:name="_Toc11140119"/>
      <w:bookmarkStart w:id="4980" w:name="_Toc11140537"/>
      <w:bookmarkStart w:id="4981" w:name="_Toc11390639"/>
      <w:bookmarkStart w:id="4982" w:name="_Toc11840324"/>
      <w:bookmarkStart w:id="4983" w:name="_Toc11937860"/>
      <w:r>
        <w:t>Влияние лигфола на перекисное окисление липидов при вакцинации против парагриппа-3</w:t>
      </w:r>
      <w:bookmarkEnd w:id="4973"/>
      <w:bookmarkEnd w:id="4974"/>
      <w:bookmarkEnd w:id="4975"/>
      <w:bookmarkEnd w:id="4976"/>
      <w:bookmarkEnd w:id="4977"/>
      <w:bookmarkEnd w:id="4978"/>
      <w:bookmarkEnd w:id="4979"/>
      <w:bookmarkEnd w:id="4980"/>
      <w:bookmarkEnd w:id="4981"/>
      <w:bookmarkEnd w:id="4982"/>
      <w:bookmarkEnd w:id="4983"/>
    </w:p>
    <w:p w:rsidR="00F4654E" w:rsidRDefault="00F4654E">
      <w:pPr>
        <w:pStyle w:val="2"/>
      </w:pPr>
      <w:bookmarkStart w:id="4984" w:name="_Toc10731603"/>
      <w:bookmarkStart w:id="4985" w:name="_Toc11032378"/>
      <w:bookmarkStart w:id="4986" w:name="_Toc11138030"/>
      <w:bookmarkStart w:id="4987" w:name="_Toc11138448"/>
      <w:bookmarkStart w:id="4988" w:name="_Toc11138866"/>
      <w:bookmarkStart w:id="4989" w:name="_Toc11139284"/>
      <w:bookmarkStart w:id="4990" w:name="_Toc11139702"/>
      <w:bookmarkStart w:id="4991" w:name="_Toc11140120"/>
      <w:bookmarkStart w:id="4992" w:name="_Toc11140538"/>
      <w:bookmarkStart w:id="4993" w:name="_Toc11390640"/>
      <w:bookmarkStart w:id="4994" w:name="_Toc11937861"/>
      <w:r>
        <w:t>Слащилин В.А., Повеквечных С.П.</w:t>
      </w:r>
      <w:bookmarkEnd w:id="4984"/>
      <w:bookmarkEnd w:id="4985"/>
      <w:bookmarkEnd w:id="4986"/>
      <w:bookmarkEnd w:id="4987"/>
      <w:bookmarkEnd w:id="4988"/>
      <w:bookmarkEnd w:id="4989"/>
      <w:bookmarkEnd w:id="4990"/>
      <w:bookmarkEnd w:id="4991"/>
      <w:bookmarkEnd w:id="4992"/>
      <w:bookmarkEnd w:id="4993"/>
      <w:bookmarkEnd w:id="4994"/>
    </w:p>
    <w:p w:rsidR="00F4654E" w:rsidRDefault="00F4654E">
      <w:pPr>
        <w:pStyle w:val="a5"/>
      </w:pPr>
      <w:r>
        <w:t>Воронежский государственный аграрный университет им. К.Д. Глинки</w:t>
      </w:r>
    </w:p>
    <w:p w:rsidR="00F4654E" w:rsidRDefault="00F4654E">
      <w:pPr>
        <w:pStyle w:val="a6"/>
      </w:pPr>
      <w:r>
        <w:t>Нами были проведены исследования по влиянию лигфола на переки</w:t>
      </w:r>
      <w:r>
        <w:t>с</w:t>
      </w:r>
      <w:r>
        <w:t>ное окисление липидов при профилактике парагриппа –3.</w:t>
      </w:r>
    </w:p>
    <w:p w:rsidR="00F4654E" w:rsidRDefault="00F4654E">
      <w:pPr>
        <w:pStyle w:val="a6"/>
      </w:pPr>
      <w:r>
        <w:t>В опыте были задействованы три группы телят-аналогов. Первой группе телят вводили лигфол по определенной схеме в дозе 3 мл на живо</w:t>
      </w:r>
      <w:r>
        <w:t>т</w:t>
      </w:r>
      <w:r>
        <w:t>ное. Во второй группе телятам вводили известный иммуномодулятор т</w:t>
      </w:r>
      <w:r>
        <w:t>и</w:t>
      </w:r>
      <w:r>
        <w:t>моген в дозе 1мл 0,01% раствора на животное по схеме утвержденной и</w:t>
      </w:r>
      <w:r>
        <w:t>н</w:t>
      </w:r>
      <w:r>
        <w:t>струкции. Третья группа контроль.</w:t>
      </w:r>
    </w:p>
    <w:p w:rsidR="00F4654E" w:rsidRDefault="00F4654E">
      <w:pPr>
        <w:pStyle w:val="a6"/>
      </w:pPr>
      <w:r>
        <w:t>Введение лигфола в начале опыта привело к снижению концентрации малонового диальдегида на 33%, а в группах контроля и тимогена набл</w:t>
      </w:r>
      <w:r>
        <w:t>ю</w:t>
      </w:r>
      <w:r>
        <w:t>далось незначительное его повышение. К концу опыта в группе, где пр</w:t>
      </w:r>
      <w:r>
        <w:t>и</w:t>
      </w:r>
      <w:r>
        <w:t xml:space="preserve">менялся лигфол, концентрация МДА повысилась незначительно на 6,4%, а во 2 и 3 группах повысилась в среднем на 27% и 29%. </w:t>
      </w:r>
    </w:p>
    <w:p w:rsidR="00F4654E" w:rsidRDefault="00F4654E">
      <w:pPr>
        <w:pStyle w:val="a6"/>
      </w:pPr>
      <w:r>
        <w:t>Концентрация оснований Шиффа на протяжении опыта в группе ли</w:t>
      </w:r>
      <w:r>
        <w:t>г</w:t>
      </w:r>
      <w:r>
        <w:t>фол колеблется в меньших пределах, чем в контроле, и в конечном итоге, возрастает на 67,9</w:t>
      </w:r>
      <w:r>
        <w:sym w:font="Symbol" w:char="F0B4"/>
      </w:r>
      <w:r>
        <w:t>10</w:t>
      </w:r>
      <w:r>
        <w:rPr>
          <w:sz w:val="16"/>
          <w:vertAlign w:val="superscript"/>
        </w:rPr>
        <w:t xml:space="preserve"> </w:t>
      </w:r>
      <w:r>
        <w:rPr>
          <w:vertAlign w:val="superscript"/>
        </w:rPr>
        <w:t xml:space="preserve">–3 </w:t>
      </w:r>
      <w:r>
        <w:t>отн. ед. опт. пл/мл. При этом в контроле она сост</w:t>
      </w:r>
      <w:r>
        <w:t>а</w:t>
      </w:r>
      <w:r>
        <w:t>вила 84,1</w:t>
      </w:r>
      <w:r>
        <w:sym w:font="Symbol" w:char="F0B4"/>
      </w:r>
      <w:r>
        <w:t>10</w:t>
      </w:r>
      <w:r>
        <w:rPr>
          <w:sz w:val="16"/>
          <w:vertAlign w:val="superscript"/>
        </w:rPr>
        <w:t xml:space="preserve"> </w:t>
      </w:r>
      <w:r>
        <w:rPr>
          <w:vertAlign w:val="superscript"/>
        </w:rPr>
        <w:t xml:space="preserve">–3 </w:t>
      </w:r>
      <w:r>
        <w:t>отн. ед. опт. пл/мл. Изменение концентрации оснований Шиффа во второй группе, так же указывает на положительное влияние т</w:t>
      </w:r>
      <w:r>
        <w:t>и</w:t>
      </w:r>
      <w:r>
        <w:t>могена на липидный обмен. Такие изменения свидетельствуют об актив</w:t>
      </w:r>
      <w:r>
        <w:t>а</w:t>
      </w:r>
      <w:r>
        <w:t>ции процессов перекисного окисления при вакцинации. Это, вероятно, св</w:t>
      </w:r>
      <w:r>
        <w:t>я</w:t>
      </w:r>
      <w:r>
        <w:t>зано как с развивающимся состоянием стресса в этот период, так и с п</w:t>
      </w:r>
      <w:r>
        <w:t>о</w:t>
      </w:r>
      <w:r>
        <w:t>вышением активности макрофагов.</w:t>
      </w:r>
    </w:p>
    <w:p w:rsidR="00F4654E" w:rsidRDefault="00F4654E">
      <w:pPr>
        <w:pStyle w:val="a6"/>
      </w:pPr>
      <w:r>
        <w:t xml:space="preserve">Таким образом, введение лигфола достоверно снижает избыточную активацию свободнорадикальных процессов в период вакцинации. </w:t>
      </w:r>
    </w:p>
    <w:p w:rsidR="00F4654E" w:rsidRDefault="00F4654E">
      <w:pPr>
        <w:pStyle w:val="a4"/>
      </w:pPr>
      <w:r>
        <w:t>УДК 619:616.98:578.823.1:577.2.</w:t>
      </w:r>
    </w:p>
    <w:p w:rsidR="00F4654E" w:rsidRDefault="00F4654E">
      <w:pPr>
        <w:pStyle w:val="1"/>
      </w:pPr>
      <w:bookmarkStart w:id="4995" w:name="_Toc10731568"/>
      <w:bookmarkStart w:id="4996" w:name="_Toc11138031"/>
      <w:bookmarkStart w:id="4997" w:name="_Toc11138449"/>
      <w:bookmarkStart w:id="4998" w:name="_Toc11138867"/>
      <w:bookmarkStart w:id="4999" w:name="_Toc11139285"/>
      <w:bookmarkStart w:id="5000" w:name="_Toc11139703"/>
      <w:bookmarkStart w:id="5001" w:name="_Toc11140121"/>
      <w:bookmarkStart w:id="5002" w:name="_Toc11140539"/>
      <w:bookmarkStart w:id="5003" w:name="_Toc11390641"/>
      <w:bookmarkStart w:id="5004" w:name="_Toc11840326"/>
      <w:bookmarkStart w:id="5005" w:name="_Toc11937862"/>
      <w:r>
        <w:t>ПРИМЕНЕНИЕ ПОЛИМЕРАЗНОЙ ЦЕПНОЙ РЕАКЦИИ ДЛЯ ИДЕНТИФИКАЦИИ И ДИФФЕРЕНЦИАЦИИ ВИРУСА БЛЮТАНГА</w:t>
      </w:r>
      <w:bookmarkEnd w:id="4995"/>
      <w:bookmarkEnd w:id="4996"/>
      <w:bookmarkEnd w:id="4997"/>
      <w:bookmarkEnd w:id="4998"/>
      <w:bookmarkEnd w:id="4999"/>
      <w:bookmarkEnd w:id="5000"/>
      <w:bookmarkEnd w:id="5001"/>
      <w:bookmarkEnd w:id="5002"/>
      <w:bookmarkEnd w:id="5003"/>
      <w:bookmarkEnd w:id="5004"/>
      <w:bookmarkEnd w:id="5005"/>
    </w:p>
    <w:p w:rsidR="00F4654E" w:rsidRDefault="00F4654E">
      <w:pPr>
        <w:pStyle w:val="2"/>
      </w:pPr>
      <w:bookmarkStart w:id="5006" w:name="_Toc10731569"/>
      <w:bookmarkStart w:id="5007" w:name="_Toc11032379"/>
      <w:bookmarkStart w:id="5008" w:name="_Toc11138032"/>
      <w:bookmarkStart w:id="5009" w:name="_Toc11138450"/>
      <w:bookmarkStart w:id="5010" w:name="_Toc11138868"/>
      <w:bookmarkStart w:id="5011" w:name="_Toc11139286"/>
      <w:bookmarkStart w:id="5012" w:name="_Toc11139704"/>
      <w:bookmarkStart w:id="5013" w:name="_Toc11140122"/>
      <w:bookmarkStart w:id="5014" w:name="_Toc11140540"/>
      <w:bookmarkStart w:id="5015" w:name="_Toc11390642"/>
      <w:bookmarkStart w:id="5016" w:name="_Toc11937863"/>
      <w:r>
        <w:t>Снетков К.А., Власова Н.Н., Новикова М.Б., Цыбанов С.Ж.</w:t>
      </w:r>
      <w:bookmarkEnd w:id="5006"/>
      <w:bookmarkEnd w:id="5007"/>
      <w:bookmarkEnd w:id="5008"/>
      <w:bookmarkEnd w:id="5009"/>
      <w:bookmarkEnd w:id="5010"/>
      <w:bookmarkEnd w:id="5011"/>
      <w:bookmarkEnd w:id="5012"/>
      <w:bookmarkEnd w:id="5013"/>
      <w:bookmarkEnd w:id="5014"/>
      <w:bookmarkEnd w:id="5015"/>
      <w:bookmarkEnd w:id="5016"/>
    </w:p>
    <w:p w:rsidR="00F4654E" w:rsidRDefault="00F4654E">
      <w:pPr>
        <w:pStyle w:val="a5"/>
      </w:pPr>
      <w:r>
        <w:t>Всероссийский НИИ ветеринарной вирусологии и микробиологии</w:t>
      </w:r>
    </w:p>
    <w:p w:rsidR="00F4654E" w:rsidRDefault="00F4654E">
      <w:pPr>
        <w:pStyle w:val="a6"/>
      </w:pPr>
      <w:r>
        <w:t>Блютанг (БТ) – арбовирусная болезнь многих видов жвачных живо</w:t>
      </w:r>
      <w:r>
        <w:t>т</w:t>
      </w:r>
      <w:r>
        <w:t>ных. К настоящему времени ареал распространения блютанга значительно расширился. Болезнь, однажды возникнув в регионе, приобретает стаци</w:t>
      </w:r>
      <w:r>
        <w:t>о</w:t>
      </w:r>
      <w:r>
        <w:t>нарный характер и в настоящее время зарегистрирована на всех контине</w:t>
      </w:r>
      <w:r>
        <w:t>н</w:t>
      </w:r>
      <w:r>
        <w:t>тах. Возросший за последние годы объем импорта в РФ сельскохозяйс</w:t>
      </w:r>
      <w:r>
        <w:t>т</w:t>
      </w:r>
      <w:r>
        <w:t>венной продукции, в особенности животных и продуктов их частичной п</w:t>
      </w:r>
      <w:r>
        <w:t>е</w:t>
      </w:r>
      <w:r>
        <w:lastRenderedPageBreak/>
        <w:t>реработки, обуславливает возможность заноса возбудителя блютанга в Россию. Неблагополучными по блютангу можно считать некоторые ра</w:t>
      </w:r>
      <w:r>
        <w:t>й</w:t>
      </w:r>
      <w:r>
        <w:t xml:space="preserve">оны Бурятии. </w:t>
      </w:r>
    </w:p>
    <w:p w:rsidR="00F4654E" w:rsidRDefault="00F4654E">
      <w:pPr>
        <w:pStyle w:val="a6"/>
      </w:pPr>
      <w:r>
        <w:t>Решающее значение в борьбе с заболеванием имеет эпизоотический контроль и проведение своевременных и эффективных противоэпизоот</w:t>
      </w:r>
      <w:r>
        <w:t>и</w:t>
      </w:r>
      <w:r>
        <w:t>ческих мероприятий. Для этого необходимо иметь надежные и экспрес</w:t>
      </w:r>
      <w:r>
        <w:t>с</w:t>
      </w:r>
      <w:r>
        <w:t>ные методы лабораторной диагностики.</w:t>
      </w:r>
    </w:p>
    <w:p w:rsidR="00F4654E" w:rsidRDefault="00F4654E">
      <w:pPr>
        <w:pStyle w:val="a6"/>
      </w:pPr>
      <w:r>
        <w:t>В настоящее время одним из перспективных направлений в изучении структур генома различных серотипов вируса блютанга является примен</w:t>
      </w:r>
      <w:r>
        <w:t>е</w:t>
      </w:r>
      <w:r>
        <w:t>ние такого высокочувствительного и специфичного метода как амплиф</w:t>
      </w:r>
      <w:r>
        <w:t>и</w:t>
      </w:r>
      <w:r>
        <w:t xml:space="preserve">кация последовательностей нуклеиновых кислот. </w:t>
      </w:r>
    </w:p>
    <w:p w:rsidR="00F4654E" w:rsidRDefault="00F4654E">
      <w:pPr>
        <w:pStyle w:val="a6"/>
      </w:pPr>
      <w:r>
        <w:t xml:space="preserve">Основной целью этой работы являлась отработка постановки ПЦР для выявления вируса блютанга и его дифференциации от других орбивирусов. </w:t>
      </w:r>
    </w:p>
    <w:p w:rsidR="00F4654E" w:rsidRDefault="00F4654E">
      <w:pPr>
        <w:pStyle w:val="a6"/>
      </w:pPr>
      <w:r>
        <w:t>В работе нами были использованы следующие пробы: культуральные вирусы блютанга 4 и 16 серотипов и несеротипированного штамма «Иль</w:t>
      </w:r>
      <w:r>
        <w:t>и</w:t>
      </w:r>
      <w:r>
        <w:t>чевский», вирус блютанга выделенный из мозгового материала зараже</w:t>
      </w:r>
      <w:r>
        <w:t>н</w:t>
      </w:r>
      <w:r>
        <w:t>ных мышей 2, 13, 17 серотипов. Для сравнения были взяты  близкородс</w:t>
      </w:r>
      <w:r>
        <w:t>т</w:t>
      </w:r>
      <w:r>
        <w:t xml:space="preserve">венные вирусы: культуральный вирус ЭГБО 1 серотип, (шт. «Нью-Джер-си»), 2 серотип (шт. «Альберта»), вирусы ЭГБО выделенные из головного мозга инфицированных мышей 1 серотип (шт. «Нью-Джерси»), 2 серотип (шт. «Альберта»), а также вирус болезни Ибараки (мозговой материал). </w:t>
      </w:r>
    </w:p>
    <w:p w:rsidR="00F4654E" w:rsidRDefault="00F4654E">
      <w:pPr>
        <w:pStyle w:val="a6"/>
      </w:pPr>
      <w:r>
        <w:t xml:space="preserve">Выделение РНК из препаратов вируса проводили фенольно-детер-гентным и тризольным методами. Полученные препараты РНК хранили при минус 70 </w:t>
      </w:r>
      <w:r>
        <w:rPr>
          <w:vertAlign w:val="superscript"/>
        </w:rPr>
        <w:t>0</w:t>
      </w:r>
      <w:r>
        <w:t>С.</w:t>
      </w:r>
    </w:p>
    <w:p w:rsidR="00F4654E" w:rsidRDefault="00F4654E">
      <w:pPr>
        <w:pStyle w:val="a6"/>
      </w:pPr>
      <w:r>
        <w:t>На первом этапе был проведен  электрофоретический анализ препар</w:t>
      </w:r>
      <w:r>
        <w:t>а</w:t>
      </w:r>
      <w:r>
        <w:t>тов вирионной РНК. Электрофорез проводили в 2% агарозном геле, сра</w:t>
      </w:r>
      <w:r>
        <w:t>в</w:t>
      </w:r>
      <w:r>
        <w:t>нивая размеры и расстояния пробегов РНК с маркерной ДНК фага лямбда, рестрицированной Cla. Электрофоретический анализ перечисленных РНК выявил различия в размерах некоторых фрагментов, что указывает на принципиальную возможность дифференциации РНК различных орбив</w:t>
      </w:r>
      <w:r>
        <w:t>и</w:t>
      </w:r>
      <w:r>
        <w:t>русов методом электрофореза, при получении их на всех этапах выращ</w:t>
      </w:r>
      <w:r>
        <w:t>и</w:t>
      </w:r>
      <w:r>
        <w:t>вания вируса и выделения РНК.</w:t>
      </w:r>
    </w:p>
    <w:p w:rsidR="00F4654E" w:rsidRDefault="00F4654E">
      <w:pPr>
        <w:pStyle w:val="a6"/>
      </w:pPr>
      <w:r>
        <w:t>Праймеры были синтезированы на основании опубликованной посл</w:t>
      </w:r>
      <w:r>
        <w:t>е</w:t>
      </w:r>
      <w:r>
        <w:t>довательности  сегмента 6 кодирующего неструктурный белок NS1 вируса блютанга 17 серотипа. Для синтеза кДНК использовали наружные прайм</w:t>
      </w:r>
      <w:r>
        <w:t>е</w:t>
      </w:r>
      <w:r>
        <w:t>ры, фланкирующие продукт ПЦР размером 826 пар оснований. Амплиф</w:t>
      </w:r>
      <w:r>
        <w:t>и</w:t>
      </w:r>
      <w:r>
        <w:t xml:space="preserve">кация с гнездовыми (внутренними) праймерами на нем дает продукт ПЦР размером 517 пар оснований, специфичный только для вируса блютанга.  </w:t>
      </w:r>
    </w:p>
    <w:p w:rsidR="00F4654E" w:rsidRDefault="00F4654E">
      <w:pPr>
        <w:pStyle w:val="a6"/>
      </w:pPr>
      <w:r>
        <w:t xml:space="preserve">Выделенную суммарную РНК два раза переосаждали и промывали этанолом. Осадок РНК ресуспендировали в 20 мкл свободной от нуклеаз воды, а затем в объеме 5 мкл  денатурировали при 95 </w:t>
      </w:r>
      <w:r>
        <w:rPr>
          <w:vertAlign w:val="superscript"/>
        </w:rPr>
        <w:t>о</w:t>
      </w:r>
      <w:r>
        <w:t>С вместе с прайм</w:t>
      </w:r>
      <w:r>
        <w:t>е</w:t>
      </w:r>
      <w:r>
        <w:t>рами (100 пмоль каждого праймера). кДНК синтезировали в 20 мкл реа</w:t>
      </w:r>
      <w:r>
        <w:t>к</w:t>
      </w:r>
      <w:r>
        <w:t>ционной смеси содержащей 10</w:t>
      </w:r>
      <w:r w:rsidR="0001153D">
        <w:t xml:space="preserve"> </w:t>
      </w:r>
      <w:r>
        <w:t>мМ  dNTP, 1 х реакционного буфера, 2 ед</w:t>
      </w:r>
      <w:r>
        <w:t>и</w:t>
      </w:r>
      <w:r w:rsidR="0001153D">
        <w:lastRenderedPageBreak/>
        <w:t>ницы RNAsin, 3 м</w:t>
      </w:r>
      <w:r>
        <w:t>M MgCl</w:t>
      </w:r>
      <w:r>
        <w:rPr>
          <w:vertAlign w:val="subscript"/>
        </w:rPr>
        <w:t>2</w:t>
      </w:r>
      <w:r>
        <w:t xml:space="preserve">, 15 единиц обратной транскриптазы М-MLV. Смесь инкубировали в течение  1 часа при 42 </w:t>
      </w:r>
      <w:r>
        <w:rPr>
          <w:vertAlign w:val="superscript"/>
        </w:rPr>
        <w:t>о</w:t>
      </w:r>
      <w:r>
        <w:t xml:space="preserve">С. </w:t>
      </w:r>
    </w:p>
    <w:p w:rsidR="00F4654E" w:rsidRDefault="00F4654E">
      <w:pPr>
        <w:pStyle w:val="a6"/>
      </w:pPr>
      <w:r>
        <w:t>Пробы полученных кДНК (5 мкл) амплифицировали в 20 мкл реакц</w:t>
      </w:r>
      <w:r>
        <w:t>и</w:t>
      </w:r>
      <w:r>
        <w:t>онной смеси, содержащей 10 пикоМ  каждого праймера, 0,2 мМ каждого dNTP,10x буфер, рН8,8, 1,5 мМ MgCl</w:t>
      </w:r>
      <w:r>
        <w:rPr>
          <w:vertAlign w:val="subscript"/>
        </w:rPr>
        <w:t>2</w:t>
      </w:r>
      <w:r>
        <w:t>. После добавления 2,5 единицы Taq-полимеразы смесь  инкубировали в термоциклере «Touch Down Hybaid» со следующим режимом: 5 циклов (денатурация 95</w:t>
      </w:r>
      <w:r>
        <w:rPr>
          <w:vertAlign w:val="superscript"/>
        </w:rPr>
        <w:t>о</w:t>
      </w:r>
      <w:r>
        <w:t>С – 2 мин; отжиг 55</w:t>
      </w:r>
      <w:r>
        <w:rPr>
          <w:vertAlign w:val="superscript"/>
        </w:rPr>
        <w:t>о</w:t>
      </w:r>
      <w:r>
        <w:t>С – 1 минута, синтез при 72</w:t>
      </w:r>
      <w:r>
        <w:rPr>
          <w:vertAlign w:val="superscript"/>
        </w:rPr>
        <w:t>о</w:t>
      </w:r>
      <w:r>
        <w:t>С – 1 минута); следующие 30 циклов (денатурация 95</w:t>
      </w:r>
      <w:r>
        <w:rPr>
          <w:vertAlign w:val="superscript"/>
        </w:rPr>
        <w:t>о</w:t>
      </w:r>
      <w:r>
        <w:t>С – 45 сек, отжиг 55</w:t>
      </w:r>
      <w:r>
        <w:rPr>
          <w:vertAlign w:val="superscript"/>
        </w:rPr>
        <w:t>о</w:t>
      </w:r>
      <w:r>
        <w:t>С – 40 сек, синтез при 72</w:t>
      </w:r>
      <w:r>
        <w:rPr>
          <w:vertAlign w:val="superscript"/>
        </w:rPr>
        <w:t>о</w:t>
      </w:r>
      <w:r>
        <w:t>С – 40 сек); конечный цикл – 72</w:t>
      </w:r>
      <w:r>
        <w:rPr>
          <w:vertAlign w:val="superscript"/>
        </w:rPr>
        <w:t>о</w:t>
      </w:r>
      <w:r>
        <w:t>С – 5 мин.</w:t>
      </w:r>
    </w:p>
    <w:p w:rsidR="00F4654E" w:rsidRDefault="00F4654E">
      <w:pPr>
        <w:pStyle w:val="a6"/>
      </w:pPr>
      <w:r>
        <w:t>Электрофоретический анализ продуктов амплификации в 2% агаро</w:t>
      </w:r>
      <w:r>
        <w:t>з</w:t>
      </w:r>
      <w:r>
        <w:t>ном геле  показал, что при использовании наружной пары праймером н</w:t>
      </w:r>
      <w:r>
        <w:t>а</w:t>
      </w:r>
      <w:r>
        <w:t>блюдалась полоса размером 826 п.о., а при постановке на нем повторной гнездовой ПЦР с внутренней парой праймеров наблюдалась одна полоса соответствующая продукту размером 517 пар оснований только в пробах вируса блютанга. Предложенные праймеры не взаимодействуют с вирио</w:t>
      </w:r>
      <w:r>
        <w:t>н</w:t>
      </w:r>
      <w:r>
        <w:t>ной РНК близкородственных орбивирусов ЭГБО, АЧЛ и Ибараки.</w:t>
      </w:r>
    </w:p>
    <w:p w:rsidR="00F4654E" w:rsidRDefault="00F4654E">
      <w:pPr>
        <w:pStyle w:val="a6"/>
      </w:pPr>
      <w:r>
        <w:t>Проведенная ПЦР специфично обнаружила все серотипы вируса бл</w:t>
      </w:r>
      <w:r>
        <w:t>ю</w:t>
      </w:r>
      <w:r>
        <w:t>танга в исследуемых культуральных и мозговых образцах, что подтве</w:t>
      </w:r>
      <w:r>
        <w:t>р</w:t>
      </w:r>
      <w:r>
        <w:t>ждает, что участок генома  кодирующий NS1 имеет консервативные п</w:t>
      </w:r>
      <w:r>
        <w:t>о</w:t>
      </w:r>
      <w:r>
        <w:t>следовательности.</w:t>
      </w:r>
    </w:p>
    <w:p w:rsidR="00F4654E" w:rsidRDefault="00F4654E">
      <w:pPr>
        <w:pStyle w:val="a6"/>
        <w:rPr>
          <w:snapToGrid w:val="0"/>
        </w:rPr>
      </w:pPr>
      <w:r>
        <w:t>Была подобрана оптимальная температура отжига праймеров, равная 55</w:t>
      </w:r>
      <w:r>
        <w:rPr>
          <w:vertAlign w:val="superscript"/>
        </w:rPr>
        <w:t>о</w:t>
      </w:r>
      <w:r>
        <w:t>С, при которой получены специфичные ПЦР продукты, позволившие дифференцировать вирус блютанга от близкородственных орбивирусов.</w:t>
      </w:r>
      <w:r>
        <w:rPr>
          <w:snapToGrid w:val="0"/>
        </w:rPr>
        <w:t xml:space="preserve"> Расчетная чувствительность   метода составила 50-100 ТЦД</w:t>
      </w:r>
      <w:r>
        <w:rPr>
          <w:snapToGrid w:val="0"/>
          <w:vertAlign w:val="subscript"/>
        </w:rPr>
        <w:t>50</w:t>
      </w:r>
      <w:r>
        <w:rPr>
          <w:snapToGrid w:val="0"/>
        </w:rPr>
        <w:t xml:space="preserve">/мл.  </w:t>
      </w:r>
    </w:p>
    <w:p w:rsidR="00F4654E" w:rsidRDefault="00F4654E">
      <w:pPr>
        <w:pStyle w:val="a6"/>
      </w:pPr>
      <w:r>
        <w:t>Таким образом, полимеразная цепная реакция, в силу своей чувств</w:t>
      </w:r>
      <w:r>
        <w:t>и</w:t>
      </w:r>
      <w:r>
        <w:t>тельности и специфичности, является ценным методом для идентификации вируса блютанга в лизатах инфицированных клеток и пробах головного мозга  мышей.</w:t>
      </w:r>
    </w:p>
    <w:p w:rsidR="00F4654E" w:rsidRDefault="00F4654E">
      <w:pPr>
        <w:pStyle w:val="a4"/>
      </w:pPr>
      <w:r>
        <w:t>УДК 619:615.775.1</w:t>
      </w:r>
    </w:p>
    <w:p w:rsidR="00F4654E" w:rsidRDefault="00F4654E">
      <w:pPr>
        <w:pStyle w:val="1"/>
      </w:pPr>
      <w:bookmarkStart w:id="5017" w:name="_Toc10731592"/>
      <w:bookmarkStart w:id="5018" w:name="_Toc11138033"/>
      <w:bookmarkStart w:id="5019" w:name="_Toc11138451"/>
      <w:bookmarkStart w:id="5020" w:name="_Toc11138869"/>
      <w:bookmarkStart w:id="5021" w:name="_Toc11139287"/>
      <w:bookmarkStart w:id="5022" w:name="_Toc11139705"/>
      <w:bookmarkStart w:id="5023" w:name="_Toc11140123"/>
      <w:bookmarkStart w:id="5024" w:name="_Toc11140541"/>
      <w:bookmarkStart w:id="5025" w:name="_Toc11390643"/>
      <w:bookmarkStart w:id="5026" w:name="_Toc11840328"/>
      <w:bookmarkStart w:id="5027" w:name="_Toc11937864"/>
      <w:r>
        <w:t>Противовоспалительная активность препарата Арговит</w:t>
      </w:r>
      <w:bookmarkEnd w:id="5017"/>
      <w:bookmarkEnd w:id="5018"/>
      <w:bookmarkEnd w:id="5019"/>
      <w:bookmarkEnd w:id="5020"/>
      <w:bookmarkEnd w:id="5021"/>
      <w:bookmarkEnd w:id="5022"/>
      <w:bookmarkEnd w:id="5023"/>
      <w:bookmarkEnd w:id="5024"/>
      <w:bookmarkEnd w:id="5025"/>
      <w:bookmarkEnd w:id="5026"/>
      <w:bookmarkEnd w:id="5027"/>
    </w:p>
    <w:p w:rsidR="00F4654E" w:rsidRDefault="00F4654E">
      <w:pPr>
        <w:pStyle w:val="2"/>
      </w:pPr>
      <w:bookmarkStart w:id="5028" w:name="_Toc10731593"/>
      <w:bookmarkStart w:id="5029" w:name="_Toc11032380"/>
      <w:bookmarkStart w:id="5030" w:name="_Toc11138034"/>
      <w:bookmarkStart w:id="5031" w:name="_Toc11138452"/>
      <w:bookmarkStart w:id="5032" w:name="_Toc11138870"/>
      <w:bookmarkStart w:id="5033" w:name="_Toc11139288"/>
      <w:bookmarkStart w:id="5034" w:name="_Toc11139706"/>
      <w:bookmarkStart w:id="5035" w:name="_Toc11140124"/>
      <w:bookmarkStart w:id="5036" w:name="_Toc11140542"/>
      <w:bookmarkStart w:id="5037" w:name="_Toc11390644"/>
      <w:bookmarkStart w:id="5038" w:name="_Toc11937865"/>
      <w:r>
        <w:t>Соколов М.Ю.</w:t>
      </w:r>
      <w:bookmarkEnd w:id="5028"/>
      <w:bookmarkEnd w:id="5029"/>
      <w:bookmarkEnd w:id="5030"/>
      <w:bookmarkEnd w:id="5031"/>
      <w:bookmarkEnd w:id="5032"/>
      <w:bookmarkEnd w:id="5033"/>
      <w:bookmarkEnd w:id="5034"/>
      <w:bookmarkEnd w:id="5035"/>
      <w:bookmarkEnd w:id="5036"/>
      <w:bookmarkEnd w:id="5037"/>
      <w:bookmarkEnd w:id="5038"/>
    </w:p>
    <w:p w:rsidR="00F4654E" w:rsidRDefault="00F4654E">
      <w:pPr>
        <w:pStyle w:val="a5"/>
      </w:pPr>
      <w:r>
        <w:t xml:space="preserve">Институт экспериментальной ветеринарии Сибири и Дальнего Востока </w:t>
      </w:r>
    </w:p>
    <w:p w:rsidR="00F4654E" w:rsidRDefault="00F4654E">
      <w:pPr>
        <w:pStyle w:val="a6"/>
      </w:pPr>
      <w:r>
        <w:t>В ветеринарной практике препараты серебра используются для леч</w:t>
      </w:r>
      <w:r>
        <w:t>е</w:t>
      </w:r>
      <w:r>
        <w:t>ния диареи молодняка сельскохозяйственных животных, пушных зверей и птицы инфекционной этиологии (акварген- «серебряная вода»; арговит), при таких инфекционно-воспалительных заболеваниях, как эндометриты коров (колларгол), бронхопневмония телят (акварген, колларгол, прота</w:t>
      </w:r>
      <w:r>
        <w:t>р</w:t>
      </w:r>
      <w:r>
        <w:t>гол, арговит).</w:t>
      </w:r>
    </w:p>
    <w:p w:rsidR="00F4654E" w:rsidRDefault="00F4654E">
      <w:pPr>
        <w:pStyle w:val="a6"/>
      </w:pPr>
      <w:r>
        <w:tab/>
        <w:t xml:space="preserve">О противовоспалительных свойствах серебра известно немного. Имеющиеся данные относятся к клиническим наблюдениям в ходе терапии </w:t>
      </w:r>
      <w:r>
        <w:lastRenderedPageBreak/>
        <w:t>инфицированных ран, ожогов, инфекционно-воспалительных процессов в других тканях и органах. Клиницистами описаны противовоспалительные свойства арговита и препаратов, созданных на его основе- аргогеля и пу</w:t>
      </w:r>
      <w:r>
        <w:t>д</w:t>
      </w:r>
      <w:r>
        <w:t>ры сиал-С. Эти наблюдения показывают, что сам арговит и его модифик</w:t>
      </w:r>
      <w:r>
        <w:t>а</w:t>
      </w:r>
      <w:r>
        <w:t>ции обладают ранозаживляющим, регенерационным, антимикробным и противовоспалительным действием. Коллоидные частицы металла в пр</w:t>
      </w:r>
      <w:r>
        <w:t>е</w:t>
      </w:r>
      <w:r>
        <w:t>парате арговит стабилизированы поливинилпирролидоном, эквивалентная доза его в 2,5 раза дешевле, чем официнального колларгола.</w:t>
      </w:r>
    </w:p>
    <w:p w:rsidR="00F4654E" w:rsidRDefault="00F4654E">
      <w:pPr>
        <w:pStyle w:val="a6"/>
      </w:pPr>
      <w:r>
        <w:t>Нами дана количественная оценка противовоспалительной активности (ПВА) арговита. Данное свойство препарата оценивалось на модели остр</w:t>
      </w:r>
      <w:r>
        <w:t>о</w:t>
      </w:r>
      <w:r>
        <w:t>го воспалительного отека (ОВО), вызванного введением мышам субпла</w:t>
      </w:r>
      <w:r>
        <w:t>н</w:t>
      </w:r>
      <w:r>
        <w:t>тарно скипидара в дозе 0,05 мл (опыт № 1). Противовоспалительный э</w:t>
      </w:r>
      <w:r>
        <w:t>ф</w:t>
      </w:r>
      <w:r>
        <w:t>фект арговита, вводимого парентерально, испытывался в дозах 0,05 мг/кг, 1,0 мг/кг и 1,5 мг/кг массы тела и сравнивался с таковым анальгина и о</w:t>
      </w:r>
      <w:r>
        <w:t>р</w:t>
      </w:r>
      <w:r>
        <w:t>тофена- препаратов с известной ПВА (анальгин вводился в дозе 30 мг/кг, ортофен- 0,25 мг/кг). Согласно методике за 1 час до модуляции ОВО м</w:t>
      </w:r>
      <w:r>
        <w:t>ы</w:t>
      </w:r>
      <w:r>
        <w:t>шам вводили препараты. Убой животных с взвешиванием интактных и отечных лапок проводили через 3,5 часа после введения скипидара. ПВА препаратов выражали в % снижения ОВО (по массе лапок) в сравнении с контролем без введения препаратов. Оценку ПВА арговита в сравнении с анальгином проводили также на модели изменения сосудистой проница</w:t>
      </w:r>
      <w:r>
        <w:t>е</w:t>
      </w:r>
      <w:r>
        <w:t>мости кожи при введении гистамина. Опыт № 2 проводили на беспоро</w:t>
      </w:r>
      <w:r>
        <w:t>д</w:t>
      </w:r>
      <w:r>
        <w:t>ных крысах массой 300 г. Для этого сформировали 3 группы животных (n=5). За 1 час до опыта животным парентерально вводили препараты, анальгин в дозе 30 мг/кг и арговит- 1,0 мг/кг массы тела. В контроле вв</w:t>
      </w:r>
      <w:r>
        <w:t>о</w:t>
      </w:r>
      <w:r>
        <w:t>дили изотонический раствор натрия хлорида. Далее вводили в вену 0,25 % раствор трипанблау, через 15 мин. внутрикожно инъецировали 0,01 % ра</w:t>
      </w:r>
      <w:r>
        <w:t>с</w:t>
      </w:r>
      <w:r>
        <w:t>твор гистамина. Отмечали время наступления первых признаков посин</w:t>
      </w:r>
      <w:r>
        <w:t>е</w:t>
      </w:r>
      <w:r>
        <w:t>ния кожи в месте введения гистамина. Антипирогенную активность арг</w:t>
      </w:r>
      <w:r>
        <w:t>о</w:t>
      </w:r>
      <w:r>
        <w:t>вита изучали в сравнении с известным жаропонижающим и противовосп</w:t>
      </w:r>
      <w:r>
        <w:t>а</w:t>
      </w:r>
      <w:r>
        <w:t>лительным препаратом анальгином. Опыт № 3 проводили на кроликах, сформировали 3 группы (n=5). Препараты вводили за 1 час до индукции лихорадочной реакции (дозы приведены ранее). Лихорадку воспроизвод</w:t>
      </w:r>
      <w:r>
        <w:t>и</w:t>
      </w:r>
      <w:r>
        <w:t xml:space="preserve">ли, используя пирогенал (в/м 2 мкг/кг массы тела). </w:t>
      </w:r>
    </w:p>
    <w:p w:rsidR="00F4654E" w:rsidRDefault="00F4654E">
      <w:pPr>
        <w:pStyle w:val="a6"/>
      </w:pPr>
      <w:r>
        <w:t>Полученные данные выявили высокую ПВА арговита, приближа</w:t>
      </w:r>
      <w:r>
        <w:t>ю</w:t>
      </w:r>
      <w:r>
        <w:t>щаяся к таковой анальгина. Сравнение показывает, что противовоспал</w:t>
      </w:r>
      <w:r>
        <w:t>и</w:t>
      </w:r>
      <w:r>
        <w:t>тельная активность арговита в дозе 0,05 мг/кг составила по отношению к таковой анальгина 85,72 % и превысила таковую ортофена на 19,99 %; в дозе 1 мг/кг- 88,56 % и превысила по отношению к ортофену на 23,98 %; в дозе 1,5 мг/кг составила 35,7 % и 49,98 % от активности сравниваемых препаратов, соответственно.</w:t>
      </w:r>
    </w:p>
    <w:p w:rsidR="00F4654E" w:rsidRDefault="00F4654E">
      <w:pPr>
        <w:pStyle w:val="a6"/>
      </w:pPr>
      <w:r>
        <w:t>В опыте № 2 визуально отмечено, что в группах с введением анальг</w:t>
      </w:r>
      <w:r>
        <w:t>и</w:t>
      </w:r>
      <w:r>
        <w:t>на и арговита, посинение кожи происходило только в месте введения ги</w:t>
      </w:r>
      <w:r>
        <w:t>с</w:t>
      </w:r>
      <w:r>
        <w:lastRenderedPageBreak/>
        <w:t>тамина, в то время как, в контрольной- еще и вокруг гистаминовой «пуго</w:t>
      </w:r>
      <w:r>
        <w:t>в</w:t>
      </w:r>
      <w:r>
        <w:t>ки». Также, замечено по истечении времени замера (от 3 до 48 часов), что посинение кожи вокруг «пуговки» происходило и в группе с анальгином, в группе с применением арговита посинение наблюдалось исключительно в зоне воспаления, модулированного гистамином. Отсутствие изменения о</w:t>
      </w:r>
      <w:r>
        <w:t>к</w:t>
      </w:r>
      <w:r>
        <w:t>раски сосудов кожи вокруг зоны воспалительного отека, вызванного вв</w:t>
      </w:r>
      <w:r>
        <w:t>е</w:t>
      </w:r>
      <w:r>
        <w:t>дением гистамина, по истечении времени замера, по отношению к данному показателю в группе с анальгином, свидетельствует о большем времени выведения арговита в сравнении с анальгином. Так, известный период в</w:t>
      </w:r>
      <w:r>
        <w:t>ы</w:t>
      </w:r>
      <w:r>
        <w:t>ведения из организма анальгина составляет 8- 12 часов, а препаратов с</w:t>
      </w:r>
      <w:r>
        <w:t>е</w:t>
      </w:r>
      <w:r>
        <w:t>ребра-24-48 часов.</w:t>
      </w:r>
    </w:p>
    <w:p w:rsidR="00F4654E" w:rsidRDefault="00F4654E">
      <w:pPr>
        <w:pStyle w:val="a6"/>
      </w:pPr>
      <w:r>
        <w:tab/>
        <w:t>Данные наблюдения показывают, что арговит тормозит развитие воспалительного отека (на примере изменения сосудистой проницаемости) в отношении контроля на 83,92 % (в 1,84 раза, по времени), что составляет 73,42 % от противовоспалительной активности анальгина. Анализ опыта № 3 показывает, что антипирогенное действие арговита, в сравнении с анал</w:t>
      </w:r>
      <w:r>
        <w:t>ь</w:t>
      </w:r>
      <w:r>
        <w:t>гином, проявляется специфически. График температурных кривых свид</w:t>
      </w:r>
      <w:r>
        <w:t>е</w:t>
      </w:r>
      <w:r>
        <w:t>тельствует, что в группе с применением арговита, как и в случае с анал</w:t>
      </w:r>
      <w:r>
        <w:t>ь</w:t>
      </w:r>
      <w:r>
        <w:t>гином, наблюдается пролонгация безлихорадочного периода после введ</w:t>
      </w:r>
      <w:r>
        <w:t>е</w:t>
      </w:r>
      <w:r>
        <w:t>ния пирогенала (на 2 часа по сравнению с контролем). В целом, продолж</w:t>
      </w:r>
      <w:r>
        <w:t>и</w:t>
      </w:r>
      <w:r>
        <w:t>тельность лихорадочного периода в контроле составила 4 часа (100 %),  в группе с применением анальгина- 3 часа (на 25 % короче), в группе арг</w:t>
      </w:r>
      <w:r>
        <w:t>о</w:t>
      </w:r>
      <w:r>
        <w:t>вита- 6 часов (на 50 % дольше, чем в контроле и на 100 %,- чем в группе анальгина). При клиническом применении препарата целесообразно назн</w:t>
      </w:r>
      <w:r>
        <w:t>а</w:t>
      </w:r>
      <w:r>
        <w:t xml:space="preserve">чать его в период минимальной температурной реакции или ремиссии из-за способности модулировать пирогенную реакцию на фоне протекающего в организме инфекционно-воспалительного процесса. </w:t>
      </w:r>
    </w:p>
    <w:p w:rsidR="00F4654E" w:rsidRDefault="00F4654E">
      <w:pPr>
        <w:pStyle w:val="a6"/>
      </w:pPr>
      <w:r>
        <w:t>Таким образом, проведенные исследования подтверждают высокую противовоспалительную активность арговита. ПВА препарата при паре</w:t>
      </w:r>
      <w:r>
        <w:t>н</w:t>
      </w:r>
      <w:r>
        <w:t>теральном введении приближается к таковой анальгина, что свидетельс</w:t>
      </w:r>
      <w:r>
        <w:t>т</w:t>
      </w:r>
      <w:r>
        <w:t xml:space="preserve">вует о влиянии серебра на ингибирование воспалительной реакции тканей. </w:t>
      </w:r>
    </w:p>
    <w:p w:rsidR="00F4654E" w:rsidRDefault="00F4654E">
      <w:pPr>
        <w:pStyle w:val="a4"/>
      </w:pPr>
      <w:r>
        <w:t>УДК 619:618.7-085:636.22/.28</w:t>
      </w:r>
    </w:p>
    <w:p w:rsidR="00F4654E" w:rsidRDefault="00F4654E">
      <w:pPr>
        <w:pStyle w:val="1"/>
      </w:pPr>
      <w:bookmarkStart w:id="5039" w:name="_Toc10731570"/>
      <w:bookmarkStart w:id="5040" w:name="_Toc11138035"/>
      <w:bookmarkStart w:id="5041" w:name="_Toc11138453"/>
      <w:bookmarkStart w:id="5042" w:name="_Toc11138871"/>
      <w:bookmarkStart w:id="5043" w:name="_Toc11139289"/>
      <w:bookmarkStart w:id="5044" w:name="_Toc11139707"/>
      <w:bookmarkStart w:id="5045" w:name="_Toc11140125"/>
      <w:bookmarkStart w:id="5046" w:name="_Toc11140543"/>
      <w:bookmarkStart w:id="5047" w:name="_Toc11390645"/>
      <w:bookmarkStart w:id="5048" w:name="_Toc11840330"/>
      <w:bookmarkStart w:id="5049" w:name="_Toc11937866"/>
      <w:r>
        <w:t>Особенности распространения задержания последа у коров</w:t>
      </w:r>
      <w:bookmarkEnd w:id="5039"/>
      <w:bookmarkEnd w:id="5040"/>
      <w:bookmarkEnd w:id="5041"/>
      <w:bookmarkEnd w:id="5042"/>
      <w:bookmarkEnd w:id="5043"/>
      <w:bookmarkEnd w:id="5044"/>
      <w:bookmarkEnd w:id="5045"/>
      <w:bookmarkEnd w:id="5046"/>
      <w:bookmarkEnd w:id="5047"/>
      <w:bookmarkEnd w:id="5048"/>
      <w:bookmarkEnd w:id="5049"/>
    </w:p>
    <w:p w:rsidR="00F4654E" w:rsidRDefault="00F4654E">
      <w:pPr>
        <w:pStyle w:val="2"/>
      </w:pPr>
      <w:bookmarkStart w:id="5050" w:name="_Toc10731571"/>
      <w:bookmarkStart w:id="5051" w:name="_Toc11032381"/>
      <w:bookmarkStart w:id="5052" w:name="_Toc11138036"/>
      <w:bookmarkStart w:id="5053" w:name="_Toc11138454"/>
      <w:bookmarkStart w:id="5054" w:name="_Toc11138872"/>
      <w:bookmarkStart w:id="5055" w:name="_Toc11139290"/>
      <w:bookmarkStart w:id="5056" w:name="_Toc11139708"/>
      <w:bookmarkStart w:id="5057" w:name="_Toc11140126"/>
      <w:bookmarkStart w:id="5058" w:name="_Toc11140544"/>
      <w:bookmarkStart w:id="5059" w:name="_Toc11390646"/>
      <w:bookmarkStart w:id="5060" w:name="_Toc11937867"/>
      <w:r>
        <w:t>Соколова Н.В., Семиволос А.М.</w:t>
      </w:r>
      <w:bookmarkEnd w:id="5050"/>
      <w:bookmarkEnd w:id="5051"/>
      <w:bookmarkEnd w:id="5052"/>
      <w:bookmarkEnd w:id="5053"/>
      <w:bookmarkEnd w:id="5054"/>
      <w:bookmarkEnd w:id="5055"/>
      <w:bookmarkEnd w:id="5056"/>
      <w:bookmarkEnd w:id="5057"/>
      <w:bookmarkEnd w:id="5058"/>
      <w:bookmarkEnd w:id="5059"/>
      <w:bookmarkEnd w:id="5060"/>
    </w:p>
    <w:p w:rsidR="00F4654E" w:rsidRDefault="00F4654E">
      <w:pPr>
        <w:pStyle w:val="a5"/>
      </w:pPr>
      <w:r>
        <w:t>Саратовский государственный аграрный университет им. Н.И. Вавилова</w:t>
      </w:r>
    </w:p>
    <w:p w:rsidR="00F4654E" w:rsidRDefault="00F4654E">
      <w:pPr>
        <w:pStyle w:val="a6"/>
      </w:pPr>
      <w:r>
        <w:t>Несмотря на многочисленные работы отечественных и зарубежных исследований, посвященных задержанию последа у коров, ряд вопросов данной проблемы еще не решены. Учитывая актуальность указанной пр</w:t>
      </w:r>
      <w:r>
        <w:t>о</w:t>
      </w:r>
      <w:r>
        <w:t>блемы мы решили на коровах черно-пестрой породы изучить некоторые аспекты распространения и этиопатогенеза задержания последа у коров.</w:t>
      </w:r>
    </w:p>
    <w:p w:rsidR="00F4654E" w:rsidRDefault="00F4654E">
      <w:pPr>
        <w:pStyle w:val="a6"/>
      </w:pPr>
      <w:r>
        <w:lastRenderedPageBreak/>
        <w:t>Клиническими наблюдениями и исследованиями установлены сущ</w:t>
      </w:r>
      <w:r>
        <w:t>е</w:t>
      </w:r>
      <w:r>
        <w:t>ственные различия в степени распространения задержания последа в зав</w:t>
      </w:r>
      <w:r>
        <w:t>и</w:t>
      </w:r>
      <w:r>
        <w:t>симости от молочной продуктивности коров. При молочной продуктивн</w:t>
      </w:r>
      <w:r>
        <w:t>о</w:t>
      </w:r>
      <w:r>
        <w:t>сти 2000-3000 кг задержание последа регистрируется от 1,98 до 3,02% к</w:t>
      </w:r>
      <w:r>
        <w:t>о</w:t>
      </w:r>
      <w:r>
        <w:t>ров. Если продуктивность достигала 3000-3500 кг молока, то патология последовой стадии родов возникала уже у 17,1% самок, при продуктивн</w:t>
      </w:r>
      <w:r>
        <w:t>о</w:t>
      </w:r>
      <w:r>
        <w:t>сти в 3500-4000 кг – 27,1%, а у коров с молочной продуктивностью более 5000 кг за лактацию задержание последа достигало 28,1%. Следует отм</w:t>
      </w:r>
      <w:r>
        <w:t>е</w:t>
      </w:r>
      <w:r>
        <w:t>тить, что у высокопродуктивных коров полное задержание последа регис</w:t>
      </w:r>
      <w:r>
        <w:t>т</w:t>
      </w:r>
      <w:r>
        <w:t>рируется в 2 раза чаще чем неполное.</w:t>
      </w:r>
    </w:p>
    <w:p w:rsidR="00F4654E" w:rsidRDefault="00F4654E">
      <w:pPr>
        <w:pStyle w:val="a6"/>
      </w:pPr>
      <w:r>
        <w:t>Анализ статистического материала и результатов клинических н</w:t>
      </w:r>
      <w:r>
        <w:t>а</w:t>
      </w:r>
      <w:r>
        <w:t>блюдений свидетельствует о корреляционной связи возникновения заде</w:t>
      </w:r>
      <w:r>
        <w:t>р</w:t>
      </w:r>
      <w:r>
        <w:t>жания последа в зависимости от времени плодотворного осеменения.</w:t>
      </w:r>
    </w:p>
    <w:p w:rsidR="00F4654E" w:rsidRDefault="00F4654E">
      <w:pPr>
        <w:pStyle w:val="a6"/>
      </w:pPr>
      <w:r>
        <w:t>При осеменении самок в марте-мае задержание последа возникло только у 3,76%, июне-июле – 51,94%, августе-ноябре – 7,42%, декабре-феврале – 6,65% коров. Патологии беременности (выворот влагалища, преждевременные схватки, аборты) сопровождалась 751,36% животных задержанием последа. Наиболее существенное влияние на патологическое течение последовой стадии родов оказывали аборты. Причем при абортах до 7 месяцев беременности задержание последа возникало в 57,14, а в 8 месяцев беременности – 66,67% случаев.</w:t>
      </w:r>
    </w:p>
    <w:p w:rsidR="00F4654E" w:rsidRDefault="00F4654E">
      <w:pPr>
        <w:pStyle w:val="a6"/>
      </w:pPr>
      <w:r>
        <w:t>Проведенные исследования показали, что чем выше молочная проду</w:t>
      </w:r>
      <w:r>
        <w:t>к</w:t>
      </w:r>
      <w:r>
        <w:t>тивность и больше патологии плодоношения, тем чаще регистрируется з</w:t>
      </w:r>
      <w:r>
        <w:t>а</w:t>
      </w:r>
      <w:r>
        <w:t>держание последа.</w:t>
      </w:r>
    </w:p>
    <w:p w:rsidR="00F4654E" w:rsidRDefault="00F4654E">
      <w:pPr>
        <w:pStyle w:val="a4"/>
      </w:pPr>
      <w:bookmarkStart w:id="5061" w:name="_Toc10731604"/>
      <w:r>
        <w:t xml:space="preserve">УДК 619:578.823.91: 576.858.083.3:636.4 </w:t>
      </w:r>
    </w:p>
    <w:p w:rsidR="00F4654E" w:rsidRDefault="00F4654E">
      <w:pPr>
        <w:pStyle w:val="1"/>
      </w:pPr>
      <w:bookmarkStart w:id="5062" w:name="_Toc11138037"/>
      <w:bookmarkStart w:id="5063" w:name="_Toc11138455"/>
      <w:bookmarkStart w:id="5064" w:name="_Toc11138873"/>
      <w:bookmarkStart w:id="5065" w:name="_Toc11139291"/>
      <w:bookmarkStart w:id="5066" w:name="_Toc11139709"/>
      <w:bookmarkStart w:id="5067" w:name="_Toc11140127"/>
      <w:bookmarkStart w:id="5068" w:name="_Toc11140545"/>
      <w:bookmarkStart w:id="5069" w:name="_Toc11390647"/>
      <w:bookmarkStart w:id="5070" w:name="_Toc11840332"/>
      <w:bookmarkStart w:id="5071" w:name="_Toc11937868"/>
      <w:r>
        <w:t>ВЫДЕЛЕНИЕ И ИСПОЛЬЗОВАНИЕ МАКРОФАГОВ СВИНЕЙ ДЛЯ КУЛЬТИВИРОВАНИЯ ВИРУСА РРСС</w:t>
      </w:r>
      <w:bookmarkEnd w:id="5062"/>
      <w:bookmarkEnd w:id="5063"/>
      <w:bookmarkEnd w:id="5064"/>
      <w:bookmarkEnd w:id="5065"/>
      <w:bookmarkEnd w:id="5066"/>
      <w:bookmarkEnd w:id="5067"/>
      <w:bookmarkEnd w:id="5068"/>
      <w:bookmarkEnd w:id="5069"/>
      <w:bookmarkEnd w:id="5070"/>
      <w:bookmarkEnd w:id="5071"/>
    </w:p>
    <w:p w:rsidR="00F4654E" w:rsidRDefault="00F4654E">
      <w:pPr>
        <w:pStyle w:val="2"/>
      </w:pPr>
      <w:bookmarkStart w:id="5072" w:name="_Toc11032382"/>
      <w:bookmarkStart w:id="5073" w:name="_Toc11138038"/>
      <w:bookmarkStart w:id="5074" w:name="_Toc11138456"/>
      <w:bookmarkStart w:id="5075" w:name="_Toc11138874"/>
      <w:bookmarkStart w:id="5076" w:name="_Toc11139292"/>
      <w:bookmarkStart w:id="5077" w:name="_Toc11139710"/>
      <w:bookmarkStart w:id="5078" w:name="_Toc11140128"/>
      <w:bookmarkStart w:id="5079" w:name="_Toc11140546"/>
      <w:bookmarkStart w:id="5080" w:name="_Toc11390648"/>
      <w:bookmarkStart w:id="5081" w:name="_Toc11937869"/>
      <w:r>
        <w:t xml:space="preserve">Соколов М.А., Орлянкин Б.Г*., Мусиенко М.И*., </w:t>
      </w:r>
      <w:r>
        <w:br/>
        <w:t>Груздев К.Н., Непоклонов Е.А.**</w:t>
      </w:r>
      <w:bookmarkEnd w:id="5072"/>
      <w:bookmarkEnd w:id="5073"/>
      <w:bookmarkEnd w:id="5074"/>
      <w:bookmarkEnd w:id="5075"/>
      <w:bookmarkEnd w:id="5076"/>
      <w:bookmarkEnd w:id="5077"/>
      <w:bookmarkEnd w:id="5078"/>
      <w:bookmarkEnd w:id="5079"/>
      <w:bookmarkEnd w:id="5080"/>
      <w:bookmarkEnd w:id="5081"/>
    </w:p>
    <w:p w:rsidR="00F4654E" w:rsidRDefault="00F4654E">
      <w:pPr>
        <w:pStyle w:val="a5"/>
      </w:pPr>
      <w:r>
        <w:t xml:space="preserve">Всероссийский НИИ контроля, стандартизации и сертификации ветпрепаратов </w:t>
      </w:r>
      <w:r>
        <w:br/>
        <w:t xml:space="preserve">*НПО «Нарвак», г. Москва </w:t>
      </w:r>
      <w:r>
        <w:br/>
        <w:t xml:space="preserve">** Департамент ветеринарии МСХ РФ </w:t>
      </w:r>
    </w:p>
    <w:p w:rsidR="00F4654E" w:rsidRDefault="00F4654E">
      <w:pPr>
        <w:pStyle w:val="a6"/>
      </w:pPr>
      <w:r>
        <w:t>РРСС(PRRS) – репродуктивно-респираторный синдром свиней («си-нее ухо», «голубой аборт», «поздний энзоотический аборт свиней») – в</w:t>
      </w:r>
      <w:r>
        <w:t>и</w:t>
      </w:r>
      <w:r>
        <w:t>русное, контагиозное заболевание, главным образом свиноматок, характ</w:t>
      </w:r>
      <w:r>
        <w:t>е</w:t>
      </w:r>
      <w:r>
        <w:t>ризующееся абортами, рождением мертвых и слабых поросят, погиба</w:t>
      </w:r>
      <w:r>
        <w:t>ю</w:t>
      </w:r>
      <w:r>
        <w:t>щих в течение 2-3 недель жизни, преждевременными опоросами, задер</w:t>
      </w:r>
      <w:r>
        <w:t>ж</w:t>
      </w:r>
      <w:r>
        <w:t>кой опороса, респираторными расстройствами, появлением окрашивания кожи ушей и других органов.</w:t>
      </w:r>
      <w:r>
        <w:tab/>
        <w:t>В настоящее время РРСС регистрируется во многих странах с развитым свиноводством, в том числе и в России, нанося большой экономический ущерб.  Заболевание носит, как правило, энзоот</w:t>
      </w:r>
      <w:r>
        <w:t>и</w:t>
      </w:r>
      <w:r>
        <w:lastRenderedPageBreak/>
        <w:t>ческий характер.  Возбудителем болезни является РНК-содержащий вирус, относящийся к роду Arterivirus семейства Arteriviridae.  Впервые вирус был изолирован голландскими исследователями в середине 1991г. в культуре клеток альвеолярных макрофагах свиней (АМФС).</w:t>
      </w:r>
    </w:p>
    <w:p w:rsidR="00F4654E" w:rsidRDefault="00F4654E">
      <w:pPr>
        <w:pStyle w:val="a6"/>
      </w:pPr>
      <w:r>
        <w:t>Существуют два типа вируса РРСС: Североамериканский (прототип VR-2332)  и Европейский (прототип Lelystad virus (LV)</w:t>
      </w:r>
    </w:p>
    <w:p w:rsidR="00F4654E" w:rsidRDefault="00F4654E">
      <w:pPr>
        <w:pStyle w:val="a6"/>
      </w:pPr>
      <w:r>
        <w:t>Выделение вируса РРСС Европейского типа связано с большими трудностями: требуется предварительное получение  АМФС.</w:t>
      </w:r>
    </w:p>
    <w:p w:rsidR="00F4654E" w:rsidRDefault="00F4654E">
      <w:pPr>
        <w:pStyle w:val="a6"/>
      </w:pPr>
      <w:r>
        <w:t>Целью нашей работы было стандартизировать условия получения и культивирования АМФС для выделения вируса РРСС.</w:t>
      </w:r>
    </w:p>
    <w:p w:rsidR="00F4654E" w:rsidRDefault="00F4654E">
      <w:pPr>
        <w:pStyle w:val="a6"/>
      </w:pPr>
      <w:r>
        <w:t>Установлено, что  для получения культуры АМФС  наиболее приго</w:t>
      </w:r>
      <w:r>
        <w:t>д</w:t>
      </w:r>
      <w:r>
        <w:t>ны поросята, свободные от вируса РРСС в возрасте от 2 до 4 недель. Ра</w:t>
      </w:r>
      <w:r>
        <w:t>з</w:t>
      </w:r>
      <w:r>
        <w:t>работан метод фиксации поросят и извлечения легких. Работа должна пр</w:t>
      </w:r>
      <w:r>
        <w:t>о</w:t>
      </w:r>
      <w:r>
        <w:t xml:space="preserve">водиться в стерильных условиях. </w:t>
      </w:r>
    </w:p>
    <w:p w:rsidR="00F4654E" w:rsidRDefault="00F4654E">
      <w:pPr>
        <w:pStyle w:val="a6"/>
      </w:pPr>
      <w:r>
        <w:t>При помощи пипетки  через трахею вносится питательная среда объ</w:t>
      </w:r>
      <w:r>
        <w:t>е</w:t>
      </w:r>
      <w:r>
        <w:t>мом от 25см</w:t>
      </w:r>
      <w:r>
        <w:rPr>
          <w:vertAlign w:val="superscript"/>
        </w:rPr>
        <w:t>3</w:t>
      </w:r>
      <w:r>
        <w:t xml:space="preserve"> до 50см</w:t>
      </w:r>
      <w:r>
        <w:rPr>
          <w:vertAlign w:val="superscript"/>
        </w:rPr>
        <w:t>2</w:t>
      </w:r>
      <w:r>
        <w:t xml:space="preserve"> , проводится многократное пипетирование для ма</w:t>
      </w:r>
      <w:r>
        <w:t>к</w:t>
      </w:r>
      <w:r>
        <w:t>симального сбора макрофагов. Наиболее оптимальной питательной средой является среда Игла МЕМ с добавлением гентамицин сульфат -0,5 мг/мл; пенициллин -25 ЕД/мл; стрептомицин - 25 мг/мл; бацитрацин 0,25 ЕД/мл; амфотерицин Б 2 мг/мл. Полученную клеточную суспензию отбирают в пластиковый стерильный флакон и подвергают промывке путем 3-4 кра</w:t>
      </w:r>
      <w:r>
        <w:t>т</w:t>
      </w:r>
      <w:r>
        <w:t>ного центрифугирования и ресуспендирования. Центрифугирование пр</w:t>
      </w:r>
      <w:r>
        <w:t>о</w:t>
      </w:r>
      <w:r>
        <w:t>водят при 1500 об/мин. в течение 10 минут. После последнего центриф</w:t>
      </w:r>
      <w:r>
        <w:t>у</w:t>
      </w:r>
      <w:r>
        <w:t xml:space="preserve">гирования полученный осадок клеток используется в работе. </w:t>
      </w:r>
    </w:p>
    <w:p w:rsidR="00F4654E" w:rsidRDefault="00F4654E">
      <w:pPr>
        <w:pStyle w:val="a6"/>
      </w:pPr>
      <w:r>
        <w:t>Лучшей ростовой средой для АМФС является среда Игла МЕМ с д</w:t>
      </w:r>
      <w:r>
        <w:t>о</w:t>
      </w:r>
      <w:r>
        <w:t>бавлением эмбриональной сыворотки КРС - 10% и антибиотиков - гент</w:t>
      </w:r>
      <w:r>
        <w:t>а</w:t>
      </w:r>
      <w:r>
        <w:t>мицин сульфат -0,5 мг/мл; пенициллин -25 ЕД/мл; неомицин сульфат 25 мг/мл стрептомицин - 25 мг/мл; бацитрацин 0,25 ЕД/мл; амфотерицин Б 2 мг/мл.</w:t>
      </w:r>
    </w:p>
    <w:p w:rsidR="00F4654E" w:rsidRDefault="00F4654E">
      <w:pPr>
        <w:pStyle w:val="a6"/>
      </w:pPr>
      <w:r>
        <w:t xml:space="preserve"> Как показали наши опыты, АМФС не от каждого поросенка могут быть чувствительны к вирусу РРСС, поэтому их необходимо тестировать известным вирусом РРСС.</w:t>
      </w:r>
    </w:p>
    <w:p w:rsidR="00F4654E" w:rsidRDefault="00F4654E">
      <w:pPr>
        <w:pStyle w:val="a6"/>
      </w:pPr>
      <w:r>
        <w:t xml:space="preserve">АМФС также как и другие клеточные культуры, могут подвергаться   криогенной заморозке и храниться при -80 </w:t>
      </w:r>
      <w:r>
        <w:rPr>
          <w:vertAlign w:val="superscript"/>
        </w:rPr>
        <w:t>0</w:t>
      </w:r>
      <w:r>
        <w:t>С в специальных средах с д</w:t>
      </w:r>
      <w:r>
        <w:t>о</w:t>
      </w:r>
      <w:r>
        <w:t>бавлением DMSO. Для работы с предварительно замороженными АМФС требуется предварительное удаление DMSO. Для этого клетки центриф</w:t>
      </w:r>
      <w:r>
        <w:t>у</w:t>
      </w:r>
      <w:r>
        <w:t>гируют при 300 об./мин. – 5-10 мин. Надосадочную жидкость сливают, а клетки ресуспендируют питательной средой и используют в дальнейшей работе.</w:t>
      </w:r>
    </w:p>
    <w:p w:rsidR="00F4654E" w:rsidRDefault="00F4654E">
      <w:pPr>
        <w:pStyle w:val="1"/>
      </w:pPr>
      <w:bookmarkStart w:id="5082" w:name="_Toc11138039"/>
      <w:bookmarkStart w:id="5083" w:name="_Toc11138457"/>
      <w:bookmarkStart w:id="5084" w:name="_Toc11138875"/>
      <w:bookmarkStart w:id="5085" w:name="_Toc11139293"/>
      <w:bookmarkStart w:id="5086" w:name="_Toc11139711"/>
      <w:bookmarkStart w:id="5087" w:name="_Toc11140129"/>
      <w:bookmarkStart w:id="5088" w:name="_Toc11140547"/>
      <w:bookmarkStart w:id="5089" w:name="_Toc11390649"/>
      <w:bookmarkStart w:id="5090" w:name="_Toc11840334"/>
      <w:bookmarkStart w:id="5091" w:name="_Toc11937870"/>
      <w:r>
        <w:lastRenderedPageBreak/>
        <w:t>ЭФФЕКТИВНОСТЬ ПРИМЕНЕНИЯ ПОЛИМЕРНЫХ МАТЕРИАЛОВ ДЛЯ ПОВЫШЕНИЯ УСВОЯЕМОСТИ КОРМОВОГО БЕЛКА</w:t>
      </w:r>
      <w:bookmarkEnd w:id="5061"/>
      <w:bookmarkEnd w:id="5082"/>
      <w:bookmarkEnd w:id="5083"/>
      <w:bookmarkEnd w:id="5084"/>
      <w:bookmarkEnd w:id="5085"/>
      <w:bookmarkEnd w:id="5086"/>
      <w:bookmarkEnd w:id="5087"/>
      <w:bookmarkEnd w:id="5088"/>
      <w:bookmarkEnd w:id="5089"/>
      <w:bookmarkEnd w:id="5090"/>
      <w:bookmarkEnd w:id="5091"/>
      <w:r>
        <w:t xml:space="preserve"> </w:t>
      </w:r>
    </w:p>
    <w:p w:rsidR="0001153D" w:rsidRDefault="00F4654E" w:rsidP="0001153D">
      <w:pPr>
        <w:pStyle w:val="2"/>
      </w:pPr>
      <w:bookmarkStart w:id="5092" w:name="_Toc10731605"/>
      <w:bookmarkStart w:id="5093" w:name="_Toc11032383"/>
      <w:bookmarkStart w:id="5094" w:name="_Toc11138040"/>
      <w:bookmarkStart w:id="5095" w:name="_Toc11138458"/>
      <w:bookmarkStart w:id="5096" w:name="_Toc11138876"/>
      <w:bookmarkStart w:id="5097" w:name="_Toc11139294"/>
      <w:bookmarkStart w:id="5098" w:name="_Toc11139712"/>
      <w:bookmarkStart w:id="5099" w:name="_Toc11140130"/>
      <w:bookmarkStart w:id="5100" w:name="_Toc11140548"/>
      <w:bookmarkStart w:id="5101" w:name="_Toc11390650"/>
      <w:bookmarkStart w:id="5102" w:name="_Toc11937871"/>
      <w:r>
        <w:t>Соловьев А.М., Грудина Н.В.*, Луховицкий В.И.**</w:t>
      </w:r>
      <w:bookmarkEnd w:id="5092"/>
      <w:bookmarkEnd w:id="5093"/>
      <w:bookmarkEnd w:id="5094"/>
      <w:bookmarkEnd w:id="5095"/>
      <w:bookmarkEnd w:id="5096"/>
      <w:bookmarkEnd w:id="5097"/>
      <w:bookmarkEnd w:id="5098"/>
      <w:bookmarkEnd w:id="5099"/>
      <w:bookmarkEnd w:id="5100"/>
      <w:bookmarkEnd w:id="5101"/>
      <w:bookmarkEnd w:id="5102"/>
    </w:p>
    <w:p w:rsidR="00F4654E" w:rsidRDefault="00F4654E" w:rsidP="0001153D">
      <w:pPr>
        <w:pStyle w:val="a5"/>
        <w:ind w:left="567"/>
        <w:jc w:val="left"/>
      </w:pPr>
      <w:r>
        <w:t xml:space="preserve">Всероссийский НИИ физиологии, биохимии и питания сельскохозяйственных </w:t>
      </w:r>
      <w:r w:rsidR="0001153D">
        <w:br/>
      </w:r>
      <w:r>
        <w:t>животных</w:t>
      </w:r>
      <w:r w:rsidR="0001153D">
        <w:t xml:space="preserve">, </w:t>
      </w:r>
      <w:r>
        <w:t>*Всероссийский НИИ сельскохозяйственной радиологии и агроэко</w:t>
      </w:r>
      <w:r w:rsidR="0001153D">
        <w:t>-</w:t>
      </w:r>
      <w:r>
        <w:t>л</w:t>
      </w:r>
      <w:r>
        <w:t>о</w:t>
      </w:r>
      <w:r>
        <w:t>гии</w:t>
      </w:r>
      <w:r w:rsidR="0001153D">
        <w:t xml:space="preserve">, </w:t>
      </w:r>
      <w:r>
        <w:t>**Филиал ГНЦ РФ НИФХИ им. Л.Я. Карпова</w:t>
      </w:r>
    </w:p>
    <w:p w:rsidR="00F4654E" w:rsidRPr="0001153D" w:rsidRDefault="00F4654E">
      <w:pPr>
        <w:pStyle w:val="a6"/>
        <w:rPr>
          <w:spacing w:val="-4"/>
        </w:rPr>
      </w:pPr>
      <w:r>
        <w:t>По существующей технологии кормления жвачных животных 60-70% ценных кормовых белков (протеинов) разлагается в рубце животных под действием содержащейся в нем микрофлоры. Это приводит к резкому снижению эффективности использования кормов и, следовательно, обе</w:t>
      </w:r>
      <w:r>
        <w:t>с</w:t>
      </w:r>
      <w:r>
        <w:t>печенности организма животных белком и аминокислотами. Для повыш</w:t>
      </w:r>
      <w:r>
        <w:t>е</w:t>
      </w:r>
      <w:r>
        <w:t xml:space="preserve">ния усвояемости белков животными необходимо «защитить» кормовой протеин от распада в рубце. </w:t>
      </w:r>
      <w:r w:rsidRPr="0001153D">
        <w:rPr>
          <w:spacing w:val="-4"/>
        </w:rPr>
        <w:t>С этой целью нами была апробирована смесь водорастворимых полим</w:t>
      </w:r>
      <w:r w:rsidRPr="0001153D">
        <w:rPr>
          <w:spacing w:val="-4"/>
        </w:rPr>
        <w:t>е</w:t>
      </w:r>
      <w:r w:rsidRPr="0001153D">
        <w:rPr>
          <w:spacing w:val="-4"/>
        </w:rPr>
        <w:t>ров в условиях вивария на бычках с фистулой рубца методом инкубации и</w:t>
      </w:r>
      <w:r w:rsidRPr="0001153D">
        <w:rPr>
          <w:spacing w:val="-4"/>
        </w:rPr>
        <w:t>с</w:t>
      </w:r>
      <w:r w:rsidRPr="0001153D">
        <w:rPr>
          <w:spacing w:val="-4"/>
        </w:rPr>
        <w:t>пытуемых образцов корма, помещенных в мешочки из нейлоновой тк</w:t>
      </w:r>
      <w:r w:rsidRPr="0001153D">
        <w:rPr>
          <w:spacing w:val="-4"/>
        </w:rPr>
        <w:t>а</w:t>
      </w:r>
      <w:r w:rsidRPr="0001153D">
        <w:rPr>
          <w:spacing w:val="-4"/>
        </w:rPr>
        <w:t>ни. Изучали влияние водорастворимых полимеров на степень распада кормового протеина подсолнечного жмыха по сравнению с контр</w:t>
      </w:r>
      <w:r w:rsidRPr="0001153D">
        <w:rPr>
          <w:spacing w:val="-4"/>
        </w:rPr>
        <w:t>о</w:t>
      </w:r>
      <w:r w:rsidRPr="0001153D">
        <w:rPr>
          <w:spacing w:val="-4"/>
        </w:rPr>
        <w:t>лем. Нейлоновые мешочки с 3-5 г. образцов корма необработанных и с д</w:t>
      </w:r>
      <w:r w:rsidRPr="0001153D">
        <w:rPr>
          <w:spacing w:val="-4"/>
        </w:rPr>
        <w:t>о</w:t>
      </w:r>
      <w:r w:rsidRPr="0001153D">
        <w:rPr>
          <w:spacing w:val="-4"/>
        </w:rPr>
        <w:t>бавкой полимера из расчета 0,001% от массы жмыха опускали через фистулы в рубец. Инкубацию проводили в течение 6 часов, после чего мешочки и</w:t>
      </w:r>
      <w:r w:rsidRPr="0001153D">
        <w:rPr>
          <w:spacing w:val="-4"/>
        </w:rPr>
        <w:t>з</w:t>
      </w:r>
      <w:r w:rsidRPr="0001153D">
        <w:rPr>
          <w:spacing w:val="-4"/>
        </w:rPr>
        <w:t>влекали и определяли количество оставшегося протеина в испытуемых ко</w:t>
      </w:r>
      <w:r w:rsidRPr="0001153D">
        <w:rPr>
          <w:spacing w:val="-4"/>
        </w:rPr>
        <w:t>н</w:t>
      </w:r>
      <w:r w:rsidRPr="0001153D">
        <w:rPr>
          <w:spacing w:val="-4"/>
        </w:rPr>
        <w:t>трольных и опытных образцах, а также долю распавшегося протеина в пр</w:t>
      </w:r>
      <w:r w:rsidRPr="0001153D">
        <w:rPr>
          <w:spacing w:val="-4"/>
        </w:rPr>
        <w:t>о</w:t>
      </w:r>
      <w:r w:rsidRPr="0001153D">
        <w:rPr>
          <w:spacing w:val="-4"/>
        </w:rPr>
        <w:t>центах от исходного. Исследования показали, что распад протеина в ко</w:t>
      </w:r>
      <w:r w:rsidRPr="0001153D">
        <w:rPr>
          <w:spacing w:val="-4"/>
        </w:rPr>
        <w:t>н</w:t>
      </w:r>
      <w:r w:rsidRPr="0001153D">
        <w:rPr>
          <w:spacing w:val="-4"/>
        </w:rPr>
        <w:t>трольных пробах составлял 61%, а в опытных 29%.</w:t>
      </w:r>
      <w:r w:rsidR="0001153D" w:rsidRPr="0001153D">
        <w:rPr>
          <w:spacing w:val="-4"/>
        </w:rPr>
        <w:t xml:space="preserve"> </w:t>
      </w:r>
      <w:r w:rsidRPr="0001153D">
        <w:rPr>
          <w:spacing w:val="-4"/>
        </w:rPr>
        <w:t>Исходя их вышеизложе</w:t>
      </w:r>
      <w:r w:rsidRPr="0001153D">
        <w:rPr>
          <w:spacing w:val="-4"/>
        </w:rPr>
        <w:t>н</w:t>
      </w:r>
      <w:r w:rsidRPr="0001153D">
        <w:rPr>
          <w:spacing w:val="-4"/>
        </w:rPr>
        <w:t>ного можно сделать заключение, что смесь водорастворимых полимеров м</w:t>
      </w:r>
      <w:r w:rsidRPr="0001153D">
        <w:rPr>
          <w:spacing w:val="-4"/>
        </w:rPr>
        <w:t>о</w:t>
      </w:r>
      <w:r w:rsidRPr="0001153D">
        <w:rPr>
          <w:spacing w:val="-4"/>
        </w:rPr>
        <w:t>жет быть использована для обработки белковых кормовых ко</w:t>
      </w:r>
      <w:r w:rsidRPr="0001153D">
        <w:rPr>
          <w:spacing w:val="-4"/>
        </w:rPr>
        <w:t>н</w:t>
      </w:r>
      <w:r w:rsidRPr="0001153D">
        <w:rPr>
          <w:spacing w:val="-4"/>
        </w:rPr>
        <w:t>центратов, так как обладает защи</w:t>
      </w:r>
      <w:r w:rsidRPr="0001153D">
        <w:rPr>
          <w:spacing w:val="-4"/>
        </w:rPr>
        <w:t>т</w:t>
      </w:r>
      <w:r w:rsidRPr="0001153D">
        <w:rPr>
          <w:spacing w:val="-4"/>
        </w:rPr>
        <w:t>ными свойствами, предохраняющими кормовой протеин от распада в рубце и улучшает переваривание и всасывание питательных в</w:t>
      </w:r>
      <w:r w:rsidRPr="0001153D">
        <w:rPr>
          <w:spacing w:val="-4"/>
        </w:rPr>
        <w:t>е</w:t>
      </w:r>
      <w:r w:rsidRPr="0001153D">
        <w:rPr>
          <w:spacing w:val="-4"/>
        </w:rPr>
        <w:t>ществ корма в нижних отделах пищеварительного тракта, что способствует увеличению обеспеченности организма аминокислотами, следствием чего является повышение проду</w:t>
      </w:r>
      <w:r w:rsidRPr="0001153D">
        <w:rPr>
          <w:spacing w:val="-4"/>
        </w:rPr>
        <w:t>к</w:t>
      </w:r>
      <w:r w:rsidRPr="0001153D">
        <w:rPr>
          <w:spacing w:val="-4"/>
        </w:rPr>
        <w:t>тивности жвачных животных.</w:t>
      </w:r>
    </w:p>
    <w:p w:rsidR="00F4654E" w:rsidRDefault="00F4654E">
      <w:pPr>
        <w:pStyle w:val="a4"/>
      </w:pPr>
      <w:r>
        <w:t>УДК 610:616-002.5:579.873.21+610:614.48</w:t>
      </w:r>
    </w:p>
    <w:p w:rsidR="00F4654E" w:rsidRDefault="00F4654E">
      <w:pPr>
        <w:pStyle w:val="1"/>
      </w:pPr>
      <w:bookmarkStart w:id="5103" w:name="_Toc10731596"/>
      <w:bookmarkStart w:id="5104" w:name="_Toc11138045"/>
      <w:bookmarkStart w:id="5105" w:name="_Toc11138463"/>
      <w:bookmarkStart w:id="5106" w:name="_Toc11138881"/>
      <w:bookmarkStart w:id="5107" w:name="_Toc11139299"/>
      <w:bookmarkStart w:id="5108" w:name="_Toc11139717"/>
      <w:bookmarkStart w:id="5109" w:name="_Toc11140135"/>
      <w:bookmarkStart w:id="5110" w:name="_Toc11140553"/>
      <w:bookmarkStart w:id="5111" w:name="_Toc11390651"/>
      <w:bookmarkStart w:id="5112" w:name="_Toc11840336"/>
      <w:bookmarkStart w:id="5113" w:name="_Toc11937872"/>
      <w:r>
        <w:t xml:space="preserve">Микрокультивирование на парафиновых дисках, </w:t>
      </w:r>
      <w:r>
        <w:br/>
        <w:t>как метод индикации микобактерий для санитарно- Иикробиологической оценки объектов животноводческих ферм при туберкулёзе</w:t>
      </w:r>
      <w:bookmarkEnd w:id="5103"/>
      <w:bookmarkEnd w:id="5104"/>
      <w:bookmarkEnd w:id="5105"/>
      <w:bookmarkEnd w:id="5106"/>
      <w:bookmarkEnd w:id="5107"/>
      <w:bookmarkEnd w:id="5108"/>
      <w:bookmarkEnd w:id="5109"/>
      <w:bookmarkEnd w:id="5110"/>
      <w:bookmarkEnd w:id="5111"/>
      <w:bookmarkEnd w:id="5112"/>
      <w:bookmarkEnd w:id="5113"/>
    </w:p>
    <w:p w:rsidR="00F4654E" w:rsidRDefault="00F4654E">
      <w:pPr>
        <w:pStyle w:val="2"/>
      </w:pPr>
      <w:bookmarkStart w:id="5114" w:name="_Toc10731597"/>
      <w:bookmarkStart w:id="5115" w:name="_Toc11032386"/>
      <w:bookmarkStart w:id="5116" w:name="_Toc11138046"/>
      <w:bookmarkStart w:id="5117" w:name="_Toc11138464"/>
      <w:bookmarkStart w:id="5118" w:name="_Toc11138882"/>
      <w:bookmarkStart w:id="5119" w:name="_Toc11139300"/>
      <w:bookmarkStart w:id="5120" w:name="_Toc11139718"/>
      <w:bookmarkStart w:id="5121" w:name="_Toc11140136"/>
      <w:bookmarkStart w:id="5122" w:name="_Toc11140554"/>
      <w:bookmarkStart w:id="5123" w:name="_Toc11390652"/>
      <w:bookmarkStart w:id="5124" w:name="_Toc11937873"/>
      <w:r>
        <w:t>Субботина С.Г., Жмуров Н.Г., Ливенцева И.В.</w:t>
      </w:r>
      <w:bookmarkEnd w:id="5114"/>
      <w:bookmarkEnd w:id="5115"/>
      <w:bookmarkEnd w:id="5116"/>
      <w:bookmarkEnd w:id="5117"/>
      <w:bookmarkEnd w:id="5118"/>
      <w:bookmarkEnd w:id="5119"/>
      <w:bookmarkEnd w:id="5120"/>
      <w:bookmarkEnd w:id="5121"/>
      <w:bookmarkEnd w:id="5122"/>
      <w:bookmarkEnd w:id="5123"/>
      <w:bookmarkEnd w:id="5124"/>
    </w:p>
    <w:p w:rsidR="00F4654E" w:rsidRDefault="00F4654E">
      <w:pPr>
        <w:pStyle w:val="a5"/>
      </w:pPr>
      <w:r>
        <w:t>Воронежский государственный аграрный университет им. К.Д. Глинки</w:t>
      </w:r>
    </w:p>
    <w:p w:rsidR="00F4654E" w:rsidRPr="004D29CD" w:rsidRDefault="00F4654E">
      <w:pPr>
        <w:pStyle w:val="a6"/>
        <w:rPr>
          <w:spacing w:val="-2"/>
        </w:rPr>
      </w:pPr>
      <w:r w:rsidRPr="004D29CD">
        <w:rPr>
          <w:spacing w:val="-2"/>
        </w:rPr>
        <w:t>По сравнению с индикацией возбудителя других инфекционных заб</w:t>
      </w:r>
      <w:r w:rsidRPr="004D29CD">
        <w:rPr>
          <w:spacing w:val="-2"/>
        </w:rPr>
        <w:t>о</w:t>
      </w:r>
      <w:r w:rsidRPr="004D29CD">
        <w:rPr>
          <w:spacing w:val="-2"/>
        </w:rPr>
        <w:t>леваний, процесс выделения, и особенно, индикации микобактерий тубе</w:t>
      </w:r>
      <w:r w:rsidRPr="004D29CD">
        <w:rPr>
          <w:spacing w:val="-2"/>
        </w:rPr>
        <w:t>р</w:t>
      </w:r>
      <w:r w:rsidRPr="004D29CD">
        <w:rPr>
          <w:spacing w:val="-2"/>
        </w:rPr>
        <w:t xml:space="preserve">кулёза, остаётся до настоящего времени очень трудоёмким и сложным. </w:t>
      </w:r>
      <w:r w:rsidRPr="004D29CD">
        <w:rPr>
          <w:spacing w:val="-2"/>
        </w:rPr>
        <w:lastRenderedPageBreak/>
        <w:t>Кроме того, для всех известных методов диагностики туберкулёза общим является необходимость проведения многократных исследований. Несмо</w:t>
      </w:r>
      <w:r w:rsidRPr="004D29CD">
        <w:rPr>
          <w:spacing w:val="-2"/>
        </w:rPr>
        <w:t>т</w:t>
      </w:r>
      <w:r w:rsidRPr="004D29CD">
        <w:rPr>
          <w:spacing w:val="-2"/>
        </w:rPr>
        <w:t>ря на это, все методы диагностики туберкулёза недостаточно информати</w:t>
      </w:r>
      <w:r w:rsidRPr="004D29CD">
        <w:rPr>
          <w:spacing w:val="-2"/>
        </w:rPr>
        <w:t>в</w:t>
      </w:r>
      <w:r w:rsidRPr="004D29CD">
        <w:rPr>
          <w:spacing w:val="-2"/>
        </w:rPr>
        <w:t>ны. Так, прямое микроскопическое исследование материала нельзя использ</w:t>
      </w:r>
      <w:r w:rsidRPr="004D29CD">
        <w:rPr>
          <w:spacing w:val="-2"/>
        </w:rPr>
        <w:t>о</w:t>
      </w:r>
      <w:r w:rsidRPr="004D29CD">
        <w:rPr>
          <w:spacing w:val="-2"/>
        </w:rPr>
        <w:t>вать для диагностики болезни, так как большая часть обнаруженных кисл</w:t>
      </w:r>
      <w:r w:rsidRPr="004D29CD">
        <w:rPr>
          <w:spacing w:val="-2"/>
        </w:rPr>
        <w:t>о</w:t>
      </w:r>
      <w:r w:rsidRPr="004D29CD">
        <w:rPr>
          <w:spacing w:val="-2"/>
        </w:rPr>
        <w:t>тоустойчивых микроорганизмов не является возбудителем туберкулёза мл</w:t>
      </w:r>
      <w:r w:rsidRPr="004D29CD">
        <w:rPr>
          <w:spacing w:val="-2"/>
        </w:rPr>
        <w:t>е</w:t>
      </w:r>
      <w:r w:rsidRPr="004D29CD">
        <w:rPr>
          <w:spacing w:val="-2"/>
        </w:rPr>
        <w:t>копитающих. Трудоёмкое и длительное культуральное исследование с</w:t>
      </w:r>
      <w:r w:rsidRPr="004D29CD">
        <w:rPr>
          <w:spacing w:val="-2"/>
        </w:rPr>
        <w:t>о</w:t>
      </w:r>
      <w:r w:rsidRPr="004D29CD">
        <w:rPr>
          <w:spacing w:val="-2"/>
        </w:rPr>
        <w:t>вершенно неэффективно (0,8%), а выделенные кислотоустойчивые микр</w:t>
      </w:r>
      <w:r w:rsidRPr="004D29CD">
        <w:rPr>
          <w:spacing w:val="-2"/>
        </w:rPr>
        <w:t>о</w:t>
      </w:r>
      <w:r w:rsidRPr="004D29CD">
        <w:rPr>
          <w:spacing w:val="-2"/>
        </w:rPr>
        <w:t>организмы требуют обязательной идентификации по огромному колич</w:t>
      </w:r>
      <w:r w:rsidRPr="004D29CD">
        <w:rPr>
          <w:spacing w:val="-2"/>
        </w:rPr>
        <w:t>е</w:t>
      </w:r>
      <w:r w:rsidRPr="004D29CD">
        <w:rPr>
          <w:spacing w:val="-2"/>
        </w:rPr>
        <w:t>ству тестов. Биологический анализ также длительный, трудоёмкий, недо</w:t>
      </w:r>
      <w:r w:rsidRPr="004D29CD">
        <w:rPr>
          <w:spacing w:val="-2"/>
        </w:rPr>
        <w:t>с</w:t>
      </w:r>
      <w:r w:rsidRPr="004D29CD">
        <w:rPr>
          <w:spacing w:val="-2"/>
        </w:rPr>
        <w:t>таточно эффективный (14,4%) и, самое главное, обязательно требует по</w:t>
      </w:r>
      <w:r w:rsidRPr="004D29CD">
        <w:rPr>
          <w:spacing w:val="-2"/>
        </w:rPr>
        <w:t>д</w:t>
      </w:r>
      <w:r w:rsidRPr="004D29CD">
        <w:rPr>
          <w:spacing w:val="-2"/>
        </w:rPr>
        <w:t>тверждения полученных данных другими методами. Отсюда срок пост</w:t>
      </w:r>
      <w:r w:rsidRPr="004D29CD">
        <w:rPr>
          <w:spacing w:val="-2"/>
        </w:rPr>
        <w:t>а</w:t>
      </w:r>
      <w:r w:rsidRPr="004D29CD">
        <w:rPr>
          <w:spacing w:val="-2"/>
        </w:rPr>
        <w:t>новки диагноза затягивается на 6 и более месяцев (Шаров А.Н.</w:t>
      </w:r>
      <w:r w:rsidR="004D29CD" w:rsidRPr="004D29CD">
        <w:rPr>
          <w:spacing w:val="-2"/>
        </w:rPr>
        <w:t xml:space="preserve"> с с</w:t>
      </w:r>
      <w:r w:rsidR="004D29CD" w:rsidRPr="004D29CD">
        <w:rPr>
          <w:spacing w:val="-2"/>
        </w:rPr>
        <w:t>о</w:t>
      </w:r>
      <w:r w:rsidR="004D29CD" w:rsidRPr="004D29CD">
        <w:rPr>
          <w:spacing w:val="-2"/>
        </w:rPr>
        <w:t>авт.,</w:t>
      </w:r>
      <w:r w:rsidRPr="004D29CD">
        <w:rPr>
          <w:spacing w:val="-2"/>
        </w:rPr>
        <w:t>2000)</w:t>
      </w:r>
    </w:p>
    <w:p w:rsidR="00F4654E" w:rsidRPr="0001153D" w:rsidRDefault="00F4654E">
      <w:pPr>
        <w:pStyle w:val="a6"/>
        <w:rPr>
          <w:spacing w:val="-4"/>
        </w:rPr>
      </w:pPr>
      <w:r w:rsidRPr="0001153D">
        <w:rPr>
          <w:spacing w:val="-4"/>
        </w:rPr>
        <w:t>Учитывая вышеизложенное, нами была проверена пригодность метода микрокультивирования на парафиновых дисках для индикации мик</w:t>
      </w:r>
      <w:r w:rsidRPr="0001153D">
        <w:rPr>
          <w:spacing w:val="-4"/>
        </w:rPr>
        <w:t>о</w:t>
      </w:r>
      <w:r w:rsidRPr="0001153D">
        <w:rPr>
          <w:spacing w:val="-4"/>
        </w:rPr>
        <w:t>бактерий в материалах животноводческих ферм, неблагополучных по туберкулёзу. Разработанный нами новый метод микрокультивирования м</w:t>
      </w:r>
      <w:r w:rsidRPr="0001153D">
        <w:rPr>
          <w:spacing w:val="-4"/>
        </w:rPr>
        <w:t>и</w:t>
      </w:r>
      <w:r w:rsidRPr="0001153D">
        <w:rPr>
          <w:spacing w:val="-4"/>
        </w:rPr>
        <w:t>кобактерий на парафиновых дисках в жидкой питательной среде (типа  5% МПГБ или ср</w:t>
      </w:r>
      <w:r w:rsidRPr="0001153D">
        <w:rPr>
          <w:spacing w:val="-4"/>
        </w:rPr>
        <w:t>е</w:t>
      </w:r>
      <w:r w:rsidRPr="0001153D">
        <w:rPr>
          <w:spacing w:val="-4"/>
        </w:rPr>
        <w:t>ды Сотона), в сочетании с обычной микроскопией, позволяет обнаружить микобактерии из предварительно неочищенных от банал</w:t>
      </w:r>
      <w:r w:rsidRPr="0001153D">
        <w:rPr>
          <w:spacing w:val="-4"/>
        </w:rPr>
        <w:t>ь</w:t>
      </w:r>
      <w:r w:rsidRPr="0001153D">
        <w:rPr>
          <w:spacing w:val="-4"/>
        </w:rPr>
        <w:t>ной микрофлоры любых патологических материалов. При наличии в и</w:t>
      </w:r>
      <w:r w:rsidRPr="0001153D">
        <w:rPr>
          <w:spacing w:val="-4"/>
        </w:rPr>
        <w:t>с</w:t>
      </w:r>
      <w:r w:rsidRPr="0001153D">
        <w:rPr>
          <w:spacing w:val="-4"/>
        </w:rPr>
        <w:t>следуемых материалах микобактерий, они в течение 60-90 мин адсорбируются на нижней поверхн</w:t>
      </w:r>
      <w:r w:rsidRPr="0001153D">
        <w:rPr>
          <w:spacing w:val="-4"/>
        </w:rPr>
        <w:t>о</w:t>
      </w:r>
      <w:r w:rsidRPr="0001153D">
        <w:rPr>
          <w:spacing w:val="-4"/>
        </w:rPr>
        <w:t>сти парафиновых дисков, прочно на них уде</w:t>
      </w:r>
      <w:r w:rsidRPr="0001153D">
        <w:rPr>
          <w:spacing w:val="-4"/>
        </w:rPr>
        <w:t>р</w:t>
      </w:r>
      <w:r w:rsidRPr="0001153D">
        <w:rPr>
          <w:spacing w:val="-4"/>
        </w:rPr>
        <w:t>живаются, и, не врастая внутрь, активно размножаются, формируя к 24-48 часам изолированные микрокол</w:t>
      </w:r>
      <w:r w:rsidRPr="0001153D">
        <w:rPr>
          <w:spacing w:val="-4"/>
        </w:rPr>
        <w:t>о</w:t>
      </w:r>
      <w:r w:rsidRPr="0001153D">
        <w:rPr>
          <w:spacing w:val="-4"/>
        </w:rPr>
        <w:t>нии микобактерий, которые в течение 1-2 недель вырастают в виде отдел</w:t>
      </w:r>
      <w:r w:rsidRPr="0001153D">
        <w:rPr>
          <w:spacing w:val="-4"/>
        </w:rPr>
        <w:t>ь</w:t>
      </w:r>
      <w:r w:rsidRPr="0001153D">
        <w:rPr>
          <w:spacing w:val="-4"/>
        </w:rPr>
        <w:t>ных макроколоний микобактерий по краям дисков.</w:t>
      </w:r>
    </w:p>
    <w:p w:rsidR="00F4654E" w:rsidRPr="0001153D" w:rsidRDefault="00F4654E">
      <w:pPr>
        <w:pStyle w:val="a6"/>
        <w:rPr>
          <w:spacing w:val="-4"/>
        </w:rPr>
      </w:pPr>
      <w:r w:rsidRPr="0001153D">
        <w:rPr>
          <w:spacing w:val="-4"/>
        </w:rPr>
        <w:t>Работу провели на 3-х фермах с различной эпизоотической ситуацией, неблагополучных по туберкулёзу крупного рогатого скота хозяйствах Вор</w:t>
      </w:r>
      <w:r w:rsidRPr="0001153D">
        <w:rPr>
          <w:spacing w:val="-4"/>
        </w:rPr>
        <w:t>о</w:t>
      </w:r>
      <w:r w:rsidRPr="0001153D">
        <w:rPr>
          <w:spacing w:val="-4"/>
        </w:rPr>
        <w:t>нежской и Липецкой областей. При выборе времени исследования учли с</w:t>
      </w:r>
      <w:r w:rsidRPr="0001153D">
        <w:rPr>
          <w:spacing w:val="-4"/>
        </w:rPr>
        <w:t>о</w:t>
      </w:r>
      <w:r w:rsidRPr="0001153D">
        <w:rPr>
          <w:spacing w:val="-4"/>
        </w:rPr>
        <w:t>общение А.Н. Крошева (1995), что наиболее интенсивное бактериовыд</w:t>
      </w:r>
      <w:r w:rsidRPr="0001153D">
        <w:rPr>
          <w:spacing w:val="-4"/>
        </w:rPr>
        <w:t>е</w:t>
      </w:r>
      <w:r w:rsidRPr="0001153D">
        <w:rPr>
          <w:spacing w:val="-4"/>
        </w:rPr>
        <w:t>ление происходит у больных туберкулёзом животных к концу зимне-стойлового периода при ухудшении условий питания и обострения пр</w:t>
      </w:r>
      <w:r w:rsidRPr="0001153D">
        <w:rPr>
          <w:spacing w:val="-4"/>
        </w:rPr>
        <w:t>о</w:t>
      </w:r>
      <w:r w:rsidRPr="0001153D">
        <w:rPr>
          <w:spacing w:val="-4"/>
        </w:rPr>
        <w:t>цесса. Исходя из этого, изучение уровня микобактериальной обсеменённости объектов вне</w:t>
      </w:r>
      <w:r w:rsidRPr="0001153D">
        <w:rPr>
          <w:spacing w:val="-4"/>
        </w:rPr>
        <w:t>ш</w:t>
      </w:r>
      <w:r w:rsidRPr="0001153D">
        <w:rPr>
          <w:spacing w:val="-4"/>
        </w:rPr>
        <w:t>ней среды на обследуемых фермах провели в 2 периода:</w:t>
      </w:r>
      <w:r w:rsidR="0001153D" w:rsidRPr="0001153D">
        <w:rPr>
          <w:spacing w:val="-4"/>
        </w:rPr>
        <w:t xml:space="preserve"> в</w:t>
      </w:r>
      <w:r w:rsidRPr="0001153D">
        <w:rPr>
          <w:spacing w:val="-4"/>
        </w:rPr>
        <w:t xml:space="preserve"> конце зимне-стойлового содержания скота (февраль-март)</w:t>
      </w:r>
      <w:r w:rsidR="0001153D" w:rsidRPr="0001153D">
        <w:rPr>
          <w:spacing w:val="-4"/>
        </w:rPr>
        <w:t xml:space="preserve"> и п</w:t>
      </w:r>
      <w:r w:rsidRPr="0001153D">
        <w:rPr>
          <w:spacing w:val="-4"/>
        </w:rPr>
        <w:t>осле вывода скота на пас</w:t>
      </w:r>
      <w:r w:rsidRPr="0001153D">
        <w:rPr>
          <w:spacing w:val="-4"/>
        </w:rPr>
        <w:t>т</w:t>
      </w:r>
      <w:r w:rsidRPr="0001153D">
        <w:rPr>
          <w:spacing w:val="-4"/>
        </w:rPr>
        <w:t>бище и механической очистки (июль).</w:t>
      </w:r>
      <w:r w:rsidR="0001153D" w:rsidRPr="0001153D">
        <w:rPr>
          <w:spacing w:val="-4"/>
        </w:rPr>
        <w:t xml:space="preserve"> </w:t>
      </w:r>
      <w:r w:rsidRPr="0001153D">
        <w:rPr>
          <w:spacing w:val="-4"/>
        </w:rPr>
        <w:t>На каждой ферме выборочно обслед</w:t>
      </w:r>
      <w:r w:rsidRPr="0001153D">
        <w:rPr>
          <w:spacing w:val="-4"/>
        </w:rPr>
        <w:t>о</w:t>
      </w:r>
      <w:r w:rsidRPr="0001153D">
        <w:rPr>
          <w:spacing w:val="-4"/>
        </w:rPr>
        <w:t>вали по 3 животноводческих  помещения, в основном коровники и телятн</w:t>
      </w:r>
      <w:r w:rsidRPr="0001153D">
        <w:rPr>
          <w:spacing w:val="-4"/>
        </w:rPr>
        <w:t>и</w:t>
      </w:r>
      <w:r w:rsidRPr="0001153D">
        <w:rPr>
          <w:spacing w:val="-4"/>
        </w:rPr>
        <w:t>ки, в которых из числа содержащегося в них взрослого поголовья периодич</w:t>
      </w:r>
      <w:r w:rsidRPr="0001153D">
        <w:rPr>
          <w:spacing w:val="-4"/>
        </w:rPr>
        <w:t>е</w:t>
      </w:r>
      <w:r w:rsidRPr="0001153D">
        <w:rPr>
          <w:spacing w:val="-4"/>
        </w:rPr>
        <w:t>ски выделяли животных с положительной туберк</w:t>
      </w:r>
      <w:r w:rsidRPr="0001153D">
        <w:rPr>
          <w:spacing w:val="-4"/>
        </w:rPr>
        <w:t>у</w:t>
      </w:r>
      <w:r w:rsidRPr="0001153D">
        <w:rPr>
          <w:spacing w:val="-4"/>
        </w:rPr>
        <w:t>линовой пробой.</w:t>
      </w:r>
      <w:r w:rsidR="0001153D" w:rsidRPr="0001153D">
        <w:rPr>
          <w:spacing w:val="-4"/>
        </w:rPr>
        <w:t xml:space="preserve"> </w:t>
      </w:r>
      <w:r w:rsidRPr="0001153D">
        <w:rPr>
          <w:spacing w:val="-4"/>
        </w:rPr>
        <w:t>При этом, за исходную микобактериальную обсеменённость принимали количество н</w:t>
      </w:r>
      <w:r w:rsidRPr="0001153D">
        <w:rPr>
          <w:spacing w:val="-4"/>
        </w:rPr>
        <w:t>е</w:t>
      </w:r>
      <w:r w:rsidRPr="0001153D">
        <w:rPr>
          <w:spacing w:val="-4"/>
        </w:rPr>
        <w:t>благополучных объектов в конце зимовки скота. По нарастанию или умен</w:t>
      </w:r>
      <w:r w:rsidRPr="0001153D">
        <w:rPr>
          <w:spacing w:val="-4"/>
        </w:rPr>
        <w:t>ь</w:t>
      </w:r>
      <w:r w:rsidRPr="0001153D">
        <w:rPr>
          <w:spacing w:val="-4"/>
        </w:rPr>
        <w:t>шению количества контаминированных микобакт</w:t>
      </w:r>
      <w:r w:rsidRPr="0001153D">
        <w:rPr>
          <w:spacing w:val="-4"/>
        </w:rPr>
        <w:t>е</w:t>
      </w:r>
      <w:r w:rsidRPr="0001153D">
        <w:rPr>
          <w:spacing w:val="-4"/>
        </w:rPr>
        <w:t>риями объектов, судили о качестве произведённой механической очистки.</w:t>
      </w:r>
    </w:p>
    <w:p w:rsidR="00F4654E" w:rsidRDefault="00F4654E">
      <w:pPr>
        <w:pStyle w:val="a6"/>
      </w:pPr>
      <w:r>
        <w:lastRenderedPageBreak/>
        <w:t>Установлено, что в конце зимне-стойлового содержания, на неблаг</w:t>
      </w:r>
      <w:r>
        <w:t>о</w:t>
      </w:r>
      <w:r>
        <w:t>получных по туберкулёзу крупного рогатого скота фермах, идёт обильное накопление микобактерий на поверхностях объектов в животноводческих помещениях. К тому же, если на ферме, хотя бы в одном помещении п</w:t>
      </w:r>
      <w:r>
        <w:t>е</w:t>
      </w:r>
      <w:r>
        <w:t>риодически выделяются животные с положительными реакциями на т</w:t>
      </w:r>
      <w:r>
        <w:t>у</w:t>
      </w:r>
      <w:r>
        <w:t>беркулин, то обсеменяются микобактериями не только объекты этого, но и других помещений, где таких животных нет (телятники). Из общего кол</w:t>
      </w:r>
      <w:r>
        <w:t>и</w:t>
      </w:r>
      <w:r>
        <w:t>чества обследованных нами в 9-ти помещениях 60-ти объектов, материалы 36-ти (60%) содержали микобактерии. При этом, количество неблагоп</w:t>
      </w:r>
      <w:r>
        <w:t>о</w:t>
      </w:r>
      <w:r>
        <w:t>лучных объектов в коровниках было выявлено до 70-100%,  в телятниках соответственно 80-100%. Высокую степень контаминирования микобакт</w:t>
      </w:r>
      <w:r>
        <w:t>е</w:t>
      </w:r>
      <w:r>
        <w:t>риями в обследуемых помещениях имели пол стойл, проходы, канавки. Из материалов таких объектов нами было изолировано и идентифицировано 10 культур микобактерий, из которых 20% отнесены к микобактериям бычьего вида, остальные 80% - к атипичным микобактериям (2-3 группы по Раниону).</w:t>
      </w:r>
      <w:r w:rsidR="0001153D">
        <w:t xml:space="preserve"> </w:t>
      </w:r>
      <w:r>
        <w:t>После вывода скота на пастбище и проведённой в помещен</w:t>
      </w:r>
      <w:r>
        <w:t>и</w:t>
      </w:r>
      <w:r>
        <w:t>ях механической очистки, на поверхностях большинства наблюдаемых объектов остался ”грязевой щит” в виде сухих, плотных корочек. При этом количество неблагополучных объектов во всех обследуемых нами пом</w:t>
      </w:r>
      <w:r>
        <w:t>е</w:t>
      </w:r>
      <w:r>
        <w:t>щениях осталось прежним</w:t>
      </w:r>
      <w:r w:rsidR="0001153D">
        <w:t>.</w:t>
      </w:r>
      <w:r>
        <w:t xml:space="preserve"> </w:t>
      </w:r>
    </w:p>
    <w:p w:rsidR="00F4654E" w:rsidRDefault="00F4654E">
      <w:pPr>
        <w:pStyle w:val="a6"/>
      </w:pPr>
      <w:r>
        <w:t>Результаты исследований показали, что метод микрокультивирования микобактерий на парафиновых дисках позволяет в относительно короткие сроки установить места локализации микобактерий во внешней среде на неблагополучных по туберкулёзу фермах, и определить уровень их обс</w:t>
      </w:r>
      <w:r>
        <w:t>е</w:t>
      </w:r>
      <w:r>
        <w:t>менённости, в зависимости от качества проведённой механической очис</w:t>
      </w:r>
      <w:r>
        <w:t>т</w:t>
      </w:r>
      <w:r>
        <w:t>ки.</w:t>
      </w:r>
      <w:r w:rsidR="0001153D">
        <w:t xml:space="preserve"> </w:t>
      </w:r>
      <w:r>
        <w:t>Достоинством данного метода является не только его простота, дост</w:t>
      </w:r>
      <w:r>
        <w:t>о</w:t>
      </w:r>
      <w:r>
        <w:t>верность и экономичность, но и возможность в течение всего нескольких часов по обнаружению микро- и макрокультур микобактерий, определ</w:t>
      </w:r>
      <w:r>
        <w:t>е</w:t>
      </w:r>
      <w:r>
        <w:t>нию их жизнеспособности. Использование предлагаемого прямого эк</w:t>
      </w:r>
      <w:r>
        <w:t>с</w:t>
      </w:r>
      <w:r>
        <w:t>прессного метода индик</w:t>
      </w:r>
      <w:r>
        <w:t>а</w:t>
      </w:r>
      <w:r>
        <w:t>ции микобактерий, с целью быстрого и полного выявления источников возбудителя, способствует направленному уничт</w:t>
      </w:r>
      <w:r>
        <w:t>о</w:t>
      </w:r>
      <w:r>
        <w:t>жению очагов инфекции и повысит эффективность оздоровления неблаг</w:t>
      </w:r>
      <w:r>
        <w:t>о</w:t>
      </w:r>
      <w:r>
        <w:t xml:space="preserve">получных по туберкулёзу ферм.    </w:t>
      </w:r>
    </w:p>
    <w:p w:rsidR="00F4654E" w:rsidRDefault="00F4654E">
      <w:pPr>
        <w:pStyle w:val="a4"/>
      </w:pPr>
      <w:r>
        <w:t>УДК 616.986.7-085.371:619</w:t>
      </w:r>
    </w:p>
    <w:p w:rsidR="00F4654E" w:rsidRDefault="00F4654E">
      <w:pPr>
        <w:pStyle w:val="1"/>
      </w:pPr>
      <w:bookmarkStart w:id="5125" w:name="_Toc10731574"/>
      <w:bookmarkStart w:id="5126" w:name="_Toc11138047"/>
      <w:bookmarkStart w:id="5127" w:name="_Toc11138465"/>
      <w:bookmarkStart w:id="5128" w:name="_Toc11138883"/>
      <w:bookmarkStart w:id="5129" w:name="_Toc11139301"/>
      <w:bookmarkStart w:id="5130" w:name="_Toc11139719"/>
      <w:bookmarkStart w:id="5131" w:name="_Toc11140137"/>
      <w:bookmarkStart w:id="5132" w:name="_Toc11140555"/>
      <w:bookmarkStart w:id="5133" w:name="_Toc11390653"/>
      <w:bookmarkStart w:id="5134" w:name="_Toc11840338"/>
      <w:bookmarkStart w:id="5135" w:name="_Toc11937874"/>
      <w:r>
        <w:t>ИСПОЛЬЗОВАНИЕ ФИЛЬТРАЦИОННОГО МОДУЛЯ ФИРМЫ «САРТОРИУС»  ДЛЯ КОНЦЕНТРИРОВАНИЯ ЛЕПТОСПИР</w:t>
      </w:r>
      <w:bookmarkEnd w:id="5125"/>
      <w:bookmarkEnd w:id="5126"/>
      <w:bookmarkEnd w:id="5127"/>
      <w:bookmarkEnd w:id="5128"/>
      <w:bookmarkEnd w:id="5129"/>
      <w:bookmarkEnd w:id="5130"/>
      <w:bookmarkEnd w:id="5131"/>
      <w:bookmarkEnd w:id="5132"/>
      <w:bookmarkEnd w:id="5133"/>
      <w:bookmarkEnd w:id="5134"/>
      <w:bookmarkEnd w:id="5135"/>
    </w:p>
    <w:p w:rsidR="00F4654E" w:rsidRDefault="00F4654E">
      <w:pPr>
        <w:pStyle w:val="2"/>
      </w:pPr>
      <w:bookmarkStart w:id="5136" w:name="_Toc10731575"/>
      <w:bookmarkStart w:id="5137" w:name="_Toc11032387"/>
      <w:bookmarkStart w:id="5138" w:name="_Toc11138048"/>
      <w:bookmarkStart w:id="5139" w:name="_Toc11138466"/>
      <w:bookmarkStart w:id="5140" w:name="_Toc11138884"/>
      <w:bookmarkStart w:id="5141" w:name="_Toc11139302"/>
      <w:bookmarkStart w:id="5142" w:name="_Toc11139720"/>
      <w:bookmarkStart w:id="5143" w:name="_Toc11140138"/>
      <w:bookmarkStart w:id="5144" w:name="_Toc11140556"/>
      <w:bookmarkStart w:id="5145" w:name="_Toc11390654"/>
      <w:bookmarkStart w:id="5146" w:name="_Toc11937875"/>
      <w:r>
        <w:t>Сусский Е.В., Ярцев С.Н.</w:t>
      </w:r>
      <w:bookmarkEnd w:id="5136"/>
      <w:bookmarkEnd w:id="5137"/>
      <w:bookmarkEnd w:id="5138"/>
      <w:bookmarkEnd w:id="5139"/>
      <w:bookmarkEnd w:id="5140"/>
      <w:bookmarkEnd w:id="5141"/>
      <w:bookmarkEnd w:id="5142"/>
      <w:bookmarkEnd w:id="5143"/>
      <w:bookmarkEnd w:id="5144"/>
      <w:bookmarkEnd w:id="5145"/>
      <w:bookmarkEnd w:id="5146"/>
    </w:p>
    <w:p w:rsidR="00F4654E" w:rsidRDefault="00F4654E">
      <w:pPr>
        <w:pStyle w:val="a5"/>
      </w:pPr>
      <w:r>
        <w:t>ФГУП  «Армавирская биофабрика»</w:t>
      </w:r>
    </w:p>
    <w:p w:rsidR="00F4654E" w:rsidRDefault="00F4654E">
      <w:pPr>
        <w:pStyle w:val="a6"/>
      </w:pPr>
      <w:r>
        <w:t>Промышленная технология изготовления концентрированной вакц</w:t>
      </w:r>
      <w:r>
        <w:t>и</w:t>
      </w:r>
      <w:r>
        <w:t xml:space="preserve">ны против лептоспироза животных предусматривает концентрирование </w:t>
      </w:r>
      <w:r>
        <w:lastRenderedPageBreak/>
        <w:t>лептоспир методом ультрафильтрации на полых волокнах на установке УПВ-6.</w:t>
      </w:r>
    </w:p>
    <w:p w:rsidR="00F4654E" w:rsidRDefault="00F4654E">
      <w:pPr>
        <w:pStyle w:val="a6"/>
      </w:pPr>
      <w:r>
        <w:t>При использовании этого метода происходит сгущение, как микро</w:t>
      </w:r>
      <w:r>
        <w:t>б</w:t>
      </w:r>
      <w:r>
        <w:t>ных клеток, так и компонентов питательной среды. Концентрирование больших объемов культуральной жидкости (КЖ) сопряжено со значител</w:t>
      </w:r>
      <w:r>
        <w:t>ь</w:t>
      </w:r>
      <w:r>
        <w:t>ными трудностями, а именно: необходимость периодической регенерации колонок в процессе концентрирования (что ведет к увеличению времени технологического процесса). Кроме того изменения гидродинамических условий сгущения приводит к разрушению целостности части микробных клеток.</w:t>
      </w:r>
    </w:p>
    <w:p w:rsidR="00F4654E" w:rsidRDefault="00F4654E">
      <w:pPr>
        <w:pStyle w:val="a6"/>
      </w:pPr>
      <w:r>
        <w:t>Использование технологии «кросс-флоу» установки «Сартокон» в</w:t>
      </w:r>
      <w:r>
        <w:t>ы</w:t>
      </w:r>
      <w:r>
        <w:t>явило ряд особенностей для концентрирования лептоспир.</w:t>
      </w:r>
      <w:r w:rsidR="004D29CD">
        <w:t xml:space="preserve"> </w:t>
      </w:r>
      <w:r>
        <w:t>Во-первых, скорость концентрирования возросла в 4-5 раз, не возникало необходим</w:t>
      </w:r>
      <w:r>
        <w:t>о</w:t>
      </w:r>
      <w:r>
        <w:t>сти в вынужденных остановках процесса для регенерации фильтрэлеме</w:t>
      </w:r>
      <w:r>
        <w:t>н</w:t>
      </w:r>
      <w:r>
        <w:t>тов. Во-вторых, часть низкомолекулярных компонентов КЖ удалялась с фильтратом. В-третьих, микроскопия концентрированной суспензии ба</w:t>
      </w:r>
      <w:r>
        <w:t>к</w:t>
      </w:r>
      <w:r>
        <w:t>териальной культуры показала сохранение целостности большинства ми</w:t>
      </w:r>
      <w:r>
        <w:t>к</w:t>
      </w:r>
      <w:r>
        <w:t>робных клеток.</w:t>
      </w:r>
    </w:p>
    <w:p w:rsidR="00F4654E" w:rsidRDefault="00F4654E">
      <w:pPr>
        <w:pStyle w:val="a6"/>
      </w:pPr>
      <w:r>
        <w:t>Активность опытно-промышленных серий концентрированной вакц</w:t>
      </w:r>
      <w:r>
        <w:t>и</w:t>
      </w:r>
      <w:r>
        <w:t>ны проверяли на кроликах. Путем однократного внутривенного введения по 15 млн.микробных тел в объеме 0,5 см</w:t>
      </w:r>
      <w:r>
        <w:rPr>
          <w:vertAlign w:val="superscript"/>
        </w:rPr>
        <w:t>з</w:t>
      </w:r>
      <w:r>
        <w:t>. Контролем служила коммерч</w:t>
      </w:r>
      <w:r>
        <w:t>е</w:t>
      </w:r>
      <w:r>
        <w:t>ская вакцина, которую вводили кроликам внутривенно в той же дозе и объеме. Титр антител в сыворотке иммунизированных кроликов составил к лептоспирам: Помона 1:1700, Тарассови 1:900, Гриппотифоза 1:2100, И</w:t>
      </w:r>
      <w:r>
        <w:t>к</w:t>
      </w:r>
      <w:r>
        <w:t>терогеморрагия 1:1750, Харджио 1:850, а в коммерческой вакцине соотве</w:t>
      </w:r>
      <w:r>
        <w:t>т</w:t>
      </w:r>
      <w:r>
        <w:t>ственно к лептоспирам: Помона 1:1500, Тарассови 1:700, Гриппотифоза 1:1700, Иктерогеморрагия 1:1250, Харджио 1:800.</w:t>
      </w:r>
    </w:p>
    <w:p w:rsidR="00F4654E" w:rsidRDefault="00F4654E">
      <w:pPr>
        <w:pStyle w:val="a6"/>
      </w:pPr>
      <w:r>
        <w:t>Таким образом, проведенная работа показывает возможность и пе</w:t>
      </w:r>
      <w:r>
        <w:t>р</w:t>
      </w:r>
      <w:r>
        <w:t>спективность использования установки «Сартокон» для концентрирования лептоспир.</w:t>
      </w:r>
    </w:p>
    <w:p w:rsidR="00F4654E" w:rsidRDefault="00F4654E">
      <w:pPr>
        <w:pStyle w:val="a4"/>
      </w:pPr>
      <w:r>
        <w:t>УДК 616.986.7-085.371:619</w:t>
      </w:r>
    </w:p>
    <w:p w:rsidR="00F4654E" w:rsidRDefault="00F4654E">
      <w:pPr>
        <w:pStyle w:val="1"/>
      </w:pPr>
      <w:bookmarkStart w:id="5147" w:name="_Toc10731572"/>
      <w:bookmarkStart w:id="5148" w:name="_Toc11138049"/>
      <w:bookmarkStart w:id="5149" w:name="_Toc11138467"/>
      <w:bookmarkStart w:id="5150" w:name="_Toc11138885"/>
      <w:bookmarkStart w:id="5151" w:name="_Toc11139303"/>
      <w:bookmarkStart w:id="5152" w:name="_Toc11139721"/>
      <w:bookmarkStart w:id="5153" w:name="_Toc11140139"/>
      <w:bookmarkStart w:id="5154" w:name="_Toc11140557"/>
      <w:bookmarkStart w:id="5155" w:name="_Toc11390655"/>
      <w:bookmarkStart w:id="5156" w:name="_Toc11840340"/>
      <w:bookmarkStart w:id="5157" w:name="_Toc11937876"/>
      <w:r>
        <w:t>ПОЛУЧЕНИЕ ПИТАТЕЛЬНОЙ СРЕДЫ НА ОСНОВЕ ЭРИТРОЦИТАРНОЙ МАССЫ</w:t>
      </w:r>
      <w:bookmarkEnd w:id="5147"/>
      <w:bookmarkEnd w:id="5148"/>
      <w:bookmarkEnd w:id="5149"/>
      <w:bookmarkEnd w:id="5150"/>
      <w:bookmarkEnd w:id="5151"/>
      <w:bookmarkEnd w:id="5152"/>
      <w:bookmarkEnd w:id="5153"/>
      <w:bookmarkEnd w:id="5154"/>
      <w:bookmarkEnd w:id="5155"/>
      <w:bookmarkEnd w:id="5156"/>
      <w:bookmarkEnd w:id="5157"/>
    </w:p>
    <w:p w:rsidR="00F4654E" w:rsidRDefault="00F4654E">
      <w:pPr>
        <w:pStyle w:val="2"/>
      </w:pPr>
      <w:bookmarkStart w:id="5158" w:name="_Toc10731573"/>
      <w:bookmarkStart w:id="5159" w:name="_Toc11032388"/>
      <w:bookmarkStart w:id="5160" w:name="_Toc11138050"/>
      <w:bookmarkStart w:id="5161" w:name="_Toc11138468"/>
      <w:bookmarkStart w:id="5162" w:name="_Toc11138886"/>
      <w:bookmarkStart w:id="5163" w:name="_Toc11139304"/>
      <w:bookmarkStart w:id="5164" w:name="_Toc11139722"/>
      <w:bookmarkStart w:id="5165" w:name="_Toc11140140"/>
      <w:bookmarkStart w:id="5166" w:name="_Toc11140558"/>
      <w:bookmarkStart w:id="5167" w:name="_Toc11390656"/>
      <w:bookmarkStart w:id="5168" w:name="_Toc11937877"/>
      <w:r>
        <w:t>Сусский Е.В., Ярцев С.Н.</w:t>
      </w:r>
      <w:bookmarkEnd w:id="5158"/>
      <w:bookmarkEnd w:id="5159"/>
      <w:bookmarkEnd w:id="5160"/>
      <w:bookmarkEnd w:id="5161"/>
      <w:bookmarkEnd w:id="5162"/>
      <w:bookmarkEnd w:id="5163"/>
      <w:bookmarkEnd w:id="5164"/>
      <w:bookmarkEnd w:id="5165"/>
      <w:bookmarkEnd w:id="5166"/>
      <w:bookmarkEnd w:id="5167"/>
      <w:bookmarkEnd w:id="5168"/>
    </w:p>
    <w:p w:rsidR="00F4654E" w:rsidRDefault="00F4654E">
      <w:pPr>
        <w:pStyle w:val="a5"/>
      </w:pPr>
      <w:r>
        <w:t>ФГУП «Армавирская биофабрика»</w:t>
      </w:r>
    </w:p>
    <w:p w:rsidR="00F4654E" w:rsidRDefault="00F4654E">
      <w:pPr>
        <w:pStyle w:val="a6"/>
      </w:pPr>
      <w:r>
        <w:t>Нами проведена работа по поиску оптимального способа переработки эритроцитарной массы крови овец с целью получения компонента пит</w:t>
      </w:r>
      <w:r>
        <w:t>а</w:t>
      </w:r>
      <w:r>
        <w:t>тельной среды для выращивания вакцинных и диагностических штаммов лептоспир.</w:t>
      </w:r>
    </w:p>
    <w:p w:rsidR="00F4654E" w:rsidRDefault="00F4654E">
      <w:pPr>
        <w:pStyle w:val="a6"/>
      </w:pPr>
      <w:r>
        <w:t>Эритроцитарная масса представляет собой отходы сывороточного производства и составляют от 40 до 50% массы донорской крови. Перер</w:t>
      </w:r>
      <w:r>
        <w:t>а</w:t>
      </w:r>
      <w:r>
        <w:lastRenderedPageBreak/>
        <w:t>ботка и использование этого сырья для производственных целей предста</w:t>
      </w:r>
      <w:r>
        <w:t>в</w:t>
      </w:r>
      <w:r>
        <w:t>ляется весьма перспективной для наиболее полного использования – д</w:t>
      </w:r>
      <w:r>
        <w:t>о</w:t>
      </w:r>
      <w:r>
        <w:t>норской крови, вырабатываемой на предприятиях. Поиск способов и р</w:t>
      </w:r>
      <w:r>
        <w:t>е</w:t>
      </w:r>
      <w:r>
        <w:t>жимов переработки эритроцитарной массы (ЭрМ), включающихся дезагр</w:t>
      </w:r>
      <w:r>
        <w:t>е</w:t>
      </w:r>
      <w:r>
        <w:t>гацию ЭрМ, осуществляли с помощью известных физических, химических и ферментативных методов.</w:t>
      </w:r>
    </w:p>
    <w:p w:rsidR="00F4654E" w:rsidRDefault="00F4654E">
      <w:pPr>
        <w:pStyle w:val="a6"/>
      </w:pPr>
      <w:r>
        <w:t>Из физических методов были испробованы способы разрушения эри</w:t>
      </w:r>
      <w:r>
        <w:t>т</w:t>
      </w:r>
      <w:r>
        <w:t>роцитарной массы крови ультразвуком и методом поэтапного заморажив</w:t>
      </w:r>
      <w:r>
        <w:t>а</w:t>
      </w:r>
      <w:r>
        <w:t>ния и оттаивания.</w:t>
      </w:r>
    </w:p>
    <w:p w:rsidR="00F4654E" w:rsidRDefault="00F4654E">
      <w:pPr>
        <w:pStyle w:val="a6"/>
      </w:pPr>
      <w:r>
        <w:t>Из химических методов наиболее доступен кислотный гидролиз. О</w:t>
      </w:r>
      <w:r>
        <w:t>п</w:t>
      </w:r>
      <w:r>
        <w:t>тимальным во многих отношениях нам представлялся ферментативный гидролиз эритроцитарного сырья, он требует гораздо более мягких усл</w:t>
      </w:r>
      <w:r>
        <w:t>о</w:t>
      </w:r>
      <w:r>
        <w:t>вий, чем кислотный гидролиз. Проведена отработка процессов стерилиз</w:t>
      </w:r>
      <w:r>
        <w:t>а</w:t>
      </w:r>
      <w:r>
        <w:t>ции продуктов гидролиза, включающие предварительную и стерилизу</w:t>
      </w:r>
      <w:r>
        <w:t>ю</w:t>
      </w:r>
      <w:r>
        <w:t>щую фильтрацию.</w:t>
      </w:r>
    </w:p>
    <w:p w:rsidR="00F4654E" w:rsidRDefault="00F4654E">
      <w:pPr>
        <w:pStyle w:val="a6"/>
      </w:pPr>
      <w:r>
        <w:t>Основная задача второго этапа наших исследований заключалась в с</w:t>
      </w:r>
      <w:r>
        <w:t>о</w:t>
      </w:r>
      <w:r>
        <w:t>ставлении питательных сред, содержащих гидролизат ЭрМ и их испыт</w:t>
      </w:r>
      <w:r>
        <w:t>а</w:t>
      </w:r>
      <w:r>
        <w:t>ния. Для этого были составлены различные варианты сред, включающие  К/Nа – буфер и сыворотку крови овец, в которых сыворотка крови части</w:t>
      </w:r>
      <w:r>
        <w:t>ч</w:t>
      </w:r>
      <w:r>
        <w:t>но заменялась на гидролизат ЭрМ, ферментативный гидролизат ЭрМ и</w:t>
      </w:r>
      <w:r>
        <w:t>с</w:t>
      </w:r>
      <w:r>
        <w:t>пытывали в качестве ростостимулирующей добавки от 1 до 2% к объему сыворотки. Составлены несколько вариантов питательной среды с доба</w:t>
      </w:r>
      <w:r>
        <w:t>в</w:t>
      </w:r>
      <w:r>
        <w:t>лением гидролизата ЭрМ.</w:t>
      </w:r>
    </w:p>
    <w:p w:rsidR="00F4654E" w:rsidRDefault="00F4654E">
      <w:pPr>
        <w:pStyle w:val="a6"/>
      </w:pPr>
      <w:r>
        <w:t>Добавка гидролизата ЭрМ к сывороточным средам в количестве 1-2% к объему сыворотки крови стимулировало увеличение скорости роста ле</w:t>
      </w:r>
      <w:r>
        <w:t>п</w:t>
      </w:r>
      <w:r>
        <w:t>тоспир серогрупп: Grippotyhposa, Pomona, Jcterohaemorrahia. Питательная среда с добавлением гидролизата ЭрМ в условиях аэрации давала увелич</w:t>
      </w:r>
      <w:r>
        <w:t>е</w:t>
      </w:r>
      <w:r>
        <w:t>ние накопления лептоспир в 2-3 раза по сравнению с контрольными (сыв</w:t>
      </w:r>
      <w:r>
        <w:t>о</w:t>
      </w:r>
      <w:r>
        <w:t>роточными) средами.</w:t>
      </w:r>
    </w:p>
    <w:p w:rsidR="00F4654E" w:rsidRDefault="00F4654E">
      <w:pPr>
        <w:pStyle w:val="a6"/>
      </w:pPr>
      <w:r>
        <w:t>Из культур, выращенных на средах опытных вариантов были соста</w:t>
      </w:r>
      <w:r>
        <w:t>в</w:t>
      </w:r>
      <w:r>
        <w:t xml:space="preserve">лены микросерии вакцины, активность которых проверяли на кроликах. Контролем служила коммерческая вакцина, которую вводили кроликам в той же дозе и объемах, что и испытываемую вакцину, выращенную на опытных средах. </w:t>
      </w:r>
    </w:p>
    <w:p w:rsidR="00F4654E" w:rsidRDefault="00F4654E">
      <w:pPr>
        <w:pStyle w:val="a6"/>
      </w:pPr>
      <w:r>
        <w:t>Титр антител в сыворотке крови вакцинированных кроликов составил к лептоспирам: Помона 1:2000, Тарассови 1:900, Гриппотифоза 1:1700, И</w:t>
      </w:r>
      <w:r>
        <w:t>к</w:t>
      </w:r>
      <w:r>
        <w:t>терогеморрагия 1:1700, Харджио 1:850, а в коммерческой вакцине соотве</w:t>
      </w:r>
      <w:r>
        <w:t>т</w:t>
      </w:r>
      <w:r>
        <w:t>ственно к лептоспирам: Помона 1:1650, Тарассови 1:700, Гриппотифоза 1:1500, Иктерогеморрагия 1:1350, Харджио 1:800.</w:t>
      </w:r>
    </w:p>
    <w:p w:rsidR="00F4654E" w:rsidRDefault="00F4654E">
      <w:pPr>
        <w:pStyle w:val="a6"/>
      </w:pPr>
      <w:r>
        <w:t>Таким образом, вопросы о целесообразности использования гидрол</w:t>
      </w:r>
      <w:r>
        <w:t>и</w:t>
      </w:r>
      <w:r>
        <w:t>затов ЭрМ в качестве компонентов питательных сред для культивирования лептоспир требуют дальнейшего всестороннего изучения.</w:t>
      </w:r>
    </w:p>
    <w:p w:rsidR="00F4654E" w:rsidRDefault="00F4654E">
      <w:pPr>
        <w:pStyle w:val="a4"/>
      </w:pPr>
      <w:r>
        <w:lastRenderedPageBreak/>
        <w:t>УДК 636.4: 616.24-002-07: 616.153.915-074</w:t>
      </w:r>
    </w:p>
    <w:p w:rsidR="00F4654E" w:rsidRDefault="00F4654E">
      <w:pPr>
        <w:pStyle w:val="1"/>
      </w:pPr>
      <w:bookmarkStart w:id="5169" w:name="_Toc10731576"/>
      <w:bookmarkStart w:id="5170" w:name="_Toc11138051"/>
      <w:bookmarkStart w:id="5171" w:name="_Toc11138469"/>
      <w:bookmarkStart w:id="5172" w:name="_Toc11138887"/>
      <w:bookmarkStart w:id="5173" w:name="_Toc11139305"/>
      <w:bookmarkStart w:id="5174" w:name="_Toc11139723"/>
      <w:bookmarkStart w:id="5175" w:name="_Toc11140141"/>
      <w:bookmarkStart w:id="5176" w:name="_Toc11140559"/>
      <w:bookmarkStart w:id="5177" w:name="_Toc11390657"/>
      <w:bookmarkStart w:id="5178" w:name="_Toc11840342"/>
      <w:bookmarkStart w:id="5179" w:name="_Toc11937878"/>
      <w:r>
        <w:t>Влияние перекисного окисления липидов на сурфактант легких свиней при стрессе, пневмонии и его ограничение антиоксидантами</w:t>
      </w:r>
      <w:bookmarkEnd w:id="5169"/>
      <w:bookmarkEnd w:id="5170"/>
      <w:bookmarkEnd w:id="5171"/>
      <w:bookmarkEnd w:id="5172"/>
      <w:bookmarkEnd w:id="5173"/>
      <w:bookmarkEnd w:id="5174"/>
      <w:bookmarkEnd w:id="5175"/>
      <w:bookmarkEnd w:id="5176"/>
      <w:bookmarkEnd w:id="5177"/>
      <w:bookmarkEnd w:id="5178"/>
      <w:bookmarkEnd w:id="5179"/>
    </w:p>
    <w:p w:rsidR="00F4654E" w:rsidRDefault="00F4654E">
      <w:pPr>
        <w:pStyle w:val="2"/>
      </w:pPr>
      <w:bookmarkStart w:id="5180" w:name="_Toc10731577"/>
      <w:bookmarkStart w:id="5181" w:name="_Toc11032389"/>
      <w:bookmarkStart w:id="5182" w:name="_Toc11138052"/>
      <w:bookmarkStart w:id="5183" w:name="_Toc11138470"/>
      <w:bookmarkStart w:id="5184" w:name="_Toc11138888"/>
      <w:bookmarkStart w:id="5185" w:name="_Toc11139306"/>
      <w:bookmarkStart w:id="5186" w:name="_Toc11139724"/>
      <w:bookmarkStart w:id="5187" w:name="_Toc11140142"/>
      <w:bookmarkStart w:id="5188" w:name="_Toc11140560"/>
      <w:bookmarkStart w:id="5189" w:name="_Toc11390658"/>
      <w:bookmarkStart w:id="5190" w:name="_Toc11937879"/>
      <w:r>
        <w:rPr>
          <w:caps/>
        </w:rPr>
        <w:t>С</w:t>
      </w:r>
      <w:r>
        <w:t>ухов Н.М.</w:t>
      </w:r>
      <w:bookmarkEnd w:id="5180"/>
      <w:bookmarkEnd w:id="5181"/>
      <w:bookmarkEnd w:id="5182"/>
      <w:bookmarkEnd w:id="5183"/>
      <w:bookmarkEnd w:id="5184"/>
      <w:bookmarkEnd w:id="5185"/>
      <w:bookmarkEnd w:id="5186"/>
      <w:bookmarkEnd w:id="5187"/>
      <w:bookmarkEnd w:id="5188"/>
      <w:bookmarkEnd w:id="5189"/>
      <w:bookmarkEnd w:id="5190"/>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Специализация свиноводства предполагает такие технологические приемы как перегруппировка, транспортировка, взвешивание, вакцинация и другие, которые вызывают у свиней состояние напряжения ведущие к развитию у них острого стрессового состояния (Д.А. Устинов, 1976; Н.М. Сухов, А.Г. Шахов, 1979 и др.). Транспортный стресс, как нами ранее у</w:t>
      </w:r>
      <w:r>
        <w:t>с</w:t>
      </w:r>
      <w:r>
        <w:t>тановлено (А.Г. Шахов, В.С. Бузлама и др., 1980; А.Г. Шахов, Н.М. Сухов, В.И. Болгова, 1981), снижает у свиней общую неспецифическую рез</w:t>
      </w:r>
      <w:r>
        <w:t>и</w:t>
      </w:r>
      <w:r>
        <w:t>стентность и является одной из основных причин возникновения массовых респираторных заболеваний.</w:t>
      </w:r>
    </w:p>
    <w:p w:rsidR="00F4654E" w:rsidRDefault="00F4654E">
      <w:pPr>
        <w:pStyle w:val="a6"/>
      </w:pPr>
      <w:r>
        <w:t>Предупреждение неблагоприятного воздействия стресса на здоровье и продуктивность животного требует основательного знания патогенеза постстрессовых пневмоний, которого в настоящее время крайне недост</w:t>
      </w:r>
      <w:r>
        <w:t>а</w:t>
      </w:r>
      <w:r>
        <w:t>точно. В литературе сообщается о зависимости перекисного окисления л</w:t>
      </w:r>
      <w:r>
        <w:t>и</w:t>
      </w:r>
      <w:r>
        <w:t>пидов (ПОЛ) плазмы, клеток крови от клинических вариантов воспал</w:t>
      </w:r>
      <w:r>
        <w:t>и</w:t>
      </w:r>
      <w:r>
        <w:t xml:space="preserve">тельных заболеваний легких (ВЗЛ) (В.Г. Аматуни, М.Д. Сафарьян, 1982; А.Ф. Виноградов, В.И. Крылов, В.А. Жмуров и др., 1978; А.М. Ярош, 1984), от стрессорных воздействий с изменением состояния сурфактанта легких (Л.С. Васильева, Л.А. Украинская, Л.К. Носкова, 2001). </w:t>
      </w:r>
    </w:p>
    <w:p w:rsidR="00F4654E" w:rsidRDefault="00F4654E">
      <w:pPr>
        <w:pStyle w:val="a6"/>
      </w:pPr>
      <w:r>
        <w:t>Связь между ПОЛ крови со стрессом и морфологическими особенн</w:t>
      </w:r>
      <w:r>
        <w:t>о</w:t>
      </w:r>
      <w:r>
        <w:t>стями воспаления легких с состоянием сурфактанта, и особенно у свиней, изучено недостаточно. Это и определило направление настоящего иссл</w:t>
      </w:r>
      <w:r>
        <w:t>е</w:t>
      </w:r>
      <w:r>
        <w:t>дования, целью которого было выявить взаимосвязь между активностью ПОЛ и количеством сурфактанта в легких при транспортном стрессе и пневмониях.</w:t>
      </w:r>
    </w:p>
    <w:p w:rsidR="00F4654E" w:rsidRDefault="00F4654E">
      <w:pPr>
        <w:pStyle w:val="a6"/>
      </w:pPr>
      <w:r>
        <w:t>Для этой цели в хозяйстве-поставщике, находящемся на расстоянии 70 км (3 км грунтовой и 67 км дороги с твердым покрытием) от откормо</w:t>
      </w:r>
      <w:r>
        <w:t>ч</w:t>
      </w:r>
      <w:r>
        <w:t>ного хозяйства, отобрали 35 клинически здоровых поросят в возрасте 2,5 - 3 месяцев. Транспортировку осуществляли  на открытой автомашине, при температуре  внешней среды  +4</w:t>
      </w:r>
      <w:r>
        <w:rPr>
          <w:vertAlign w:val="superscript"/>
        </w:rPr>
        <w:t>0</w:t>
      </w:r>
      <w:r>
        <w:t>С, движение воздуха до 10 м/сек, влажн</w:t>
      </w:r>
      <w:r>
        <w:t>о</w:t>
      </w:r>
      <w:r>
        <w:t>сти воздуха 92%. Кровь для исследования от поросят по 6 образцов  брали (у 3-х из хвоста,  у 3-х из яремной вены) непосредственно перед транспо</w:t>
      </w:r>
      <w:r>
        <w:t>р</w:t>
      </w:r>
      <w:r>
        <w:t>тировкой, через 5 часов после начала её и на 5-й день пребывания живо</w:t>
      </w:r>
      <w:r>
        <w:t>т</w:t>
      </w:r>
      <w:r>
        <w:t>ных в откормочном хозяйстве. В последнем случае у животных были кл</w:t>
      </w:r>
      <w:r>
        <w:t>и</w:t>
      </w:r>
      <w:r>
        <w:t>нические признаки бронхопневмонии. В эти же сроки убивали по 3 живо</w:t>
      </w:r>
      <w:r>
        <w:t>т</w:t>
      </w:r>
      <w:r>
        <w:t>ных для морфологического изучения - гистологического, гистохимическ</w:t>
      </w:r>
      <w:r>
        <w:t>о</w:t>
      </w:r>
      <w:r>
        <w:t>го с использованием электронной гистохимии. Контролем служили клин</w:t>
      </w:r>
      <w:r>
        <w:t>и</w:t>
      </w:r>
      <w:r>
        <w:lastRenderedPageBreak/>
        <w:t>чески здоровые животные перед транспортировкой. Концентрацию диен</w:t>
      </w:r>
      <w:r>
        <w:t>о</w:t>
      </w:r>
      <w:r>
        <w:t>вых конъюгатов (ДК) в экстракте липидов плазмы крови измеряли спе</w:t>
      </w:r>
      <w:r>
        <w:t>к</w:t>
      </w:r>
      <w:r>
        <w:t>трофотометрически при длине волны 232 нм (И.Д. Стальная, 1977). Кат</w:t>
      </w:r>
      <w:r>
        <w:t>а</w:t>
      </w:r>
      <w:r>
        <w:t>лазную активность (КА) крови определяли по Баху и Зубковой (С.Д. Бал</w:t>
      </w:r>
      <w:r>
        <w:t>а</w:t>
      </w:r>
      <w:r>
        <w:t>ховский, И.С. Балаховский, 1953). Срезы легких окрашивали гематоксил</w:t>
      </w:r>
      <w:r>
        <w:t>и</w:t>
      </w:r>
      <w:r>
        <w:t>ном-эозином, пикрофуксином по Ван-Гизону и реактивам Шиффа с докр</w:t>
      </w:r>
      <w:r>
        <w:t>а</w:t>
      </w:r>
      <w:r>
        <w:t>ской гематоксилином Гарриса. Количественные данные обрабатывали ст</w:t>
      </w:r>
      <w:r>
        <w:t>а</w:t>
      </w:r>
      <w:r>
        <w:t>тистически с использованием критерия Стьюдента.</w:t>
      </w:r>
    </w:p>
    <w:p w:rsidR="00F4654E" w:rsidRDefault="00F4654E">
      <w:pPr>
        <w:pStyle w:val="a6"/>
      </w:pPr>
      <w:r>
        <w:t>Во время транспортировки и сразу после неё у животных наблюдали клинические признаки стресс-синдрома: в виде возбужденного состояния, учащения частоты дыхания и сердечных сокращений, судорожного движ</w:t>
      </w:r>
      <w:r>
        <w:t>е</w:t>
      </w:r>
      <w:r>
        <w:t>ния конечностей. Характерным признаком являлся напряженный дрож</w:t>
      </w:r>
      <w:r>
        <w:t>а</w:t>
      </w:r>
      <w:r>
        <w:t>щий хвост, животные совершали им резкие нервные движения. На коже появлялись красные пятна или, наоборот, бледнели отдельные участки к</w:t>
      </w:r>
      <w:r>
        <w:t>о</w:t>
      </w:r>
      <w:r>
        <w:t>жи, что придавало поросятам пятнистый вид. У некоторых животных пр</w:t>
      </w:r>
      <w:r>
        <w:t>о</w:t>
      </w:r>
      <w:r>
        <w:t xml:space="preserve">исходило покраснение кожи всего тела. </w:t>
      </w:r>
    </w:p>
    <w:p w:rsidR="00F4654E" w:rsidRDefault="00F4654E">
      <w:pPr>
        <w:pStyle w:val="a6"/>
      </w:pPr>
      <w:r>
        <w:t>При стрессе через 5 часов после начала транспортировки количество сурфактанта уменьшается более, чем в 2 раза, на фоне активации проце</w:t>
      </w:r>
      <w:r>
        <w:t>с</w:t>
      </w:r>
      <w:r>
        <w:t>сов ПОЛ (Р &lt;0,05). Изменения в крови заключаются в некотором увелич</w:t>
      </w:r>
      <w:r>
        <w:t>е</w:t>
      </w:r>
      <w:r>
        <w:t>нии ДК и в тенденции к уменьшению КА, в легких отмечалось набухание рыхлой соединительной ткани с наличием в ней ШИК-положительного м</w:t>
      </w:r>
      <w:r>
        <w:t>а</w:t>
      </w:r>
      <w:r>
        <w:t>териала. При электронной микроскопии отмечался активный выход ос</w:t>
      </w:r>
      <w:r>
        <w:t>ь</w:t>
      </w:r>
      <w:r>
        <w:t>миофильных телец из альвеолоцитов II типа. Сурфактантный слой на п</w:t>
      </w:r>
      <w:r>
        <w:t>о</w:t>
      </w:r>
      <w:r>
        <w:t>верхности альвеол истончался, а в некоторых участках не обнаруживался.</w:t>
      </w:r>
    </w:p>
    <w:p w:rsidR="00F4654E" w:rsidRDefault="00F4654E">
      <w:pPr>
        <w:pStyle w:val="a6"/>
      </w:pPr>
      <w:r>
        <w:t>Через 5 дней после транспортировки у всех 3-х убитых поросят обн</w:t>
      </w:r>
      <w:r>
        <w:t>а</w:t>
      </w:r>
      <w:r>
        <w:t>ружена очаговая катарально-гнойная пневмония. В крови, как и в пред</w:t>
      </w:r>
      <w:r>
        <w:t>ы</w:t>
      </w:r>
      <w:r>
        <w:t>дущий срок концентрация ДК достоверно увеличена, КА достоверно сн</w:t>
      </w:r>
      <w:r>
        <w:t>и</w:t>
      </w:r>
      <w:r>
        <w:t>жена. При количественном определении сурфактанта в очагах пневмонии его количество уменьшилось в 2 раза.</w:t>
      </w:r>
    </w:p>
    <w:p w:rsidR="00F4654E" w:rsidRDefault="00F4654E">
      <w:pPr>
        <w:pStyle w:val="a6"/>
      </w:pPr>
      <w:r>
        <w:t>На основании полученных данных установлена высокая степень отр</w:t>
      </w:r>
      <w:r>
        <w:t>и</w:t>
      </w:r>
      <w:r>
        <w:t>цательной корреляции (r = – 0,65)  между количеством сурфактанта и ко</w:t>
      </w:r>
      <w:r>
        <w:t>н</w:t>
      </w:r>
      <w:r>
        <w:t>центрацией продуктов ПОЛ.</w:t>
      </w:r>
    </w:p>
    <w:p w:rsidR="00F4654E" w:rsidRDefault="00F4654E">
      <w:pPr>
        <w:pStyle w:val="a6"/>
      </w:pPr>
      <w:r>
        <w:t>Учитывая, что основной компонент сурфактанта - мономолекулярный слой фосфолипидов, можно сделать вывод, что одним из механизмов н</w:t>
      </w:r>
      <w:r>
        <w:t>а</w:t>
      </w:r>
      <w:r>
        <w:t>рушения сурфактантной системы легких при стрессе (а пневмония тоже стресс) является стресс-индуцированная активация ПОЛ, механизм кот</w:t>
      </w:r>
      <w:r>
        <w:t>о</w:t>
      </w:r>
      <w:r>
        <w:t xml:space="preserve">рой довольно подробно описан в литературе последних лет (В.С. Бузлама, М.И. Рецкий, 1981; М.И. Рецкий, 2001). </w:t>
      </w:r>
    </w:p>
    <w:p w:rsidR="00F4654E" w:rsidRDefault="00F4654E">
      <w:pPr>
        <w:pStyle w:val="a6"/>
      </w:pPr>
      <w:r>
        <w:t>Снижение уровня антиоксидантной защиты (АОЗ) в условиях стресса явилось основанием для изучения возможности профилактики и лечения постстрессовых и других типов пневмоний путем использования антио</w:t>
      </w:r>
      <w:r>
        <w:t>к</w:t>
      </w:r>
      <w:r>
        <w:t xml:space="preserve">сидантов - селенита натрия, дилудина и витамина Е. </w:t>
      </w:r>
    </w:p>
    <w:p w:rsidR="00F4654E" w:rsidRDefault="00F4654E">
      <w:pPr>
        <w:pStyle w:val="a6"/>
      </w:pPr>
      <w:r>
        <w:lastRenderedPageBreak/>
        <w:t>Указанные антиоксиданты использовали с кормом животным, в и</w:t>
      </w:r>
      <w:r>
        <w:t>з</w:t>
      </w:r>
      <w:r>
        <w:t>вестных дозах перед транспортировкой и в течение двух недель после неё в комплексе с антибактериальными препаратами группы тилозина, что п</w:t>
      </w:r>
      <w:r>
        <w:t>о</w:t>
      </w:r>
      <w:r>
        <w:t>зволило в полтора раза (по сравнению с базовым вариантом) снизить заб</w:t>
      </w:r>
      <w:r>
        <w:t>о</w:t>
      </w:r>
      <w:r>
        <w:t>леваемость свиней пневмонией, а при лечении ускорить на 30% срок в</w:t>
      </w:r>
      <w:r>
        <w:t>ы</w:t>
      </w:r>
      <w:r>
        <w:t>здоровления животных.</w:t>
      </w:r>
    </w:p>
    <w:p w:rsidR="00F4654E" w:rsidRDefault="00F4654E">
      <w:pPr>
        <w:pStyle w:val="a6"/>
      </w:pPr>
      <w:r>
        <w:t>Нормализация показателей ПОЛ крови и легочной ткани наблюдается при торможении альтеративно-эксудативных процессов при выздоровл</w:t>
      </w:r>
      <w:r>
        <w:t>е</w:t>
      </w:r>
      <w:r>
        <w:t>нии. Это необходимо учитывать при диагностике ВЗЛ по состоянию ПОЛ крови и при проведении ПОЛ-корректирующей терапии при ВЗЛ.</w:t>
      </w:r>
    </w:p>
    <w:p w:rsidR="00F4654E" w:rsidRDefault="00F4654E">
      <w:pPr>
        <w:pStyle w:val="a4"/>
      </w:pPr>
      <w:r>
        <w:t>УДК 619.616.995:636.32:591.132</w:t>
      </w:r>
    </w:p>
    <w:p w:rsidR="00F4654E" w:rsidRDefault="00F4654E">
      <w:pPr>
        <w:pStyle w:val="1"/>
      </w:pPr>
      <w:bookmarkStart w:id="5191" w:name="_Toc10731578"/>
      <w:bookmarkStart w:id="5192" w:name="_Toc11138053"/>
      <w:bookmarkStart w:id="5193" w:name="_Toc11138471"/>
      <w:bookmarkStart w:id="5194" w:name="_Toc11138889"/>
      <w:bookmarkStart w:id="5195" w:name="_Toc11139307"/>
      <w:bookmarkStart w:id="5196" w:name="_Toc11139725"/>
      <w:bookmarkStart w:id="5197" w:name="_Toc11140143"/>
      <w:bookmarkStart w:id="5198" w:name="_Toc11140561"/>
      <w:bookmarkStart w:id="5199" w:name="_Toc11390659"/>
      <w:bookmarkStart w:id="5200" w:name="_Toc11840344"/>
      <w:bookmarkStart w:id="5201" w:name="_Toc11937880"/>
      <w:r>
        <w:t>ИЗМЕНЕНИЕ ЧИСЛЕННОСТИ ИНФУЗОРИЙ РУБЦОВОГО СОДЕРЖИМОГО ОВЕЦ ПРИ СМЕШАННОЙ ГЕЛЬМИНТОЗНОЙ ИНВАЗИИ И ПОСЛЕ ДЕГЕЛЬМИНТИЗАЦИИ</w:t>
      </w:r>
      <w:bookmarkEnd w:id="5191"/>
      <w:bookmarkEnd w:id="5192"/>
      <w:bookmarkEnd w:id="5193"/>
      <w:bookmarkEnd w:id="5194"/>
      <w:bookmarkEnd w:id="5195"/>
      <w:bookmarkEnd w:id="5196"/>
      <w:bookmarkEnd w:id="5197"/>
      <w:bookmarkEnd w:id="5198"/>
      <w:bookmarkEnd w:id="5199"/>
      <w:bookmarkEnd w:id="5200"/>
      <w:bookmarkEnd w:id="5201"/>
    </w:p>
    <w:p w:rsidR="00F4654E" w:rsidRDefault="00F4654E">
      <w:pPr>
        <w:pStyle w:val="2"/>
      </w:pPr>
      <w:bookmarkStart w:id="5202" w:name="_Toc10731579"/>
      <w:bookmarkStart w:id="5203" w:name="_Toc11032390"/>
      <w:bookmarkStart w:id="5204" w:name="_Toc11138054"/>
      <w:bookmarkStart w:id="5205" w:name="_Toc11138472"/>
      <w:bookmarkStart w:id="5206" w:name="_Toc11138890"/>
      <w:bookmarkStart w:id="5207" w:name="_Toc11139308"/>
      <w:bookmarkStart w:id="5208" w:name="_Toc11139726"/>
      <w:bookmarkStart w:id="5209" w:name="_Toc11140144"/>
      <w:bookmarkStart w:id="5210" w:name="_Toc11140562"/>
      <w:bookmarkStart w:id="5211" w:name="_Toc11390660"/>
      <w:bookmarkStart w:id="5212" w:name="_Toc11937881"/>
      <w:r>
        <w:t>Сысоева Н.Ю., Верховская Г.Л.</w:t>
      </w:r>
      <w:bookmarkEnd w:id="5202"/>
      <w:bookmarkEnd w:id="5203"/>
      <w:bookmarkEnd w:id="5204"/>
      <w:bookmarkEnd w:id="5205"/>
      <w:bookmarkEnd w:id="5206"/>
      <w:bookmarkEnd w:id="5207"/>
      <w:bookmarkEnd w:id="5208"/>
      <w:bookmarkEnd w:id="5209"/>
      <w:bookmarkEnd w:id="5210"/>
      <w:bookmarkEnd w:id="5211"/>
      <w:bookmarkEnd w:id="5212"/>
    </w:p>
    <w:p w:rsidR="00F4654E" w:rsidRDefault="00F4654E">
      <w:pPr>
        <w:pStyle w:val="a5"/>
      </w:pPr>
      <w:r>
        <w:t>Московский государственный университет прикладной биотехнологии</w:t>
      </w:r>
    </w:p>
    <w:p w:rsidR="00F4654E" w:rsidRDefault="00F4654E">
      <w:pPr>
        <w:pStyle w:val="a6"/>
      </w:pPr>
      <w:r>
        <w:t>Дегельминтизация инвазированных животных является неотъемл</w:t>
      </w:r>
      <w:r>
        <w:t>е</w:t>
      </w:r>
      <w:r>
        <w:t>мым звеном комплекса противогельминтозных мероприятий. В последние годы предложено и внедрено в практику достаточно много новых антгел</w:t>
      </w:r>
      <w:r>
        <w:t>ь</w:t>
      </w:r>
      <w:r>
        <w:t>минтиков, обладающих высокой эффективностью. Так как в естественных условиях животные чаще всего поражаются смешанными инвазиями, то наибольшим  спросом пользуются антигельминтики широкого спектра действия.</w:t>
      </w:r>
    </w:p>
    <w:p w:rsidR="00F4654E" w:rsidRDefault="00F4654E">
      <w:pPr>
        <w:pStyle w:val="a6"/>
      </w:pPr>
      <w:r>
        <w:t>Одним из наиболее эффективных и широко используемых антгел</w:t>
      </w:r>
      <w:r>
        <w:t>ь</w:t>
      </w:r>
      <w:r>
        <w:t>минтиков в настоящее время является албендазол, производное бензим</w:t>
      </w:r>
      <w:r>
        <w:t>и</w:t>
      </w:r>
      <w:r>
        <w:t>дазола и метилового эфира карбаминовой кислоты. Механизм действия его основан на ингибировании ключевого фермента паразитов – фумаратр</w:t>
      </w:r>
      <w:r>
        <w:t>е</w:t>
      </w:r>
      <w:r>
        <w:t>дуктазы, что связано с нарушением энергетического обмена.  Однако п</w:t>
      </w:r>
      <w:r>
        <w:t>о</w:t>
      </w:r>
      <w:r>
        <w:t>мимо высокой гельминтоцидной активности отмечаются  и  некоторые п</w:t>
      </w:r>
      <w:r>
        <w:t>о</w:t>
      </w:r>
      <w:r>
        <w:t>бочные эффекты данного препарата. В предыдущих работах нами было у</w:t>
      </w:r>
      <w:r>
        <w:t>с</w:t>
      </w:r>
      <w:r>
        <w:t>тановлено негативное влияние албендазола  на бифидо- и лактофлору п</w:t>
      </w:r>
      <w:r>
        <w:t>и</w:t>
      </w:r>
      <w:r>
        <w:t>щеварительного тракта овец (В.В. Субботин, Н.Ю. Сысоева, Г.Л. Верхо</w:t>
      </w:r>
      <w:r>
        <w:t>в</w:t>
      </w:r>
      <w:r>
        <w:t>ская, 1999). Целью данной работы явилось изучение влияния албендазола на количественный и качественный состав  инфузорий рубца.  Считается, что показатель численности простейших служит своеобразным “зеркалом” состояния рубцового пищеварения жвачных  (А. В. Цветкова, В.Ф. Литв</w:t>
      </w:r>
      <w:r>
        <w:t>и</w:t>
      </w:r>
      <w:r>
        <w:t>нов, 1978; Б.В. Тараканов, 1977; В.З. Галимова, 1998), так как инфузории, наряду с бактериями, принимают активное участие в биохимической обр</w:t>
      </w:r>
      <w:r>
        <w:t>а</w:t>
      </w:r>
      <w:r>
        <w:t>ботке корма в преджелудках жвачных.</w:t>
      </w:r>
    </w:p>
    <w:p w:rsidR="00F4654E" w:rsidRDefault="00F4654E">
      <w:pPr>
        <w:pStyle w:val="a6"/>
      </w:pPr>
      <w:r>
        <w:t>Исследования  проводились на 10  1,5-годовалых валушках, спонта</w:t>
      </w:r>
      <w:r>
        <w:t>н</w:t>
      </w:r>
      <w:r>
        <w:t>но инвазированных гельминтами. При копрологическом исследовании б</w:t>
      </w:r>
      <w:r>
        <w:t>ы</w:t>
      </w:r>
      <w:r>
        <w:lastRenderedPageBreak/>
        <w:t>ли обнаружены яйца стронгилят 30</w:t>
      </w:r>
      <w:r>
        <w:rPr>
          <w:rFonts w:ascii="Symbol" w:hAnsi="Symbol"/>
        </w:rPr>
        <w:t></w:t>
      </w:r>
      <w:r>
        <w:t>15 и  дикроцелиев 7</w:t>
      </w:r>
      <w:r>
        <w:rPr>
          <w:rFonts w:ascii="Symbol" w:hAnsi="Symbol"/>
        </w:rPr>
        <w:t></w:t>
      </w:r>
      <w:r>
        <w:t>4 на 1 г фекалий. При культивировании личинки стронгилят были дифференцированы как нематодирусы, трихостронгилюсы, кооперии, остертагии и гемонхусы.</w:t>
      </w:r>
    </w:p>
    <w:p w:rsidR="00F4654E" w:rsidRDefault="00F4654E">
      <w:pPr>
        <w:pStyle w:val="a6"/>
      </w:pPr>
      <w:r>
        <w:t>Количество инфузорий в содержимом рубца составляло 468</w:t>
      </w:r>
      <w:r>
        <w:rPr>
          <w:rFonts w:ascii="Symbol" w:hAnsi="Symbol"/>
        </w:rPr>
        <w:t></w:t>
      </w:r>
      <w:r>
        <w:t>43 тыс/мл, при рН рубцовой жидкости 6,45</w:t>
      </w:r>
      <w:r>
        <w:rPr>
          <w:rFonts w:ascii="Symbol" w:hAnsi="Symbol"/>
        </w:rPr>
        <w:t></w:t>
      </w:r>
      <w:r>
        <w:t>0,30, что находится в пределах физиологической нормы. Активность рубцовой микрофлоры была опред</w:t>
      </w:r>
      <w:r>
        <w:t>е</w:t>
      </w:r>
      <w:r>
        <w:t>лена  как нормальная, т.к. обесцвечивание 0,03%-ного раствора метилен</w:t>
      </w:r>
      <w:r>
        <w:t>о</w:t>
      </w:r>
      <w:r>
        <w:t>вого синего происходило в течение 3-х минут. Все инфузории при иссл</w:t>
      </w:r>
      <w:r>
        <w:t>е</w:t>
      </w:r>
      <w:r>
        <w:t>довании оказались подвижными (5 баллов), и лишь единицы – малопо</w:t>
      </w:r>
      <w:r>
        <w:t>д</w:t>
      </w:r>
      <w:r>
        <w:t>вижными (3 балла). В полях зрения микроскопа 80-85 %  составляли ме</w:t>
      </w:r>
      <w:r>
        <w:t>л</w:t>
      </w:r>
      <w:r>
        <w:t>кие и средние формы инфузорий и 15-20 % крупные инфузории. Таким о</w:t>
      </w:r>
      <w:r>
        <w:t>б</w:t>
      </w:r>
      <w:r>
        <w:t>разом, при хроническом течении смешанной гельминтозной инвазии  п</w:t>
      </w:r>
      <w:r>
        <w:t>и</w:t>
      </w:r>
      <w:r>
        <w:t>щеварительного тракта паразиты не оказывают влияния на инфузории рубцового содержимого: количество и  активность инфузорий рубца нах</w:t>
      </w:r>
      <w:r>
        <w:t>о</w:t>
      </w:r>
      <w:r>
        <w:t>дятся в пределах физиологической нормы.</w:t>
      </w:r>
    </w:p>
    <w:p w:rsidR="00F4654E" w:rsidRDefault="00F4654E">
      <w:pPr>
        <w:pStyle w:val="a6"/>
      </w:pPr>
      <w:r>
        <w:t>Овцы были дегельминтизированы албендазолом в дозе 7,5 мг/кг. П</w:t>
      </w:r>
      <w:r>
        <w:t>о</w:t>
      </w:r>
      <w:r>
        <w:t>сле введения препарата  яйца стронгилят и дикроцелиев ни в одной из проб фекалий выделены не  были.  На 3-й день после применения антигельми</w:t>
      </w:r>
      <w:r>
        <w:t>н</w:t>
      </w:r>
      <w:r>
        <w:t>тика количество инфузорий в рубцовой жидкости резко снизилось и сост</w:t>
      </w:r>
      <w:r>
        <w:t>а</w:t>
      </w:r>
      <w:r>
        <w:t>вило 206</w:t>
      </w:r>
      <w:r>
        <w:rPr>
          <w:rFonts w:ascii="Symbol" w:hAnsi="Symbol"/>
        </w:rPr>
        <w:t></w:t>
      </w:r>
      <w:r>
        <w:t>31,33 тыс/мл, т.е. 44,02 % по сравнению с предварительным п</w:t>
      </w:r>
      <w:r>
        <w:t>е</w:t>
      </w:r>
      <w:r>
        <w:t>риодом. При этом наблюдался резкий  сдвиг рН содержимого  рубца в щ</w:t>
      </w:r>
      <w:r>
        <w:t>е</w:t>
      </w:r>
      <w:r>
        <w:t>лочную сторону  до 7,15</w:t>
      </w:r>
      <w:r>
        <w:rPr>
          <w:rFonts w:ascii="Symbol" w:hAnsi="Symbol"/>
        </w:rPr>
        <w:t></w:t>
      </w:r>
      <w:r>
        <w:t>0,08 - 7,9</w:t>
      </w:r>
      <w:r>
        <w:rPr>
          <w:rFonts w:ascii="Symbol" w:hAnsi="Symbol"/>
        </w:rPr>
        <w:t></w:t>
      </w:r>
      <w:r>
        <w:t xml:space="preserve">0,12  на 3-й и 7-й дни соответственно. </w:t>
      </w:r>
    </w:p>
    <w:p w:rsidR="00F4654E" w:rsidRDefault="00F4654E">
      <w:pPr>
        <w:pStyle w:val="a6"/>
      </w:pPr>
      <w:r>
        <w:t>В полях зрения микроскопа наблюдали лишь мелкие формы инфуз</w:t>
      </w:r>
      <w:r>
        <w:t>о</w:t>
      </w:r>
      <w:r>
        <w:t>рий (90%) и единичные средние (10%), подвижность инфузорий была ни</w:t>
      </w:r>
      <w:r>
        <w:t>з</w:t>
      </w:r>
      <w:r>
        <w:t>кая (2 балла), часто встречались мертвые клетки. Активность инфузорий на 3-й и  7-й дни исследования также  оценивалась как незначительная: обе</w:t>
      </w:r>
      <w:r>
        <w:t>с</w:t>
      </w:r>
      <w:r>
        <w:t>цвечивание метиленового синего происходило на 3-й день за 12 минут, а  на 7-й – за 9,5 минут.</w:t>
      </w:r>
    </w:p>
    <w:p w:rsidR="00F4654E" w:rsidRDefault="00F4654E">
      <w:pPr>
        <w:pStyle w:val="a6"/>
      </w:pPr>
      <w:r>
        <w:t>Немаловажным фактором в снижении численности инфузорий, как нам представляется, послужило резкое изменение величины рН в щело</w:t>
      </w:r>
      <w:r>
        <w:t>ч</w:t>
      </w:r>
      <w:r>
        <w:t>ную сторону, что привело к неблагоприятным условиям для размножения и развития простейших. Величина рН на 3-й день после применения пр</w:t>
      </w:r>
      <w:r>
        <w:t>е</w:t>
      </w:r>
      <w:r>
        <w:t>парата составила 7,15</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на</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F4654E" w:rsidRDefault="00F4654E">
      <w:pPr>
        <w:pStyle w:val="a6"/>
      </w:pPr>
      <w:r>
        <w:t xml:space="preserve">На 14-й день количество клеток инфузорий увеличилось до 389,2 </w:t>
      </w:r>
      <w:r>
        <w:rPr>
          <w:rFonts w:ascii="Symbol" w:hAnsi="Symbol"/>
        </w:rPr>
        <w:t></w:t>
      </w:r>
      <w:r>
        <w:t>25,13 тыс/мл, при  рН 7,25</w:t>
      </w:r>
      <w:r>
        <w:rPr>
          <w:rFonts w:ascii="Symbol" w:hAnsi="Symbol"/>
        </w:rPr>
        <w:t></w:t>
      </w:r>
      <w:r>
        <w:t>0,07. Восстановление исходных показателей  произошло к 21-му дню исследования, когда количество инфузорий до</w:t>
      </w:r>
      <w:r>
        <w:t>с</w:t>
      </w:r>
      <w:r>
        <w:t>тигло 438,0</w:t>
      </w:r>
      <w:r>
        <w:rPr>
          <w:rFonts w:ascii="Symbol" w:hAnsi="Symbol"/>
        </w:rPr>
        <w:t></w:t>
      </w:r>
      <w:r>
        <w:t>28,26 тыс/мл рубцовой жидкости, при этом величина рН с</w:t>
      </w:r>
      <w:r>
        <w:t>о</w:t>
      </w:r>
      <w:r>
        <w:t>ставила 6,5</w:t>
      </w:r>
      <w:r>
        <w:rPr>
          <w:rFonts w:ascii="Symbol" w:hAnsi="Symbol"/>
        </w:rPr>
        <w:t></w:t>
      </w:r>
      <w:r>
        <w:t>0,09.</w:t>
      </w:r>
    </w:p>
    <w:p w:rsidR="00F4654E" w:rsidRDefault="00F4654E">
      <w:pPr>
        <w:pStyle w:val="a6"/>
      </w:pPr>
      <w:r>
        <w:t xml:space="preserve">По данным многих авторов, повышение концентрации водородных ионов в желудочно-кишечном тракте овец при дегельминтизации связано со снижением образования летучих жирных кислот (ЛЖК), что приводит к угнетению функции и гибели полезной бактериальной флоры. А так как </w:t>
      </w:r>
      <w:r>
        <w:lastRenderedPageBreak/>
        <w:t>бактерии являются пищей для многих видов инфузорий, их недостаток также приводит к снижению количества последних.</w:t>
      </w:r>
    </w:p>
    <w:p w:rsidR="00F4654E" w:rsidRDefault="00F4654E">
      <w:pPr>
        <w:pStyle w:val="a6"/>
      </w:pPr>
      <w:r>
        <w:t>Таким образом, албендазол негативно влияет на количественный и к</w:t>
      </w:r>
      <w:r>
        <w:t>а</w:t>
      </w:r>
      <w:r>
        <w:t>чественный состав инфузорий рубца как непосредственно,  воздействуя на клетки, так и опосредованно – изменяя рН содержимого рубца в щелочную сторону, снижая уровень полезной бактериальной флоры, что также пр</w:t>
      </w:r>
      <w:r>
        <w:t>и</w:t>
      </w:r>
      <w:r>
        <w:t>водит к снижению количества инфузорий в рубце.</w:t>
      </w:r>
    </w:p>
    <w:p w:rsidR="00F4654E" w:rsidRDefault="00F4654E">
      <w:pPr>
        <w:pStyle w:val="a4"/>
      </w:pPr>
      <w:r>
        <w:t>УДК 619.616.995:636.32:615.35</w:t>
      </w:r>
    </w:p>
    <w:p w:rsidR="00F4654E" w:rsidRDefault="00F4654E">
      <w:pPr>
        <w:pStyle w:val="1"/>
      </w:pPr>
      <w:bookmarkStart w:id="5213" w:name="_Toc10731580"/>
      <w:bookmarkStart w:id="5214" w:name="_Toc11138055"/>
      <w:bookmarkStart w:id="5215" w:name="_Toc11138473"/>
      <w:bookmarkStart w:id="5216" w:name="_Toc11138891"/>
      <w:bookmarkStart w:id="5217" w:name="_Toc11139309"/>
      <w:bookmarkStart w:id="5218" w:name="_Toc11139727"/>
      <w:bookmarkStart w:id="5219" w:name="_Toc11140145"/>
      <w:bookmarkStart w:id="5220" w:name="_Toc11140563"/>
      <w:bookmarkStart w:id="5221" w:name="_Toc11390661"/>
      <w:bookmarkStart w:id="5222" w:name="_Toc11840346"/>
      <w:bookmarkStart w:id="5223" w:name="_Toc11937882"/>
      <w:r>
        <w:t>ИСПОЛЬЗОВАНИЕ ЛАКТОБИФАДОЛА ДЛЯ КОРРЕКЦИИ НАРУШЕНИЯ ДЕЯТЕЛЬНОСТИ ЖЕЛУДОЧНО-КИШЕЧНОГО ТРАКТА ЯГНЯТ ПРИ ПОДГОТОВКЕ К ДЕГЕЛЬМИНТИЗАЦИИ</w:t>
      </w:r>
      <w:bookmarkEnd w:id="5213"/>
      <w:bookmarkEnd w:id="5214"/>
      <w:bookmarkEnd w:id="5215"/>
      <w:bookmarkEnd w:id="5216"/>
      <w:bookmarkEnd w:id="5217"/>
      <w:bookmarkEnd w:id="5218"/>
      <w:bookmarkEnd w:id="5219"/>
      <w:bookmarkEnd w:id="5220"/>
      <w:bookmarkEnd w:id="5221"/>
      <w:bookmarkEnd w:id="5222"/>
      <w:bookmarkEnd w:id="5223"/>
    </w:p>
    <w:p w:rsidR="00F4654E" w:rsidRDefault="00F4654E">
      <w:pPr>
        <w:pStyle w:val="2"/>
      </w:pPr>
      <w:bookmarkStart w:id="5224" w:name="_Toc10731581"/>
      <w:bookmarkStart w:id="5225" w:name="_Toc11032391"/>
      <w:bookmarkStart w:id="5226" w:name="_Toc11138056"/>
      <w:bookmarkStart w:id="5227" w:name="_Toc11138474"/>
      <w:bookmarkStart w:id="5228" w:name="_Toc11138892"/>
      <w:bookmarkStart w:id="5229" w:name="_Toc11139310"/>
      <w:bookmarkStart w:id="5230" w:name="_Toc11139728"/>
      <w:bookmarkStart w:id="5231" w:name="_Toc11140146"/>
      <w:bookmarkStart w:id="5232" w:name="_Toc11140564"/>
      <w:bookmarkStart w:id="5233" w:name="_Toc11390662"/>
      <w:bookmarkStart w:id="5234" w:name="_Toc11937883"/>
      <w:r>
        <w:t>Сысоева Н.Ю., Субботин В.В., Верховская Г.Л.</w:t>
      </w:r>
      <w:bookmarkEnd w:id="5224"/>
      <w:bookmarkEnd w:id="5225"/>
      <w:bookmarkEnd w:id="5226"/>
      <w:bookmarkEnd w:id="5227"/>
      <w:bookmarkEnd w:id="5228"/>
      <w:bookmarkEnd w:id="5229"/>
      <w:bookmarkEnd w:id="5230"/>
      <w:bookmarkEnd w:id="5231"/>
      <w:bookmarkEnd w:id="5232"/>
      <w:bookmarkEnd w:id="5233"/>
      <w:bookmarkEnd w:id="5234"/>
    </w:p>
    <w:p w:rsidR="00F4654E" w:rsidRDefault="00F4654E">
      <w:pPr>
        <w:pStyle w:val="a5"/>
      </w:pPr>
      <w:r>
        <w:t>Московский государственный университет прикладной биотехнологии</w:t>
      </w:r>
    </w:p>
    <w:p w:rsidR="00F4654E" w:rsidRDefault="00F4654E">
      <w:pPr>
        <w:pStyle w:val="a6"/>
      </w:pPr>
      <w:r>
        <w:t>Для борьбы с паразитами используют различные лекарственные в</w:t>
      </w:r>
      <w:r>
        <w:t>е</w:t>
      </w:r>
      <w:r>
        <w:t>щества, которые составляют важную и значительную часть арсенала вет</w:t>
      </w:r>
      <w:r>
        <w:t>е</w:t>
      </w:r>
      <w:r>
        <w:t>ринарных средств. Как правило, в последние годы для профилактики заб</w:t>
      </w:r>
      <w:r>
        <w:t>о</w:t>
      </w:r>
      <w:r>
        <w:t>леваний используют препараты широкого спектра действия, которые в</w:t>
      </w:r>
      <w:r>
        <w:t>ы</w:t>
      </w:r>
      <w:r>
        <w:t>зывают дес</w:t>
      </w:r>
      <w:r>
        <w:t>т</w:t>
      </w:r>
      <w:r>
        <w:t>руктивные изменения в органах и тканях животных. Поэтому подвергать  д</w:t>
      </w:r>
      <w:r>
        <w:t>е</w:t>
      </w:r>
      <w:r>
        <w:t>гельминтизации  ослабленных  животных  с  клиническими  проявлениями  заболеваний  не  рекомендуется.  Для подготовки к дегел</w:t>
      </w:r>
      <w:r>
        <w:t>ь</w:t>
      </w:r>
      <w:r>
        <w:t>минтизации ягнят с высокой интенсивностью инвазии трихостронгилид</w:t>
      </w:r>
      <w:r>
        <w:t>а</w:t>
      </w:r>
      <w:r>
        <w:t>ми и мониезиями, с</w:t>
      </w:r>
      <w:r>
        <w:t>о</w:t>
      </w:r>
      <w:r>
        <w:t>провождающейся  клиническими проявлениями в виде диареи, был использован лактобифадол. Это пробиотический препарат, разработанный на к</w:t>
      </w:r>
      <w:r>
        <w:t>а</w:t>
      </w:r>
      <w:r>
        <w:t>федре микробиологии МГУПБ и применяемый для  лечения и профилактики болезней желудочно-кишечного тракта поросят,  птицы, плотоядных. Он представляет собой комплекс, состоящий из 2-х  штаммов микроорганизмов:  L. acidophilis ЛГ-1  и  B.  adoliscentis B -1,   высушенных контактно - сорбционным способом на естественном раст</w:t>
      </w:r>
      <w:r>
        <w:t>и</w:t>
      </w:r>
      <w:r>
        <w:t>тельном носителе  (мука).  В 1 г пр</w:t>
      </w:r>
      <w:r>
        <w:t>е</w:t>
      </w:r>
      <w:r>
        <w:t>парата содержится не менее 80 млн.  живых клеток бифидобактерий  и  не  менее 1 млн. лактобактерий. Вход</w:t>
      </w:r>
      <w:r>
        <w:t>я</w:t>
      </w:r>
      <w:r>
        <w:t>щие в состав пробиотика бифидобактерии и ацидофильная палочка обл</w:t>
      </w:r>
      <w:r>
        <w:t>а</w:t>
      </w:r>
      <w:r>
        <w:t>дают  выраженными  антагонистическими свойствами по отношению к п</w:t>
      </w:r>
      <w:r>
        <w:t>а</w:t>
      </w:r>
      <w:r>
        <w:t>тогенным и условно-патогенным микроорганизмам кишечного тракта,  обусловленными кислотообразующими свойствами данных штаммов, а</w:t>
      </w:r>
      <w:r>
        <w:t>н</w:t>
      </w:r>
      <w:r>
        <w:t>тибиотической активностью, адгезивными свойствами, а также устойчив</w:t>
      </w:r>
      <w:r>
        <w:t>о</w:t>
      </w:r>
      <w:r>
        <w:t>стью к широкому диапазону рН, повышенной ко</w:t>
      </w:r>
      <w:r>
        <w:t>н</w:t>
      </w:r>
      <w:r>
        <w:t>центрации соли, желчи,  фенола (Субботин  В.В., 1998).</w:t>
      </w:r>
    </w:p>
    <w:p w:rsidR="00F4654E" w:rsidRDefault="00F4654E">
      <w:pPr>
        <w:pStyle w:val="a6"/>
      </w:pPr>
      <w:r>
        <w:t>По принципу аналогов была сформирована опытная группа животных, состоящая из 11 ягнят восьмимесячного возраста после отбивки от маток. Упитанность животных была ниже средней, три ягненка были тощие. Те</w:t>
      </w:r>
      <w:r>
        <w:t>м</w:t>
      </w:r>
      <w:r>
        <w:t>пература тела находилась  в  пределах  физиологической нормы для  да</w:t>
      </w:r>
      <w:r>
        <w:t>н</w:t>
      </w:r>
      <w:r>
        <w:lastRenderedPageBreak/>
        <w:t>ного  вида  и  возраста  животных,  но  ягнята  были  вялые,  шерстный  п</w:t>
      </w:r>
      <w:r>
        <w:t>о</w:t>
      </w:r>
      <w:r>
        <w:t>кров  вокруг  анального  отверстия,  около  хвоста  и  на  задних  конечн</w:t>
      </w:r>
      <w:r>
        <w:t>о</w:t>
      </w:r>
      <w:r>
        <w:t>стях был запачкан фекальными массами. Фекалии у всех опытных  живо</w:t>
      </w:r>
      <w:r>
        <w:t>т</w:t>
      </w:r>
      <w:r>
        <w:t>ных  были  несформированными, жидкими или кашицеобразными. При копрологических исследованиях в одном  грамме фекалий было обнаруж</w:t>
      </w:r>
      <w:r>
        <w:t>е</w:t>
      </w:r>
      <w:r>
        <w:t>но 157</w:t>
      </w:r>
      <w:r>
        <w:sym w:font="Symbol" w:char="F0B1"/>
      </w:r>
      <w:r>
        <w:t>9 яиц трихостронгилид,  при  этом  преобладали  яйца  нематод</w:t>
      </w:r>
      <w:r>
        <w:t>и</w:t>
      </w:r>
      <w:r>
        <w:t>русов,  и членики мониезий.  Опытным  ягнятам  с  лечебной  целью   зад</w:t>
      </w:r>
      <w:r>
        <w:t>а</w:t>
      </w:r>
      <w:r>
        <w:t>вали  лактобифидол,  см</w:t>
      </w:r>
      <w:r>
        <w:t>е</w:t>
      </w:r>
      <w:r>
        <w:t>шанный  с  небольшим  количеством  воды,   per os  в  дозе  0,3 г/кг  массы в течение пяти дней подряд. Были проведены  микробиологические исследования ягнят до и после лечения лактобифид</w:t>
      </w:r>
      <w:r>
        <w:t>о</w:t>
      </w:r>
      <w:r>
        <w:t xml:space="preserve">лом  на  2,  3,  7  и  14  дни. </w:t>
      </w:r>
    </w:p>
    <w:p w:rsidR="00F4654E" w:rsidRDefault="00F4654E">
      <w:pPr>
        <w:pStyle w:val="a6"/>
      </w:pPr>
      <w:r>
        <w:t>До  введения  лактобифадола у  всех  ягнят  наблюдалось  выделение    несформированных, жидких фекалий. Результаты микробиологического  и</w:t>
      </w:r>
      <w:r>
        <w:t>с</w:t>
      </w:r>
      <w:r>
        <w:t>следования  показали,  что в кишечном  микробиоценозе преобладающее  п</w:t>
      </w:r>
      <w:r>
        <w:t>о</w:t>
      </w:r>
      <w:r>
        <w:t xml:space="preserve">ложение  занимали эшерихии, их выделяли в количестве 8,12 </w:t>
      </w:r>
      <w:r>
        <w:sym w:font="Symbol" w:char="F0B1"/>
      </w:r>
      <w:r>
        <w:t xml:space="preserve"> 0,88  lg/г,  при этом 20% от общего числа эшерихий составляли эшерихии со слабой лактозной активностью. Протей выделяли в количестве 2,25 </w:t>
      </w:r>
      <w:r>
        <w:sym w:font="Symbol" w:char="F0B1"/>
      </w:r>
      <w:r>
        <w:t xml:space="preserve"> 0,38 lg/г, аэробные бациллы - в количестве 5,12 </w:t>
      </w:r>
      <w:r>
        <w:sym w:font="Symbol" w:char="F0B1"/>
      </w:r>
      <w:r>
        <w:t xml:space="preserve"> 0,83 lg/г, стафилококки - в колич</w:t>
      </w:r>
      <w:r>
        <w:t>е</w:t>
      </w:r>
      <w:r>
        <w:t xml:space="preserve">стве 4,48 </w:t>
      </w:r>
      <w:r>
        <w:sym w:font="Symbol" w:char="F0B1"/>
      </w:r>
      <w:r>
        <w:t xml:space="preserve"> 0,61 lg/г, гнилостные грамотрицательные бактерии - в  колич</w:t>
      </w:r>
      <w:r>
        <w:t>е</w:t>
      </w:r>
      <w:r>
        <w:t xml:space="preserve">стве 4,09 </w:t>
      </w:r>
      <w:r>
        <w:sym w:font="Symbol" w:char="F0B1"/>
      </w:r>
      <w:r>
        <w:t xml:space="preserve"> 0,85 lg/г,  грибы рода Candida - в  количестве  4,63 </w:t>
      </w:r>
      <w:r>
        <w:sym w:font="Symbol" w:char="F0B1"/>
      </w:r>
      <w:r>
        <w:t xml:space="preserve"> 0,94 lg/г. При  этом, 35,5 % от  общего   числа  энтеробактерий составляли лактоз</w:t>
      </w:r>
      <w:r>
        <w:t>о</w:t>
      </w:r>
      <w:r>
        <w:t xml:space="preserve">негативные. Бифидобактерии выделяли в количестве 7,49 </w:t>
      </w:r>
      <w:r>
        <w:sym w:font="Symbol" w:char="F0B1"/>
      </w:r>
      <w:r>
        <w:t xml:space="preserve"> 0,52 lg/г,  ла</w:t>
      </w:r>
      <w:r>
        <w:t>к</w:t>
      </w:r>
      <w:r>
        <w:t xml:space="preserve">тобактерии  -  в количестве  6,21 </w:t>
      </w:r>
      <w:r>
        <w:sym w:font="Symbol" w:char="F0B1"/>
      </w:r>
      <w:r>
        <w:t xml:space="preserve"> 0,47 lg/г. </w:t>
      </w:r>
    </w:p>
    <w:p w:rsidR="00F4654E" w:rsidRDefault="00F4654E">
      <w:pPr>
        <w:pStyle w:val="a6"/>
      </w:pPr>
      <w:r>
        <w:t>Через  двое суток  после  дачи  лактобифадола  у  36 %  ягнят  отмеч</w:t>
      </w:r>
      <w:r>
        <w:t>а</w:t>
      </w:r>
      <w:r>
        <w:t>лось  выделение  сформированных фекальных  масс.  Микробиологические  исследования  показали, что в кишечном тракте повысилось содержание бифидобактерий  в 18  раз  и лактобактерий в 26 раз, их высевали в   кол</w:t>
      </w:r>
      <w:r>
        <w:t>и</w:t>
      </w:r>
      <w:r>
        <w:t xml:space="preserve">честве 8,75 </w:t>
      </w:r>
      <w:r>
        <w:sym w:font="Symbol" w:char="F0B1"/>
      </w:r>
      <w:r>
        <w:t xml:space="preserve"> 0,71 lg/г и 7,63 </w:t>
      </w:r>
      <w:r>
        <w:sym w:font="Symbol" w:char="F0B1"/>
      </w:r>
      <w:r>
        <w:t xml:space="preserve"> 0,81 lg/г  соответственно. Снизилось соде</w:t>
      </w:r>
      <w:r>
        <w:t>р</w:t>
      </w:r>
      <w:r>
        <w:t>жание лактозонегативных энтеробактерий до 22,3 % от общего числа энт</w:t>
      </w:r>
      <w:r>
        <w:t>е</w:t>
      </w:r>
      <w:r>
        <w:t>робактерий.</w:t>
      </w:r>
    </w:p>
    <w:p w:rsidR="00F4654E" w:rsidRDefault="00F4654E">
      <w:pPr>
        <w:pStyle w:val="a6"/>
      </w:pPr>
      <w:r>
        <w:t xml:space="preserve"> На третий день применения лактобифадола  у 73  % животных отм</w:t>
      </w:r>
      <w:r>
        <w:t>е</w:t>
      </w:r>
      <w:r>
        <w:t>чали  выделение  сформированных  фекальных  масс. Микробиологические  исследования  показали,  что  доминирующую по численности  группу  бактерий  в  кишечном  микробиоценозе  уже  составляли  бифидобакт</w:t>
      </w:r>
      <w:r>
        <w:t>е</w:t>
      </w:r>
      <w:r>
        <w:t xml:space="preserve">рии,  их  высевали  в  количестве  8,88  </w:t>
      </w:r>
      <w:r>
        <w:sym w:font="Symbol" w:char="F0B1"/>
      </w:r>
      <w:r>
        <w:t xml:space="preserve"> 0,64  lg/г,  вторыми  по  численн</w:t>
      </w:r>
      <w:r>
        <w:t>о</w:t>
      </w:r>
      <w:r>
        <w:t xml:space="preserve">сти  были  эшерихии  (8,02 </w:t>
      </w:r>
      <w:r>
        <w:sym w:font="Symbol" w:char="F0B1"/>
      </w:r>
      <w:r>
        <w:t xml:space="preserve"> 0,85 lg/г),   из  них только 7, 25 %  составляли  эшерихии  со  слабой  лактозной  активностью.  Гнилостные  грамотриц</w:t>
      </w:r>
      <w:r>
        <w:t>а</w:t>
      </w:r>
      <w:r>
        <w:t>тельные  бактерии   выс</w:t>
      </w:r>
      <w:r>
        <w:t>е</w:t>
      </w:r>
      <w:r>
        <w:t xml:space="preserve">вались  в  количестве  2,65  </w:t>
      </w:r>
      <w:r>
        <w:sym w:font="Symbol" w:char="F0B1"/>
      </w:r>
      <w:r>
        <w:t xml:space="preserve">  0,8  lg/г,   что  в  30  раз   меньше,  чем  до  лечения.  Содержание  лактозонегативных  энтер</w:t>
      </w:r>
      <w:r>
        <w:t>о</w:t>
      </w:r>
      <w:r>
        <w:t>бактерий  снизилось  до  10 %  от  общего  числа  бактерий.  Бактерии  рода  Proteus  не  выделялись.</w:t>
      </w:r>
    </w:p>
    <w:p w:rsidR="00F4654E" w:rsidRDefault="00F4654E">
      <w:pPr>
        <w:pStyle w:val="a6"/>
      </w:pPr>
      <w:r>
        <w:lastRenderedPageBreak/>
        <w:t>Спустя  неделю  после  применения  пробиотика  у  всех  ягнят  н</w:t>
      </w:r>
      <w:r>
        <w:t>а</w:t>
      </w:r>
      <w:r>
        <w:t>блюдали  выделение  сформированных  фекальных   масс,  животные   ст</w:t>
      </w:r>
      <w:r>
        <w:t>а</w:t>
      </w:r>
      <w:r>
        <w:t>ли  активными,  охотно  поедали  корм.  При  копрологическом  исслед</w:t>
      </w:r>
      <w:r>
        <w:t>о</w:t>
      </w:r>
      <w:r>
        <w:t xml:space="preserve">вании  обнаруживали  90  </w:t>
      </w:r>
      <w:r>
        <w:sym w:font="Symbol" w:char="F0B1"/>
      </w:r>
      <w:r>
        <w:t xml:space="preserve"> 7  яиц/г.  Микробиологические  исследования  показали,  что    доминирующей  микрофлорой  кишечника  являлись  б</w:t>
      </w:r>
      <w:r>
        <w:t>и</w:t>
      </w:r>
      <w:r>
        <w:t xml:space="preserve">фидобактерии,  их  выделяли  в  количестве  9,32 </w:t>
      </w:r>
      <w:r>
        <w:sym w:font="Symbol" w:char="F0B1"/>
      </w:r>
      <w:r>
        <w:t xml:space="preserve"> 0,54  lg/г,  лактобакт</w:t>
      </w:r>
      <w:r>
        <w:t>е</w:t>
      </w:r>
      <w:r>
        <w:t xml:space="preserve">рии  выделяли  в  количестве  7,81 </w:t>
      </w:r>
      <w:r>
        <w:sym w:font="Symbol" w:char="F0B1"/>
      </w:r>
      <w:r>
        <w:t xml:space="preserve"> 0,41 lg/г.  Снизилось  количество  транзитной  условно-патогенной  микрофлоры,  в  том  числе  стафилоко</w:t>
      </w:r>
      <w:r>
        <w:t>к</w:t>
      </w:r>
      <w:r>
        <w:t>ков,  аэробных  бацилл.  Эшерихии  со  слабой  лактозной  активностью,  протей,  гнилостные  грамотрицательные  бактерии  и  лактозонегативные  энтеробактерии  не  выделялись. Через  14  дней  значительных  изменений  в качественном и количественном составе кишечной микрофлоры не  в</w:t>
      </w:r>
      <w:r>
        <w:t>ы</w:t>
      </w:r>
      <w:r>
        <w:t>являли, а при копрологическом исследовании в одном грамме фекалий о</w:t>
      </w:r>
      <w:r>
        <w:t>б</w:t>
      </w:r>
      <w:r>
        <w:t>наруживали 71</w:t>
      </w:r>
      <w:r>
        <w:sym w:font="Symbol" w:char="F0B1"/>
      </w:r>
      <w:r>
        <w:t>11 яиц гельминтов.</w:t>
      </w:r>
    </w:p>
    <w:p w:rsidR="00F4654E" w:rsidRDefault="00F4654E">
      <w:pPr>
        <w:pStyle w:val="a6"/>
      </w:pPr>
      <w:r>
        <w:t xml:space="preserve"> Таким образом, результаты наших исследований показали, что пр</w:t>
      </w:r>
      <w:r>
        <w:t>и</w:t>
      </w:r>
      <w:r>
        <w:t>менение лактобифадола в дозе 0,3 г/кг в течение трех дней подряд позв</w:t>
      </w:r>
      <w:r>
        <w:t>о</w:t>
      </w:r>
      <w:r>
        <w:t>ляет за короткие сроки нормализовать деятельность кишечника, восстан</w:t>
      </w:r>
      <w:r>
        <w:t>о</w:t>
      </w:r>
      <w:r>
        <w:t>вив нарушения в качественном и количественном составе кишечной ми</w:t>
      </w:r>
      <w:r>
        <w:t>к</w:t>
      </w:r>
      <w:r>
        <w:t>рофлоре без дополнительного использования антимикробных средств. Уже через 48 часов  после применения лактобифадола у 73 % ягнят наблюд</w:t>
      </w:r>
      <w:r>
        <w:t>а</w:t>
      </w:r>
      <w:r>
        <w:t>лось выделение  сформированных  фекалий.  Под  воздействием  лактоб</w:t>
      </w:r>
      <w:r>
        <w:t>и</w:t>
      </w:r>
      <w:r>
        <w:t>фадола  у  животных  значительно  повышается  количество  бифидо-  и  лактобактерий,  на  этом  фоне снижается содержание  условно-патогенной и патогенной транзитной  микрофлоры, в том числе эшерихий с атипи</w:t>
      </w:r>
      <w:r>
        <w:t>ч</w:t>
      </w:r>
      <w:r>
        <w:t>ными ферментативными  сво</w:t>
      </w:r>
      <w:r>
        <w:t>й</w:t>
      </w:r>
      <w:r>
        <w:t>ствами, лактозонегативных энтеробактерий, аэробных бацилл,  стафилоко</w:t>
      </w:r>
      <w:r>
        <w:t>к</w:t>
      </w:r>
      <w:r>
        <w:t>ков, протея, гнилостных грамотрицательных бактерий. При этом, через 14 дней отмечалось снижение выделяемых яиц трихостронгилид практически в 2  раза  со 157</w:t>
      </w:r>
      <w:r>
        <w:sym w:font="Symbol" w:char="F0B1"/>
      </w:r>
      <w:r>
        <w:t>9 яиц/г до 71</w:t>
      </w:r>
      <w:r>
        <w:sym w:font="Symbol" w:char="F0B1"/>
      </w:r>
      <w:r>
        <w:t>11 яиц/г, что дает основание предположить, что нормализация состава кишечной ми</w:t>
      </w:r>
      <w:r>
        <w:t>к</w:t>
      </w:r>
      <w:r>
        <w:t>рофлоры и повышение колонизационной резистентности организма хозя</w:t>
      </w:r>
      <w:r>
        <w:t>и</w:t>
      </w:r>
      <w:r>
        <w:t>на оказывают угнетающее действие на жизнедеятельность гельминтов.</w:t>
      </w:r>
    </w:p>
    <w:p w:rsidR="00F4654E" w:rsidRDefault="00F4654E">
      <w:pPr>
        <w:pStyle w:val="a4"/>
      </w:pPr>
      <w:r>
        <w:t>УДК 619:612.04.463.636</w:t>
      </w:r>
    </w:p>
    <w:p w:rsidR="00F4654E" w:rsidRDefault="00F4654E">
      <w:pPr>
        <w:pStyle w:val="1"/>
      </w:pPr>
      <w:bookmarkStart w:id="5235" w:name="_Toc11138057"/>
      <w:bookmarkStart w:id="5236" w:name="_Toc11138475"/>
      <w:bookmarkStart w:id="5237" w:name="_Toc11138893"/>
      <w:bookmarkStart w:id="5238" w:name="_Toc11139311"/>
      <w:bookmarkStart w:id="5239" w:name="_Toc11139729"/>
      <w:bookmarkStart w:id="5240" w:name="_Toc11140147"/>
      <w:bookmarkStart w:id="5241" w:name="_Toc11140565"/>
      <w:bookmarkStart w:id="5242" w:name="_Toc11390663"/>
      <w:bookmarkStart w:id="5243" w:name="_Toc11840348"/>
      <w:bookmarkStart w:id="5244" w:name="_Toc11937884"/>
      <w:r>
        <w:t>ВЛИЯНИЕ МАКРО –  И МИКРОЭЛЕМЕНТОВ НА ЭФФЕКТИВНОСТЬ ЛЕЧЕНИЯ ДИСПЕПСИИ ЯГНЯТ</w:t>
      </w:r>
      <w:bookmarkEnd w:id="5235"/>
      <w:bookmarkEnd w:id="5236"/>
      <w:bookmarkEnd w:id="5237"/>
      <w:bookmarkEnd w:id="5238"/>
      <w:bookmarkEnd w:id="5239"/>
      <w:bookmarkEnd w:id="5240"/>
      <w:bookmarkEnd w:id="5241"/>
      <w:bookmarkEnd w:id="5242"/>
      <w:bookmarkEnd w:id="5243"/>
      <w:bookmarkEnd w:id="5244"/>
    </w:p>
    <w:p w:rsidR="00F4654E" w:rsidRDefault="00F4654E">
      <w:pPr>
        <w:pStyle w:val="2"/>
      </w:pPr>
      <w:bookmarkStart w:id="5245" w:name="_Toc11032392"/>
      <w:bookmarkStart w:id="5246" w:name="_Toc11138058"/>
      <w:bookmarkStart w:id="5247" w:name="_Toc11138476"/>
      <w:bookmarkStart w:id="5248" w:name="_Toc11138894"/>
      <w:bookmarkStart w:id="5249" w:name="_Toc11139312"/>
      <w:bookmarkStart w:id="5250" w:name="_Toc11139730"/>
      <w:bookmarkStart w:id="5251" w:name="_Toc11140148"/>
      <w:bookmarkStart w:id="5252" w:name="_Toc11140566"/>
      <w:bookmarkStart w:id="5253" w:name="_Toc11390664"/>
      <w:bookmarkStart w:id="5254" w:name="_Toc11937885"/>
      <w:r>
        <w:t>Тагиев И.К.</w:t>
      </w:r>
      <w:bookmarkEnd w:id="5245"/>
      <w:bookmarkEnd w:id="5246"/>
      <w:bookmarkEnd w:id="5247"/>
      <w:bookmarkEnd w:id="5248"/>
      <w:bookmarkEnd w:id="5249"/>
      <w:bookmarkEnd w:id="5250"/>
      <w:bookmarkEnd w:id="5251"/>
      <w:bookmarkEnd w:id="5252"/>
      <w:bookmarkEnd w:id="5253"/>
      <w:bookmarkEnd w:id="5254"/>
    </w:p>
    <w:p w:rsidR="00F4654E" w:rsidRDefault="00F4654E">
      <w:pPr>
        <w:pStyle w:val="a5"/>
      </w:pPr>
      <w:r>
        <w:t>Азербайджанский научно-исследовательский ветеринарный институт</w:t>
      </w:r>
    </w:p>
    <w:p w:rsidR="00F4654E" w:rsidRDefault="00F4654E">
      <w:pPr>
        <w:pStyle w:val="a6"/>
      </w:pPr>
      <w:r>
        <w:t>Среди незаразных болезней молодняка сельскохозяйственных живо</w:t>
      </w:r>
      <w:r>
        <w:t>т</w:t>
      </w:r>
      <w:r>
        <w:t>ных значительный удельный вес имеют желудочно-кишечные болезни, в частности диспепсия.</w:t>
      </w:r>
    </w:p>
    <w:p w:rsidR="00F4654E" w:rsidRDefault="00F4654E">
      <w:pPr>
        <w:pStyle w:val="a6"/>
      </w:pPr>
      <w:r>
        <w:lastRenderedPageBreak/>
        <w:t>Диспепсия новорожденных ягнят в овцеводческих хозяйст</w:t>
      </w:r>
      <w:r>
        <w:softHyphen/>
        <w:t>вах Муга</w:t>
      </w:r>
      <w:r>
        <w:t>н</w:t>
      </w:r>
      <w:r>
        <w:t>ской степи Азербайджана имеет сравнительно широкое распространение и наносит значительный экономический ущерб.</w:t>
      </w:r>
    </w:p>
    <w:p w:rsidR="00F4654E" w:rsidRDefault="00F4654E">
      <w:pPr>
        <w:pStyle w:val="a6"/>
      </w:pPr>
      <w:r>
        <w:t>Установлено, что в возникновении диспепсии новорожден</w:t>
      </w:r>
      <w:r>
        <w:softHyphen/>
        <w:t>ных ягнят существенную роль играют алиментарные факторы, сре</w:t>
      </w:r>
      <w:r>
        <w:softHyphen/>
        <w:t>ди которых особую роль занимает недостаточность макро– и микро</w:t>
      </w:r>
      <w:r>
        <w:softHyphen/>
        <w:t>элементов.</w:t>
      </w:r>
    </w:p>
    <w:p w:rsidR="00F4654E" w:rsidRDefault="00F4654E">
      <w:pPr>
        <w:pStyle w:val="a6"/>
      </w:pPr>
      <w:r>
        <w:t>При анализе кормовых растений произрастающих в Муган</w:t>
      </w:r>
      <w:r>
        <w:softHyphen/>
        <w:t>ской степи установлен значительный дефицит в содержании ме</w:t>
      </w:r>
      <w:r>
        <w:softHyphen/>
        <w:t>ди, кобальта и фосф</w:t>
      </w:r>
      <w:r>
        <w:t>о</w:t>
      </w:r>
      <w:r>
        <w:t>ра. При этом содержание меди в кормах колебалось в пределах 1,0-6,7 мг/кг, кобальта – 0,03-0,30 мг/кг, фосфора – 0,9-2,4 г/кг воздушно-сухого вещества.</w:t>
      </w:r>
    </w:p>
    <w:p w:rsidR="00F4654E" w:rsidRDefault="00F4654E">
      <w:pPr>
        <w:pStyle w:val="a6"/>
      </w:pPr>
      <w:r>
        <w:t>При лечении ягнят больных диспепсией с использовани</w:t>
      </w:r>
      <w:r>
        <w:softHyphen/>
        <w:t>ем антибиот</w:t>
      </w:r>
      <w:r>
        <w:t>и</w:t>
      </w:r>
      <w:r>
        <w:t>ков, сульфаниламидов и других симптоматических средств нами примен</w:t>
      </w:r>
      <w:r>
        <w:t>я</w:t>
      </w:r>
      <w:r>
        <w:t>лась подкормка состоящая из 5 мг кобаль</w:t>
      </w:r>
      <w:r>
        <w:softHyphen/>
        <w:t>та, 25 мг сульфата меди и 4 г м</w:t>
      </w:r>
      <w:r>
        <w:t>о</w:t>
      </w:r>
      <w:r>
        <w:t>нокальция фосфата.</w:t>
      </w:r>
    </w:p>
    <w:p w:rsidR="00F4654E" w:rsidRDefault="00F4654E">
      <w:pPr>
        <w:pStyle w:val="a6"/>
      </w:pPr>
      <w:r>
        <w:t>Результаты опытов показали, что наряду с медикаментоз</w:t>
      </w:r>
      <w:r>
        <w:softHyphen/>
        <w:t>ным лечен</w:t>
      </w:r>
      <w:r>
        <w:t>и</w:t>
      </w:r>
      <w:r>
        <w:t>ем подкормка ягнят смесью солей меди, кобальта и фосфора способствует улучшению морфологического состава кро</w:t>
      </w:r>
      <w:r>
        <w:softHyphen/>
        <w:t>ви. При этом отмечено увел</w:t>
      </w:r>
      <w:r>
        <w:t>и</w:t>
      </w:r>
      <w:r>
        <w:t>чение содержания гемоглобина на 7,6%, количества эритроцитов – на 11,7% и лейкоцитов – на 5%.</w:t>
      </w:r>
    </w:p>
    <w:p w:rsidR="00F4654E" w:rsidRDefault="00F4654E">
      <w:pPr>
        <w:pStyle w:val="a6"/>
      </w:pPr>
      <w:r>
        <w:t>В лейкоцитарной формуле были отмечены определенные сдви</w:t>
      </w:r>
      <w:r>
        <w:softHyphen/>
        <w:t>ги в к</w:t>
      </w:r>
      <w:r>
        <w:t>о</w:t>
      </w:r>
      <w:r>
        <w:t>личественном соотношении отдельных видов лейкоцитов, общее колич</w:t>
      </w:r>
      <w:r>
        <w:t>е</w:t>
      </w:r>
      <w:r>
        <w:t>ство нейтрофилов у ягнят несколько повышается, а количество лимфоц</w:t>
      </w:r>
      <w:r>
        <w:t>и</w:t>
      </w:r>
      <w:r>
        <w:t>тов, наоборот, снижается.</w:t>
      </w:r>
    </w:p>
    <w:p w:rsidR="00F4654E" w:rsidRDefault="00F4654E">
      <w:pPr>
        <w:pStyle w:val="a6"/>
      </w:pPr>
      <w:r>
        <w:t>В крови нормализуется количество общего белка, повышает</w:t>
      </w:r>
      <w:r>
        <w:softHyphen/>
        <w:t>ся соде</w:t>
      </w:r>
      <w:r>
        <w:t>р</w:t>
      </w:r>
      <w:r>
        <w:t>жание сахара и каротина снижается количество остаточ</w:t>
      </w:r>
      <w:r>
        <w:softHyphen/>
        <w:t>ного азота.</w:t>
      </w:r>
    </w:p>
    <w:p w:rsidR="00F4654E" w:rsidRDefault="00F4654E">
      <w:pPr>
        <w:pStyle w:val="a6"/>
      </w:pPr>
      <w:r>
        <w:t>Таким образом использование данной схемы лечения позво</w:t>
      </w:r>
      <w:r>
        <w:softHyphen/>
        <w:t>лило зн</w:t>
      </w:r>
      <w:r>
        <w:t>а</w:t>
      </w:r>
      <w:r>
        <w:t>чительно снизить падеж среди ягнят, повысить эффектив</w:t>
      </w:r>
      <w:r>
        <w:softHyphen/>
        <w:t>ность лечения до 89% и предотвратить в дальнейшем рецидивы болезни.</w:t>
      </w:r>
    </w:p>
    <w:p w:rsidR="00F4654E" w:rsidRDefault="00F4654E">
      <w:pPr>
        <w:pStyle w:val="a4"/>
      </w:pPr>
      <w:r>
        <w:t>УДК 636.22/28.034</w:t>
      </w:r>
    </w:p>
    <w:p w:rsidR="00F4654E" w:rsidRDefault="00F4654E">
      <w:pPr>
        <w:pStyle w:val="1"/>
      </w:pPr>
      <w:bookmarkStart w:id="5255" w:name="_Toc10731606"/>
      <w:bookmarkStart w:id="5256" w:name="_Toc11138059"/>
      <w:bookmarkStart w:id="5257" w:name="_Toc11138477"/>
      <w:bookmarkStart w:id="5258" w:name="_Toc11138895"/>
      <w:bookmarkStart w:id="5259" w:name="_Toc11139313"/>
      <w:bookmarkStart w:id="5260" w:name="_Toc11139731"/>
      <w:bookmarkStart w:id="5261" w:name="_Toc11140149"/>
      <w:bookmarkStart w:id="5262" w:name="_Toc11140567"/>
      <w:bookmarkStart w:id="5263" w:name="_Toc11390665"/>
      <w:bookmarkStart w:id="5264" w:name="_Toc11840350"/>
      <w:bookmarkStart w:id="5265" w:name="_Toc11937886"/>
      <w:r>
        <w:t>Показатели роста и развития новорожденных телят, полученных от коров различных возрастов</w:t>
      </w:r>
      <w:bookmarkEnd w:id="5255"/>
      <w:bookmarkEnd w:id="5256"/>
      <w:bookmarkEnd w:id="5257"/>
      <w:bookmarkEnd w:id="5258"/>
      <w:bookmarkEnd w:id="5259"/>
      <w:bookmarkEnd w:id="5260"/>
      <w:bookmarkEnd w:id="5261"/>
      <w:bookmarkEnd w:id="5262"/>
      <w:bookmarkEnd w:id="5263"/>
      <w:bookmarkEnd w:id="5264"/>
      <w:bookmarkEnd w:id="5265"/>
    </w:p>
    <w:p w:rsidR="00F4654E" w:rsidRDefault="00F4654E">
      <w:pPr>
        <w:pStyle w:val="2"/>
      </w:pPr>
      <w:bookmarkStart w:id="5266" w:name="_Toc10731607"/>
      <w:bookmarkStart w:id="5267" w:name="_Toc11032393"/>
      <w:bookmarkStart w:id="5268" w:name="_Toc11138060"/>
      <w:bookmarkStart w:id="5269" w:name="_Toc11138478"/>
      <w:bookmarkStart w:id="5270" w:name="_Toc11138896"/>
      <w:bookmarkStart w:id="5271" w:name="_Toc11139314"/>
      <w:bookmarkStart w:id="5272" w:name="_Toc11139732"/>
      <w:bookmarkStart w:id="5273" w:name="_Toc11140150"/>
      <w:bookmarkStart w:id="5274" w:name="_Toc11140568"/>
      <w:bookmarkStart w:id="5275" w:name="_Toc11390666"/>
      <w:bookmarkStart w:id="5276" w:name="_Toc11937887"/>
      <w:r>
        <w:t>Таов И.Х.</w:t>
      </w:r>
      <w:bookmarkEnd w:id="5266"/>
      <w:bookmarkEnd w:id="5267"/>
      <w:bookmarkEnd w:id="5268"/>
      <w:bookmarkEnd w:id="5269"/>
      <w:bookmarkEnd w:id="5270"/>
      <w:bookmarkEnd w:id="5271"/>
      <w:bookmarkEnd w:id="5272"/>
      <w:bookmarkEnd w:id="5273"/>
      <w:bookmarkEnd w:id="5274"/>
      <w:bookmarkEnd w:id="5275"/>
      <w:bookmarkEnd w:id="5276"/>
    </w:p>
    <w:p w:rsidR="00F4654E" w:rsidRDefault="00F4654E">
      <w:pPr>
        <w:pStyle w:val="a5"/>
      </w:pPr>
      <w:r>
        <w:t>Кабардино-Балкарская государственная сельскохозяйственная академия</w:t>
      </w:r>
    </w:p>
    <w:p w:rsidR="00F4654E" w:rsidRDefault="00F4654E">
      <w:pPr>
        <w:pStyle w:val="a6"/>
      </w:pPr>
      <w:r>
        <w:t>В разные периоды жизни животных обменные процессы в их орг</w:t>
      </w:r>
      <w:r>
        <w:t>а</w:t>
      </w:r>
      <w:r>
        <w:t>низме подвержены изменениям. Особенно четко установлены различия в уровне возрастного обмена белков, жиров, углеводов, водно-солевого, а также показателей регуляторных механизмов, участвующих в осуществл</w:t>
      </w:r>
      <w:r>
        <w:t>е</w:t>
      </w:r>
      <w:r>
        <w:t>нии обменных реакций у животных раннего и зрелого возраста.</w:t>
      </w:r>
    </w:p>
    <w:p w:rsidR="00F4654E" w:rsidRDefault="00F4654E">
      <w:pPr>
        <w:pStyle w:val="a6"/>
      </w:pPr>
      <w:r>
        <w:t>Тем не менее, по нашим наблюдениям изменчивость этих показателей динамична не только с период активного роста или старения, но и на пр</w:t>
      </w:r>
      <w:r>
        <w:t>о</w:t>
      </w:r>
      <w:r>
        <w:lastRenderedPageBreak/>
        <w:t>тяжении всей жизни, в том числе в зрелом возрасте, начиная с периода н</w:t>
      </w:r>
      <w:r>
        <w:t>а</w:t>
      </w:r>
      <w:r>
        <w:t>ступления половой зрелости до получения потомства, когда генеративная функция у самки является одной из доминирующих в организме.</w:t>
      </w:r>
    </w:p>
    <w:p w:rsidR="00F4654E" w:rsidRDefault="00F4654E">
      <w:pPr>
        <w:pStyle w:val="a6"/>
      </w:pPr>
      <w:r>
        <w:t>Итогом осуществления такой важнейшей функции, как репродукти</w:t>
      </w:r>
      <w:r>
        <w:t>в</w:t>
      </w:r>
      <w:r>
        <w:t>ная, является появление на свет потомка, представляющего по своей сути «продукт» сложных структурно-функциональных взаимоотношений в о</w:t>
      </w:r>
      <w:r>
        <w:t>р</w:t>
      </w:r>
      <w:r>
        <w:t>ганизме матери. Это приобретает особое значение в процессе беременн</w:t>
      </w:r>
      <w:r>
        <w:t>о</w:t>
      </w:r>
      <w:r>
        <w:t>сти, поскольку совершенно очевидно, что качество полученного потомка не может не зависеть от уровня обменных процессов, происходящих в м</w:t>
      </w:r>
      <w:r>
        <w:t>а</w:t>
      </w:r>
      <w:r>
        <w:t>теринском организме на каждый момент жизни.</w:t>
      </w:r>
    </w:p>
    <w:p w:rsidR="00F4654E" w:rsidRDefault="00F4654E">
      <w:pPr>
        <w:pStyle w:val="a6"/>
      </w:pPr>
      <w:r>
        <w:t>В связи с этим, представляет интерес изучение продуктивных качеств новорожденных телят в зависимости от возраста коров-матерей. С этой ц</w:t>
      </w:r>
      <w:r>
        <w:t>е</w:t>
      </w:r>
      <w:r>
        <w:t>лью 75 новорожденных телят, полученных от коров швицкой породы, б</w:t>
      </w:r>
      <w:r>
        <w:t>е</w:t>
      </w:r>
      <w:r>
        <w:t xml:space="preserve">ременность которых протекала в возрасте с 2 до 3 лет, с 3 до 4, с 4 до 5, с </w:t>
      </w:r>
      <w:r>
        <w:sym w:font="Symbol" w:char="F0B1"/>
      </w:r>
      <w:r>
        <w:t>5 до 6 и с 6 до 7 лет (по 15 животных каждой группе), подвергали взв</w:t>
      </w:r>
      <w:r>
        <w:t>е</w:t>
      </w:r>
      <w:r>
        <w:t>шиванию, измеряли промеры их тела (высота в холке, высота в крестце, глубина груди, ширина груди, косая длина туловища, обхват груди, обхват пясти, ширина в маклоках, в тазобедренном сочленении, седалищном бу</w:t>
      </w:r>
      <w:r>
        <w:t>г</w:t>
      </w:r>
      <w:r>
        <w:t>ре). Вычисляли индексы телосложения (высоконогости, перерослости, ра</w:t>
      </w:r>
      <w:r>
        <w:t>с</w:t>
      </w:r>
      <w:r>
        <w:t>тянутости, сбитости, массивности, грудной, тазогрудной, костистости, ш</w:t>
      </w:r>
      <w:r>
        <w:t>и</w:t>
      </w:r>
      <w:r>
        <w:t>рокогрудости, широкозадости).</w:t>
      </w:r>
    </w:p>
    <w:p w:rsidR="00F4654E" w:rsidRDefault="00F4654E">
      <w:pPr>
        <w:pStyle w:val="a6"/>
      </w:pPr>
      <w:r>
        <w:t>Установлено, что живая масса при рождении в среднем по группе с</w:t>
      </w:r>
      <w:r>
        <w:t>о</w:t>
      </w:r>
      <w:r>
        <w:t>ставила 26,8</w:t>
      </w:r>
      <w:r>
        <w:sym w:font="Symbol" w:char="F0B1"/>
      </w:r>
      <w:r>
        <w:t>1,15 кг. При этом 8 телят с самыми высокими показателями живой массы, достигшей 28,1</w:t>
      </w:r>
      <w:r>
        <w:sym w:font="Symbol" w:char="F0B1"/>
      </w:r>
      <w:r>
        <w:t>0,14 кг получены от коров 2 и 5 группы. Самая низкая живая масса 24,4</w:t>
      </w:r>
      <w:r>
        <w:sym w:font="Symbol" w:char="F0B1"/>
      </w:r>
      <w:r>
        <w:t>0,35 кг отмечена у 11 телят 1 и 3 группы и трех телят 4 группы.</w:t>
      </w:r>
    </w:p>
    <w:p w:rsidR="00F4654E" w:rsidRDefault="00F4654E">
      <w:pPr>
        <w:pStyle w:val="a6"/>
      </w:pPr>
      <w:r>
        <w:t>При вычислении индексов телосложения самые значительные изм</w:t>
      </w:r>
      <w:r>
        <w:t>е</w:t>
      </w:r>
      <w:r>
        <w:t>нения отмечены именно во второй и пятой группах, где преобладали тел</w:t>
      </w:r>
      <w:r>
        <w:t>я</w:t>
      </w:r>
      <w:r>
        <w:t>та, отличающиеся уже при рождении высокими индексами перерослости, сбитости и массивности, Среднее их значение в этих группах составило, соответственно 106,2; 131,4; 114,9; превышающем его значение в 3 и 1 группах в среднем на 3,0; 2,1 и 3,3. Значение этих индексов у телят 4 гру</w:t>
      </w:r>
      <w:r>
        <w:t>п</w:t>
      </w:r>
      <w:r>
        <w:t>пы занимает промежуточное положение.</w:t>
      </w:r>
    </w:p>
    <w:p w:rsidR="00F4654E" w:rsidRDefault="00F4654E">
      <w:pPr>
        <w:pStyle w:val="a6"/>
      </w:pPr>
      <w:r>
        <w:t>Самый высокий индекс широкогрудости, а также грудной и тазогру</w:t>
      </w:r>
      <w:r>
        <w:t>д</w:t>
      </w:r>
      <w:r>
        <w:t>ной отмечены у телят второй группы.</w:t>
      </w:r>
    </w:p>
    <w:p w:rsidR="00F4654E" w:rsidRDefault="00F4654E">
      <w:pPr>
        <w:pStyle w:val="a6"/>
      </w:pPr>
      <w:r>
        <w:t>Заслуживают внимание и результаты проведенных измерений пром</w:t>
      </w:r>
      <w:r>
        <w:t>е</w:t>
      </w:r>
      <w:r>
        <w:t>ров тела телят, полученных от матерей разных возрастных групп. При этом телята второй группы превосходят все остальные группы по 8 параметрам из 10 измеряемых. Наиболее выраженные и достоверные превосходства отмечены в высоте в холке, ширине груди и глубине груди, высоте в кр</w:t>
      </w:r>
      <w:r>
        <w:t>е</w:t>
      </w:r>
      <w:r>
        <w:t>стце. Промеры тела у телят пятой группы по 5 показателям практически приближены к показателям у животных второй группы (высота в холке, глубине груди, высоте в крестце, обхвату пясти, ширине седалищных бу</w:t>
      </w:r>
      <w:r>
        <w:t>г</w:t>
      </w:r>
      <w:r>
        <w:lastRenderedPageBreak/>
        <w:t>ров). А по ширине в тазобедренном сочленении и обхвату груди показат</w:t>
      </w:r>
      <w:r>
        <w:t>е</w:t>
      </w:r>
      <w:r>
        <w:t>ли новорожденных пятой группы превышают промеры телят второй гру</w:t>
      </w:r>
      <w:r>
        <w:t>п</w:t>
      </w:r>
      <w:r>
        <w:t>пы, соответственно на 1,9 см и 2,1 см.</w:t>
      </w:r>
    </w:p>
    <w:p w:rsidR="00F4654E" w:rsidRDefault="00F4654E">
      <w:pPr>
        <w:pStyle w:val="a6"/>
      </w:pPr>
      <w:r>
        <w:t>Таким образом, по преобладающему большинству изученных показ</w:t>
      </w:r>
      <w:r>
        <w:t>а</w:t>
      </w:r>
      <w:r>
        <w:t>телей роста и развития отмечена, хотя и не столь значительная, но закон</w:t>
      </w:r>
      <w:r>
        <w:t>о</w:t>
      </w:r>
      <w:r>
        <w:t>мерная тенденция их превосходства у телят рожденных от коров, береме</w:t>
      </w:r>
      <w:r>
        <w:t>н</w:t>
      </w:r>
      <w:r>
        <w:t>ность которых протекала в возрасте с 3 до 4 и с 6 до 7 лет по сравнению с остальными животными. Этот факт предполагает возможность определ</w:t>
      </w:r>
      <w:r>
        <w:t>е</w:t>
      </w:r>
      <w:r>
        <w:t>ния дополнительных прогностических критериев в селекционной работе, с учетом возраста матерей, для дальнейшего разведения особей, максимал</w:t>
      </w:r>
      <w:r>
        <w:t>ь</w:t>
      </w:r>
      <w:r>
        <w:t>но раскрывающих генотип или отвечающих требованиям к хозяйственно–полезным признакам.</w:t>
      </w:r>
    </w:p>
    <w:p w:rsidR="00F4654E" w:rsidRDefault="00F4654E">
      <w:pPr>
        <w:pStyle w:val="a4"/>
      </w:pPr>
      <w:r>
        <w:t>УДК 636:612.64.017.11</w:t>
      </w:r>
    </w:p>
    <w:p w:rsidR="00F4654E" w:rsidRDefault="00F4654E">
      <w:pPr>
        <w:pStyle w:val="1"/>
      </w:pPr>
      <w:bookmarkStart w:id="5277" w:name="_Toc10731608"/>
      <w:bookmarkStart w:id="5278" w:name="_Toc11138061"/>
      <w:bookmarkStart w:id="5279" w:name="_Toc11138479"/>
      <w:bookmarkStart w:id="5280" w:name="_Toc11138897"/>
      <w:bookmarkStart w:id="5281" w:name="_Toc11139315"/>
      <w:bookmarkStart w:id="5282" w:name="_Toc11139733"/>
      <w:bookmarkStart w:id="5283" w:name="_Toc11140151"/>
      <w:bookmarkStart w:id="5284" w:name="_Toc11140569"/>
      <w:bookmarkStart w:id="5285" w:name="_Toc11390667"/>
      <w:bookmarkStart w:id="5286" w:name="_Toc11840352"/>
      <w:bookmarkStart w:id="5287" w:name="_Toc11937888"/>
      <w:r>
        <w:t>Показатели неспецифической резистентности организма новорожденных телят в зависимости от возраста матерей</w:t>
      </w:r>
      <w:bookmarkEnd w:id="5277"/>
      <w:bookmarkEnd w:id="5278"/>
      <w:bookmarkEnd w:id="5279"/>
      <w:bookmarkEnd w:id="5280"/>
      <w:bookmarkEnd w:id="5281"/>
      <w:bookmarkEnd w:id="5282"/>
      <w:bookmarkEnd w:id="5283"/>
      <w:bookmarkEnd w:id="5284"/>
      <w:bookmarkEnd w:id="5285"/>
      <w:bookmarkEnd w:id="5286"/>
      <w:bookmarkEnd w:id="5287"/>
    </w:p>
    <w:p w:rsidR="00F4654E" w:rsidRDefault="00F4654E">
      <w:pPr>
        <w:pStyle w:val="2"/>
      </w:pPr>
      <w:bookmarkStart w:id="5288" w:name="_Toc10731609"/>
      <w:bookmarkStart w:id="5289" w:name="_Toc11032394"/>
      <w:bookmarkStart w:id="5290" w:name="_Toc11138062"/>
      <w:bookmarkStart w:id="5291" w:name="_Toc11138480"/>
      <w:bookmarkStart w:id="5292" w:name="_Toc11138898"/>
      <w:bookmarkStart w:id="5293" w:name="_Toc11139316"/>
      <w:bookmarkStart w:id="5294" w:name="_Toc11139734"/>
      <w:bookmarkStart w:id="5295" w:name="_Toc11140152"/>
      <w:bookmarkStart w:id="5296" w:name="_Toc11140570"/>
      <w:bookmarkStart w:id="5297" w:name="_Toc11390668"/>
      <w:bookmarkStart w:id="5298" w:name="_Toc11937889"/>
      <w:r>
        <w:t>Таов И.Х., Тимченко Л.Д.*</w:t>
      </w:r>
      <w:bookmarkEnd w:id="5288"/>
      <w:bookmarkEnd w:id="5289"/>
      <w:bookmarkEnd w:id="5290"/>
      <w:bookmarkEnd w:id="5291"/>
      <w:bookmarkEnd w:id="5292"/>
      <w:bookmarkEnd w:id="5293"/>
      <w:bookmarkEnd w:id="5294"/>
      <w:bookmarkEnd w:id="5295"/>
      <w:bookmarkEnd w:id="5296"/>
      <w:bookmarkEnd w:id="5297"/>
      <w:bookmarkEnd w:id="5298"/>
    </w:p>
    <w:p w:rsidR="00F4654E" w:rsidRDefault="00F4654E">
      <w:pPr>
        <w:pStyle w:val="a5"/>
      </w:pPr>
      <w:r>
        <w:t>Кабардино-Балкарская государственная сельскохозяйственная академия *Ставропольский государственный аграрный университет</w:t>
      </w:r>
    </w:p>
    <w:p w:rsidR="00F4654E" w:rsidRDefault="00F4654E">
      <w:pPr>
        <w:pStyle w:val="a6"/>
      </w:pPr>
      <w:r>
        <w:t>Телята, рождающиеся в одинаковых хозяйственных условиях уже в раннем постнатальном онтогенезе растут и развиваются по-разному. Часто с первых дней жизни, а иногда еще внутриутробно, у некоторых из них проявляются признаки различных инфекционных и незаразных заболев</w:t>
      </w:r>
      <w:r>
        <w:t>а</w:t>
      </w:r>
      <w:r>
        <w:t>ний, в то время как другие их ровесники остаются индифферентными к этим патологическим процессам. Поэтому наряду с всеобщим мнением о физиологический незрелости иммунной системы новорожденного, по-видимому, вполне правомочно говорить на этом фоне о существующих различиях уровня иммунобиологический реактивности, четко проявля</w:t>
      </w:r>
      <w:r>
        <w:t>ю</w:t>
      </w:r>
      <w:r>
        <w:t>щемся уже в перинатальном периоде онтогенезе.</w:t>
      </w:r>
    </w:p>
    <w:p w:rsidR="00F4654E" w:rsidRDefault="00F4654E">
      <w:pPr>
        <w:pStyle w:val="a6"/>
      </w:pPr>
      <w:r>
        <w:t>Совершенно очевидно, что определяющим эти различия является ф</w:t>
      </w:r>
      <w:r>
        <w:t>и</w:t>
      </w:r>
      <w:r>
        <w:t>зиологическое состояние матери на протяжении всего периода беременн</w:t>
      </w:r>
      <w:r>
        <w:t>о</w:t>
      </w:r>
      <w:r>
        <w:t>сти. Несмотря на имеющиеся сообщения о том, что глубина стельности и показатели естественной резистентности крови у коров-матерей на прот</w:t>
      </w:r>
      <w:r>
        <w:t>я</w:t>
      </w:r>
      <w:r>
        <w:t>жении беременности не зависят от ее глубины, у полученных от них зд</w:t>
      </w:r>
      <w:r>
        <w:t>о</w:t>
      </w:r>
      <w:r>
        <w:t>ровых потомков установлены существенные различия в показателях пр</w:t>
      </w:r>
      <w:r>
        <w:t>о</w:t>
      </w:r>
      <w:r>
        <w:t>пердина, лизоцима, фагоцитарной активности (Емельяненко П.А., 1987).</w:t>
      </w:r>
    </w:p>
    <w:p w:rsidR="00F4654E" w:rsidRDefault="00F4654E">
      <w:pPr>
        <w:pStyle w:val="a6"/>
      </w:pPr>
      <w:r>
        <w:t>Уровень метаболизма, физиологическая активность организма мат</w:t>
      </w:r>
      <w:r>
        <w:t>е</w:t>
      </w:r>
      <w:r>
        <w:t>ри закономерно изменяются с возрастом. Так известно, что, например, в ра</w:t>
      </w:r>
      <w:r>
        <w:t>з</w:t>
      </w:r>
      <w:r>
        <w:t>ные периоды жизни даже у взрослых животных очень существенные изм</w:t>
      </w:r>
      <w:r>
        <w:t>е</w:t>
      </w:r>
      <w:r>
        <w:t>нения, претерпевает белковый обмен, который напрямую связан с ростом скелета и увеличением белковой массы органов и тканей, обесп</w:t>
      </w:r>
      <w:r>
        <w:t>е</w:t>
      </w:r>
      <w:r>
        <w:t xml:space="preserve">чивающих естественные барьеры организма у развивающегося плода.  Вследствие </w:t>
      </w:r>
      <w:r>
        <w:lastRenderedPageBreak/>
        <w:t>этого возраст самки, как фактор риска, связанный со снижением уровня е</w:t>
      </w:r>
      <w:r>
        <w:t>с</w:t>
      </w:r>
      <w:r>
        <w:t>тественной резистентности организма потомка, представляет особый инт</w:t>
      </w:r>
      <w:r>
        <w:t>е</w:t>
      </w:r>
      <w:r>
        <w:t>рес.</w:t>
      </w:r>
    </w:p>
    <w:p w:rsidR="00F4654E" w:rsidRDefault="00F4654E">
      <w:pPr>
        <w:pStyle w:val="a6"/>
      </w:pPr>
      <w:r>
        <w:t>В связи с вышеизложенным, нами изучены показатели естественной резистентности у 75 новорожденных телят, полученных от коров швицкой породы - аналогов по живой массе, конституциональным признакам, усл</w:t>
      </w:r>
      <w:r>
        <w:t>о</w:t>
      </w:r>
      <w:r>
        <w:t>виям содержания и кормления, которых условно подразделяли на 5 групп, по15 коров в каждой. В качестве основного критериями деления на группы учитывалась идентичность биологического возраста беременного живо</w:t>
      </w:r>
      <w:r>
        <w:t>т</w:t>
      </w:r>
      <w:r>
        <w:t>ного. Беременность коров 1, 2, 3, 4 и 5 опытных групп протекала соотве</w:t>
      </w:r>
      <w:r>
        <w:t>т</w:t>
      </w:r>
      <w:r>
        <w:t>ственно с 2 до 3, с 3до 4, с 4 до 5, с 5 до 6 и с 6 до 7 лет. Исследования кр</w:t>
      </w:r>
      <w:r>
        <w:t>о</w:t>
      </w:r>
      <w:r>
        <w:t>ви телят проводились до выпойки молозива. Изучали уровень фагоцита</w:t>
      </w:r>
      <w:r>
        <w:t>р</w:t>
      </w:r>
      <w:r>
        <w:t>ной активности нейтрофилов, лизоцимной и бактерицидно активности с</w:t>
      </w:r>
      <w:r>
        <w:t>ы</w:t>
      </w:r>
      <w:r>
        <w:t>воротки крови.</w:t>
      </w:r>
    </w:p>
    <w:p w:rsidR="00F4654E" w:rsidRDefault="00F4654E">
      <w:pPr>
        <w:pStyle w:val="a6"/>
      </w:pPr>
      <w:r>
        <w:t>Установлено, что средние показатели в целом по всем группам телят составили: фагоцитарная активность нейтрофилов – 30,9</w:t>
      </w:r>
      <w:r>
        <w:sym w:font="Symbol" w:char="F0B1"/>
      </w:r>
      <w:r>
        <w:t>0,16%, бактер</w:t>
      </w:r>
      <w:r>
        <w:t>и</w:t>
      </w:r>
      <w:r>
        <w:t>цидная активность – 16,7</w:t>
      </w:r>
      <w:r>
        <w:sym w:font="Symbol" w:char="F0B1"/>
      </w:r>
      <w:r>
        <w:t>0,92%, лизоцимная активность сыворотки крови – 4,3</w:t>
      </w:r>
      <w:r>
        <w:sym w:font="Symbol" w:char="F0B1"/>
      </w:r>
      <w:r>
        <w:t>0,08%. Анализ полученных результатов показал, что у 49,3% телят большая часть показателей неспецифической резистентности ниже сре</w:t>
      </w:r>
      <w:r>
        <w:t>д</w:t>
      </w:r>
      <w:r>
        <w:t>них значений по группе. Эти же показатели у</w:t>
      </w:r>
      <w:r>
        <w:rPr>
          <w:i/>
        </w:rPr>
        <w:t xml:space="preserve"> </w:t>
      </w:r>
      <w:r>
        <w:t>50,7% животных - выше среднегруппового уровня.</w:t>
      </w:r>
    </w:p>
    <w:p w:rsidR="00F4654E" w:rsidRDefault="00F4654E">
      <w:pPr>
        <w:pStyle w:val="a6"/>
      </w:pPr>
      <w:r>
        <w:t>Причем наиболее высокие значения показателей неспецифической р</w:t>
      </w:r>
      <w:r>
        <w:t>е</w:t>
      </w:r>
      <w:r>
        <w:t>зистентности организма отмечены у большинства телят, полученных от коров, беременность которых протекла в возрасте от 3 до 4 лет (21,3% о</w:t>
      </w:r>
      <w:r>
        <w:t>б</w:t>
      </w:r>
      <w:r>
        <w:t>следованных телят) и от 6 до 7 лет (19,7% обследованных телят). У нек</w:t>
      </w:r>
      <w:r>
        <w:t>о</w:t>
      </w:r>
      <w:r>
        <w:t>торых из этих животных максимальное превышение изучаемых параме</w:t>
      </w:r>
      <w:r>
        <w:t>т</w:t>
      </w:r>
      <w:r>
        <w:t>ров фагоцитарной активности, бактерицидной и лизоцимной, по сравн</w:t>
      </w:r>
      <w:r>
        <w:t>е</w:t>
      </w:r>
      <w:r>
        <w:t>нию со средними, достигало соответственно 4,3%, 2,85% и 0,9%. Телята, рожденные от коров других возрастных групп (с 2 до 4 лет, с 4 до 5 и 5-6 лет), с показателями неспецифической резистентности, превышающими средние, составили всего 8,3%</w:t>
      </w:r>
    </w:p>
    <w:p w:rsidR="00F4654E" w:rsidRDefault="00F4654E">
      <w:pPr>
        <w:pStyle w:val="a6"/>
      </w:pPr>
      <w:r>
        <w:t>Самые низкие параметры отмечены у новорожденных телят, получе</w:t>
      </w:r>
      <w:r>
        <w:t>н</w:t>
      </w:r>
      <w:r>
        <w:t>ных от молодых коров (преимущественно по первому отелу), составивших 22,7% от числа обследованных животных. Показатели значительно ниже средних отмечались и у 16,4% телят полученных от коров, беременность которых протекала с 4 до 5 лет. 11,6% телят, с показателями ниже средних, получены от коров других возрастных групп. Минимальные значения ф</w:t>
      </w:r>
      <w:r>
        <w:t>а</w:t>
      </w:r>
      <w:r>
        <w:t>гоцитарной, бактерицидной и лизоцимной активности отмечено у телят, полученных от коров отелившихся до трехлетнего возраста и с 4 до 5 лет, что достигло разницы, по сравнению со средними значениями, соответс</w:t>
      </w:r>
      <w:r>
        <w:t>т</w:t>
      </w:r>
      <w:r>
        <w:t>венно на 2,6%, 2,54% и 1,1%.</w:t>
      </w:r>
    </w:p>
    <w:p w:rsidR="00F4654E" w:rsidRDefault="00F4654E">
      <w:pPr>
        <w:pStyle w:val="a6"/>
      </w:pPr>
      <w:r>
        <w:t>Таким образом, установлены отличия уровня показателей неспециф</w:t>
      </w:r>
      <w:r>
        <w:t>и</w:t>
      </w:r>
      <w:r>
        <w:t>ческой резистентности новорожденных телят в связи с возрастом коров-</w:t>
      </w:r>
      <w:r>
        <w:lastRenderedPageBreak/>
        <w:t>матерей, с чередующимися тенденциями роста и спада. Реальное преим</w:t>
      </w:r>
      <w:r>
        <w:t>у</w:t>
      </w:r>
      <w:r>
        <w:t>щество уровня защитных сил организма потомства полученного от коров 3-4 и 6-7 лет дает основание отдать предпочтение этим животным в селе</w:t>
      </w:r>
      <w:r>
        <w:t>к</w:t>
      </w:r>
      <w:r>
        <w:t>ционной работе, при отработке оптимальных технологических схем с</w:t>
      </w:r>
      <w:r>
        <w:t>о</w:t>
      </w:r>
      <w:r>
        <w:t>держания животных, при формировании стад и групп животных, с учетом иммунобиологической реактивности, при прогнозировании возрастной п</w:t>
      </w:r>
      <w:r>
        <w:t>а</w:t>
      </w:r>
      <w:r>
        <w:t>тологии и проведении целенаправленных мероприятий по профилактике иммунодефицитных состояний.</w:t>
      </w:r>
    </w:p>
    <w:p w:rsidR="00F4654E" w:rsidRDefault="00F4654E">
      <w:pPr>
        <w:pStyle w:val="a4"/>
      </w:pPr>
      <w:r>
        <w:t>УДК 619:617-089:615.468.6:636.7</w:t>
      </w:r>
    </w:p>
    <w:p w:rsidR="00F4654E" w:rsidRDefault="00F4654E">
      <w:pPr>
        <w:pStyle w:val="1"/>
      </w:pPr>
      <w:bookmarkStart w:id="5299" w:name="_Toc11138063"/>
      <w:bookmarkStart w:id="5300" w:name="_Toc11138481"/>
      <w:bookmarkStart w:id="5301" w:name="_Toc11138899"/>
      <w:bookmarkStart w:id="5302" w:name="_Toc11139317"/>
      <w:bookmarkStart w:id="5303" w:name="_Toc11139735"/>
      <w:bookmarkStart w:id="5304" w:name="_Toc11140153"/>
      <w:bookmarkStart w:id="5305" w:name="_Toc11140571"/>
      <w:bookmarkStart w:id="5306" w:name="_Toc11390669"/>
      <w:bookmarkStart w:id="5307" w:name="_Toc11937890"/>
      <w:r>
        <w:t>МИКРОБИОЛОГИЧЕСКИЙ СПЕКТР ОПЕРАЦИОННЫХ РАН ЖЕЛУДКА СОБАК В ЗАВИСИМОСТИ ОТ ШОВНОГО МАТЕРИАЛА И ВИДА ШВА</w:t>
      </w:r>
      <w:bookmarkEnd w:id="5299"/>
      <w:bookmarkEnd w:id="5300"/>
      <w:bookmarkEnd w:id="5301"/>
      <w:bookmarkEnd w:id="5302"/>
      <w:bookmarkEnd w:id="5303"/>
      <w:bookmarkEnd w:id="5304"/>
      <w:bookmarkEnd w:id="5305"/>
      <w:bookmarkEnd w:id="5306"/>
      <w:bookmarkEnd w:id="5307"/>
    </w:p>
    <w:p w:rsidR="00F4654E" w:rsidRDefault="00F4654E">
      <w:pPr>
        <w:pStyle w:val="2"/>
      </w:pPr>
      <w:bookmarkStart w:id="5308" w:name="_Toc11032395"/>
      <w:bookmarkStart w:id="5309" w:name="_Toc11138064"/>
      <w:bookmarkStart w:id="5310" w:name="_Toc11138482"/>
      <w:bookmarkStart w:id="5311" w:name="_Toc11138900"/>
      <w:bookmarkStart w:id="5312" w:name="_Toc11139318"/>
      <w:bookmarkStart w:id="5313" w:name="_Toc11139736"/>
      <w:bookmarkStart w:id="5314" w:name="_Toc11140154"/>
      <w:bookmarkStart w:id="5315" w:name="_Toc11140572"/>
      <w:bookmarkStart w:id="5316" w:name="_Toc11390670"/>
      <w:bookmarkStart w:id="5317" w:name="_Toc11937891"/>
      <w:r>
        <w:t>Тарасенко П. А.</w:t>
      </w:r>
      <w:bookmarkEnd w:id="5308"/>
      <w:bookmarkEnd w:id="5309"/>
      <w:bookmarkEnd w:id="5310"/>
      <w:bookmarkEnd w:id="5311"/>
      <w:bookmarkEnd w:id="5312"/>
      <w:bookmarkEnd w:id="5313"/>
      <w:bookmarkEnd w:id="5314"/>
      <w:bookmarkEnd w:id="5315"/>
      <w:bookmarkEnd w:id="5316"/>
      <w:bookmarkEnd w:id="5317"/>
    </w:p>
    <w:p w:rsidR="00F4654E" w:rsidRDefault="00F4654E">
      <w:pPr>
        <w:pStyle w:val="a5"/>
      </w:pPr>
      <w:r>
        <w:t>Воронежский государственный аграрный университет им. К.Д. Глинки</w:t>
      </w:r>
    </w:p>
    <w:p w:rsidR="00F4654E" w:rsidRDefault="00F4654E">
      <w:pPr>
        <w:pStyle w:val="a6"/>
      </w:pPr>
      <w:r>
        <w:t>Процесс заживления различных по этиологии и локализации ран пр</w:t>
      </w:r>
      <w:r>
        <w:t>о</w:t>
      </w:r>
      <w:r>
        <w:t>текает согласно единым биологическим законам. При этом, конечно, в з</w:t>
      </w:r>
      <w:r>
        <w:t>а</w:t>
      </w:r>
      <w:r>
        <w:t>висимости от ряда факторов в каждом конкретном случае течения ранев</w:t>
      </w:r>
      <w:r>
        <w:t>о</w:t>
      </w:r>
      <w:r>
        <w:t>го процесса может иметь свои особенности.</w:t>
      </w:r>
    </w:p>
    <w:p w:rsidR="00F4654E" w:rsidRDefault="00F4654E">
      <w:pPr>
        <w:pStyle w:val="a6"/>
      </w:pPr>
      <w:r>
        <w:t>В результате воздействии повреждающего агента на ткани происходит локальное разрушение биологических структур с  изменением архитект</w:t>
      </w:r>
      <w:r>
        <w:t>о</w:t>
      </w:r>
      <w:r>
        <w:t>ники тканей. В ране скапливаются сгустки крови, некротизированные крошки и тканевая жидкость, примешиваются микробы. Развивается пе</w:t>
      </w:r>
      <w:r>
        <w:t>р</w:t>
      </w:r>
      <w:r>
        <w:t>вичная воспалительная реакция, которая первоначально носит асептич</w:t>
      </w:r>
      <w:r>
        <w:t>е</w:t>
      </w:r>
      <w:r>
        <w:t>ский характер и приводит к возникновению разнообразных местных реа</w:t>
      </w:r>
      <w:r>
        <w:t>к</w:t>
      </w:r>
      <w:r>
        <w:t>ций организма, проявляющихся,  прежде всего, в высвобождении медиат</w:t>
      </w:r>
      <w:r>
        <w:t>о</w:t>
      </w:r>
      <w:r>
        <w:t xml:space="preserve">ров воспаления, нарушениях локальной микроциркуляции и обменных процессов в тканях. </w:t>
      </w:r>
    </w:p>
    <w:p w:rsidR="00F4654E" w:rsidRDefault="00F4654E">
      <w:pPr>
        <w:pStyle w:val="a6"/>
      </w:pPr>
      <w:r>
        <w:t>Изучая микробную проницаемость операционных ран желудка у с</w:t>
      </w:r>
      <w:r>
        <w:t>о</w:t>
      </w:r>
      <w:r>
        <w:t>бак после ушития их различным шовным материалом (шелк, лавсан и опытная нить «Русар-С») при использовании модернизированного нами однорядного  шва Шмидена и двухрядного - Садовского-Плахотина уст</w:t>
      </w:r>
      <w:r>
        <w:t>а</w:t>
      </w:r>
      <w:r>
        <w:t>новили следующее: при посеве из материала, приготовленного соответс</w:t>
      </w:r>
      <w:r>
        <w:t>т</w:t>
      </w:r>
      <w:r>
        <w:t>вующим образом (взятого после повторной гастротомии) с учетом времени посева на питательных средах с последующей микроскопией мазков и о</w:t>
      </w:r>
      <w:r>
        <w:t>к</w:t>
      </w:r>
      <w:r>
        <w:t>раской их по Граму, отмечен рост микробных колоний, которые были т</w:t>
      </w:r>
      <w:r>
        <w:t>и</w:t>
      </w:r>
      <w:r>
        <w:t xml:space="preserve">пированы как стафилококки и стрептококки. Роста других микробов на всех питательных средах, за весь период наблюдений, нами не отмечено. </w:t>
      </w:r>
    </w:p>
    <w:p w:rsidR="00F4654E" w:rsidRDefault="00F4654E">
      <w:pPr>
        <w:pStyle w:val="a6"/>
      </w:pPr>
      <w:r>
        <w:t>Микробная обсемененность операционных ран желудка закрытых о</w:t>
      </w:r>
      <w:r>
        <w:t>д</w:t>
      </w:r>
      <w:r>
        <w:t>норядным, модернизированным нами, серозно-мышечно-подслизистым швом Шмидена с использованием нити «Русар-С» на 10 день после опер</w:t>
      </w:r>
      <w:r>
        <w:t>а</w:t>
      </w:r>
      <w:r>
        <w:t>ции составило 1 стафилококковая колония микробов. При наложении на операционную рану двухрядного шва Садовского-Плахотина нитью «Р</w:t>
      </w:r>
      <w:r>
        <w:t>у</w:t>
      </w:r>
      <w:r>
        <w:lastRenderedPageBreak/>
        <w:t>сар-С» на 10 сутки обнаружили 3 стафилококковые и 1 стрептококковую колонию микробов.</w:t>
      </w:r>
    </w:p>
    <w:p w:rsidR="00F4654E" w:rsidRDefault="00F4654E">
      <w:pPr>
        <w:pStyle w:val="a6"/>
      </w:pPr>
      <w:r>
        <w:t>При ушитии операционных ран желудка одноэтажным швом лавсан</w:t>
      </w:r>
      <w:r>
        <w:t>о</w:t>
      </w:r>
      <w:r>
        <w:t>вой нитью на 10 сутки наблюдений из материала выделено 9 стафилоко</w:t>
      </w:r>
      <w:r>
        <w:t>к</w:t>
      </w:r>
      <w:r>
        <w:t>ковых и 6 стрептококковых колоний. При наложении на операционную рану двухрядного шва в патологическом материале выявлено нами 14 ст</w:t>
      </w:r>
      <w:r>
        <w:t>а</w:t>
      </w:r>
      <w:r>
        <w:t>филококковых и 7 стрептококковых колоний.</w:t>
      </w:r>
    </w:p>
    <w:p w:rsidR="00F4654E" w:rsidRDefault="00F4654E">
      <w:pPr>
        <w:pStyle w:val="a6"/>
      </w:pPr>
      <w:r>
        <w:t>При использовании в качестве шовного материала шелка число кол</w:t>
      </w:r>
      <w:r>
        <w:t>о</w:t>
      </w:r>
      <w:r>
        <w:t>ний микробов значительно возрастает и составляет при применении одн</w:t>
      </w:r>
      <w:r>
        <w:t>о</w:t>
      </w:r>
      <w:r>
        <w:t>рядного шва 19 стафилококковых и 8 стрептококковых, а при ушитии двухрядным швом - 38 стафилококковых и 18 стрептококковых колоний.</w:t>
      </w:r>
    </w:p>
    <w:p w:rsidR="00F4654E" w:rsidRDefault="00F4654E">
      <w:pPr>
        <w:pStyle w:val="a6"/>
      </w:pPr>
      <w:r>
        <w:t>Таким образом, микробная проницаемость операционных ран собак зависит от вида шва и физико-механических свойств шовного материала. Она в 4-5 раз выше при использовании лавсана и в 10 - шелка, чем после ушития их нить «Русар-С».</w:t>
      </w:r>
    </w:p>
    <w:p w:rsidR="00F4654E" w:rsidRDefault="00F4654E">
      <w:pPr>
        <w:pStyle w:val="a4"/>
      </w:pPr>
      <w:r>
        <w:t>УДК 619:615.468.6:617:636.7</w:t>
      </w:r>
    </w:p>
    <w:p w:rsidR="00F4654E" w:rsidRDefault="00F4654E">
      <w:pPr>
        <w:pStyle w:val="1"/>
      </w:pPr>
      <w:bookmarkStart w:id="5318" w:name="_Toc11138065"/>
      <w:bookmarkStart w:id="5319" w:name="_Toc11138483"/>
      <w:bookmarkStart w:id="5320" w:name="_Toc11138901"/>
      <w:bookmarkStart w:id="5321" w:name="_Toc11139319"/>
      <w:bookmarkStart w:id="5322" w:name="_Toc11139737"/>
      <w:bookmarkStart w:id="5323" w:name="_Toc11140155"/>
      <w:bookmarkStart w:id="5324" w:name="_Toc11140573"/>
      <w:bookmarkStart w:id="5325" w:name="_Toc11390671"/>
      <w:bookmarkStart w:id="5326" w:name="_Toc11840356"/>
      <w:bookmarkStart w:id="5327" w:name="_Toc11937892"/>
      <w:r>
        <w:t>ПОЛИМЕРНАЯ НИТЬ «РУСАР-С» ДЛЯ АБДОМИНАЛЬНОЙ ХИРУРГИИ ДОМАШНИХ ЖИВОТНЫХ</w:t>
      </w:r>
      <w:bookmarkEnd w:id="5318"/>
      <w:bookmarkEnd w:id="5319"/>
      <w:bookmarkEnd w:id="5320"/>
      <w:bookmarkEnd w:id="5321"/>
      <w:bookmarkEnd w:id="5322"/>
      <w:bookmarkEnd w:id="5323"/>
      <w:bookmarkEnd w:id="5324"/>
      <w:bookmarkEnd w:id="5325"/>
      <w:bookmarkEnd w:id="5326"/>
      <w:bookmarkEnd w:id="5327"/>
    </w:p>
    <w:p w:rsidR="00F4654E" w:rsidRDefault="00F4654E">
      <w:pPr>
        <w:pStyle w:val="2"/>
        <w:rPr>
          <w:snapToGrid w:val="0"/>
        </w:rPr>
      </w:pPr>
      <w:bookmarkStart w:id="5328" w:name="_Toc11032396"/>
      <w:bookmarkStart w:id="5329" w:name="_Toc11138066"/>
      <w:bookmarkStart w:id="5330" w:name="_Toc11138484"/>
      <w:bookmarkStart w:id="5331" w:name="_Toc11138902"/>
      <w:bookmarkStart w:id="5332" w:name="_Toc11139320"/>
      <w:bookmarkStart w:id="5333" w:name="_Toc11139738"/>
      <w:bookmarkStart w:id="5334" w:name="_Toc11140156"/>
      <w:bookmarkStart w:id="5335" w:name="_Toc11140574"/>
      <w:bookmarkStart w:id="5336" w:name="_Toc11390672"/>
      <w:bookmarkStart w:id="5337" w:name="_Toc11937893"/>
      <w:r>
        <w:t>Тарасенко П. А.</w:t>
      </w:r>
      <w:bookmarkEnd w:id="5328"/>
      <w:bookmarkEnd w:id="5329"/>
      <w:bookmarkEnd w:id="5330"/>
      <w:bookmarkEnd w:id="5331"/>
      <w:bookmarkEnd w:id="5332"/>
      <w:bookmarkEnd w:id="5333"/>
      <w:bookmarkEnd w:id="5334"/>
      <w:bookmarkEnd w:id="5335"/>
      <w:bookmarkEnd w:id="5336"/>
      <w:bookmarkEnd w:id="5337"/>
    </w:p>
    <w:p w:rsidR="00F4654E" w:rsidRDefault="00F4654E">
      <w:pPr>
        <w:pStyle w:val="a5"/>
      </w:pPr>
      <w:r>
        <w:t>Воронежский государственный аграрный университет им. К.Д. Глинки</w:t>
      </w:r>
    </w:p>
    <w:p w:rsidR="00F4654E" w:rsidRDefault="00F4654E">
      <w:pPr>
        <w:pStyle w:val="a6"/>
      </w:pPr>
      <w:r>
        <w:t>При некоторых незаразных болезнях животных радикальным методом лечения является оперативное вмешательство на желудке. Успех операции во многом зависит от вида и качества хирургического шовного материала, используемого при различных оперативных вмешательствах. Являясь би</w:t>
      </w:r>
      <w:r>
        <w:t>о</w:t>
      </w:r>
      <w:r>
        <w:t>логически инертным или активным имплантантом, он оказывает опред</w:t>
      </w:r>
      <w:r>
        <w:t>е</w:t>
      </w:r>
      <w:r>
        <w:t>ленное влияние на процессы заживления операционных ран и оперативн</w:t>
      </w:r>
      <w:r>
        <w:t>о</w:t>
      </w:r>
      <w:r>
        <w:t>го вмешательства в целом. Повседневная хирургическая практика позвол</w:t>
      </w:r>
      <w:r>
        <w:t>я</w:t>
      </w:r>
      <w:r>
        <w:t>ет констатировать различные послеоперационные осложнения в виде н</w:t>
      </w:r>
      <w:r>
        <w:t>а</w:t>
      </w:r>
      <w:r>
        <w:t>гноения и образования лигатурных свищей, расхождения краев раны, вт</w:t>
      </w:r>
      <w:r>
        <w:t>о</w:t>
      </w:r>
      <w:r>
        <w:t>ричных кровотечений, формирования келоидных рубцов, развития перит</w:t>
      </w:r>
      <w:r>
        <w:t>о</w:t>
      </w:r>
      <w:r>
        <w:t xml:space="preserve">нитов и спаечной болезни. Это обусловлено некачественными шовными материалами и несовершенной техникой наложения кишечных швов. </w:t>
      </w:r>
    </w:p>
    <w:p w:rsidR="00F4654E" w:rsidRDefault="00F4654E">
      <w:pPr>
        <w:pStyle w:val="a6"/>
      </w:pPr>
      <w:r>
        <w:t>Материалом для наших исследований служила нить «Русар-С», по химической природе являющейся полимером четвертого поколения гру</w:t>
      </w:r>
      <w:r>
        <w:t>п</w:t>
      </w:r>
      <w:r>
        <w:t>пы ароматических гетероциклических амидов (полиамидов).</w:t>
      </w:r>
    </w:p>
    <w:p w:rsidR="00F4654E" w:rsidRDefault="00F4654E">
      <w:pPr>
        <w:pStyle w:val="a6"/>
      </w:pPr>
      <w:r>
        <w:t>Для нее характерны малая капиллярность и высокие прочностные х</w:t>
      </w:r>
      <w:r>
        <w:t>а</w:t>
      </w:r>
      <w:r>
        <w:t>рактеристики. Она не режет ткани даже при усиленном напряжении и м</w:t>
      </w:r>
      <w:r>
        <w:t>о</w:t>
      </w:r>
      <w:r>
        <w:t>жет применяться для наложения всех видов хирургических швов в абд</w:t>
      </w:r>
      <w:r>
        <w:t>о</w:t>
      </w:r>
      <w:r>
        <w:t xml:space="preserve">минальной ветеринарной хирургии. Узлы, завязанные нитью «Русар-С» не распускаются. </w:t>
      </w:r>
    </w:p>
    <w:p w:rsidR="00F4654E" w:rsidRDefault="00F4654E">
      <w:pPr>
        <w:pStyle w:val="a6"/>
      </w:pPr>
      <w:r>
        <w:lastRenderedPageBreak/>
        <w:t>Нить «Русар-С» имеет значительное преимущество перед лавсаном и особенно шелком, так как она мало раздражает окружающие ткани и до</w:t>
      </w:r>
      <w:r>
        <w:t>л</w:t>
      </w:r>
      <w:r>
        <w:t>гое время остается в них почти без изменений. Это ускоряет процесс рег</w:t>
      </w:r>
      <w:r>
        <w:t>е</w:t>
      </w:r>
      <w:r>
        <w:t>нерации травмированных тканей и профилактирует развитие вторичной хирургической инфекции в послеоперационный период.</w:t>
      </w:r>
    </w:p>
    <w:p w:rsidR="00F4654E" w:rsidRDefault="00F4654E">
      <w:pPr>
        <w:pStyle w:val="a4"/>
      </w:pPr>
      <w:r>
        <w:t>УДК 619:615.468.6:636.2</w:t>
      </w:r>
    </w:p>
    <w:p w:rsidR="00F4654E" w:rsidRDefault="00F4654E">
      <w:pPr>
        <w:pStyle w:val="1"/>
      </w:pPr>
      <w:bookmarkStart w:id="5338" w:name="_Toc11138067"/>
      <w:bookmarkStart w:id="5339" w:name="_Toc11138485"/>
      <w:bookmarkStart w:id="5340" w:name="_Toc11138903"/>
      <w:bookmarkStart w:id="5341" w:name="_Toc11139321"/>
      <w:bookmarkStart w:id="5342" w:name="_Toc11139739"/>
      <w:bookmarkStart w:id="5343" w:name="_Toc11140157"/>
      <w:bookmarkStart w:id="5344" w:name="_Toc11140575"/>
      <w:bookmarkStart w:id="5345" w:name="_Toc11390673"/>
      <w:bookmarkStart w:id="5346" w:name="_Toc11840358"/>
      <w:bookmarkStart w:id="5347" w:name="_Toc11937894"/>
      <w:r>
        <w:t xml:space="preserve">«РУСАР-С» - ШОВНАЯ НИТЬ ДЛЯ УШИВАНИЯ ОПЕРАЦИОННЫХ РАН </w:t>
      </w:r>
      <w:r>
        <w:br/>
        <w:t>У ЖИВОТНЫХ</w:t>
      </w:r>
      <w:bookmarkEnd w:id="5338"/>
      <w:bookmarkEnd w:id="5339"/>
      <w:bookmarkEnd w:id="5340"/>
      <w:bookmarkEnd w:id="5341"/>
      <w:bookmarkEnd w:id="5342"/>
      <w:bookmarkEnd w:id="5343"/>
      <w:bookmarkEnd w:id="5344"/>
      <w:bookmarkEnd w:id="5345"/>
      <w:bookmarkEnd w:id="5346"/>
      <w:bookmarkEnd w:id="5347"/>
    </w:p>
    <w:p w:rsidR="00F4654E" w:rsidRDefault="00F4654E">
      <w:pPr>
        <w:pStyle w:val="2"/>
      </w:pPr>
      <w:bookmarkStart w:id="5348" w:name="_Toc11032397"/>
      <w:bookmarkStart w:id="5349" w:name="_Toc11138068"/>
      <w:bookmarkStart w:id="5350" w:name="_Toc11138486"/>
      <w:bookmarkStart w:id="5351" w:name="_Toc11138904"/>
      <w:bookmarkStart w:id="5352" w:name="_Toc11139322"/>
      <w:bookmarkStart w:id="5353" w:name="_Toc11139740"/>
      <w:bookmarkStart w:id="5354" w:name="_Toc11140158"/>
      <w:bookmarkStart w:id="5355" w:name="_Toc11140576"/>
      <w:bookmarkStart w:id="5356" w:name="_Toc11390674"/>
      <w:bookmarkStart w:id="5357" w:name="_Toc11937895"/>
      <w:r>
        <w:t>Тарасенко П. А.</w:t>
      </w:r>
      <w:bookmarkEnd w:id="5348"/>
      <w:bookmarkEnd w:id="5349"/>
      <w:bookmarkEnd w:id="5350"/>
      <w:bookmarkEnd w:id="5351"/>
      <w:bookmarkEnd w:id="5352"/>
      <w:bookmarkEnd w:id="5353"/>
      <w:bookmarkEnd w:id="5354"/>
      <w:bookmarkEnd w:id="5355"/>
      <w:bookmarkEnd w:id="5356"/>
      <w:bookmarkEnd w:id="5357"/>
    </w:p>
    <w:p w:rsidR="00F4654E" w:rsidRDefault="00F4654E">
      <w:pPr>
        <w:pStyle w:val="a5"/>
      </w:pPr>
      <w:r>
        <w:t>Воронежский государственный аграрный университет им. К.Д. Глинки</w:t>
      </w:r>
    </w:p>
    <w:p w:rsidR="00F4654E" w:rsidRDefault="00F4654E">
      <w:pPr>
        <w:pStyle w:val="a6"/>
      </w:pPr>
      <w:r>
        <w:t>Успешное проведение хирургических операций и отсутствие посл</w:t>
      </w:r>
      <w:r>
        <w:t>е</w:t>
      </w:r>
      <w:r>
        <w:t>операционных осложнений во многом определяется качеством шовного материала, который необходим почти при каждом хирургическом вмеш</w:t>
      </w:r>
      <w:r>
        <w:t>а</w:t>
      </w:r>
      <w:r>
        <w:t>тельстве. Его применяют для сшивания различных тканей (кожи, мышц, нервов, сухожилий и др.), а так же для провизорной и окончательной ост</w:t>
      </w:r>
      <w:r>
        <w:t>а</w:t>
      </w:r>
      <w:r>
        <w:t>новки кровотечения.</w:t>
      </w:r>
    </w:p>
    <w:p w:rsidR="00F4654E" w:rsidRDefault="00F4654E">
      <w:pPr>
        <w:pStyle w:val="a6"/>
      </w:pPr>
      <w:r>
        <w:t>Решение проблемы – изыскание оптимальных материалов, в насто</w:t>
      </w:r>
      <w:r>
        <w:t>я</w:t>
      </w:r>
      <w:r>
        <w:t>щее время идет как по пути получения новых, так и улучшению основных свойств известных нитей.</w:t>
      </w:r>
    </w:p>
    <w:p w:rsidR="00F4654E" w:rsidRDefault="00F4654E">
      <w:pPr>
        <w:pStyle w:val="a6"/>
      </w:pPr>
      <w:r>
        <w:t>Целью наших исследований является апробация нового шовного м</w:t>
      </w:r>
      <w:r>
        <w:t>а</w:t>
      </w:r>
      <w:r>
        <w:t>териала из группы ароматических гетероциклических амидов (полиам</w:t>
      </w:r>
      <w:r>
        <w:t>и</w:t>
      </w:r>
      <w:r>
        <w:t>дов) 4 поколения «Русар-С».</w:t>
      </w:r>
    </w:p>
    <w:p w:rsidR="00F4654E" w:rsidRDefault="00F4654E">
      <w:pPr>
        <w:pStyle w:val="a6"/>
      </w:pPr>
      <w:r>
        <w:t>С целью проверки возможности применения нити «Русар-С» в вет</w:t>
      </w:r>
      <w:r>
        <w:t>е</w:t>
      </w:r>
      <w:r>
        <w:t>ринарной хирургии проведено экспериментальное исследование в одном из хозяйств Воронежской области на 12 бычках голштино-фризской пор</w:t>
      </w:r>
      <w:r>
        <w:t>о</w:t>
      </w:r>
      <w:r>
        <w:t>ды в возрасте 5 – 6 месяцев, подобранных по принципу аналогов. Живо</w:t>
      </w:r>
      <w:r>
        <w:t>т</w:t>
      </w:r>
      <w:r>
        <w:t>ные были разделены на три группы по 4 головы в каждой. Всем им после проводниковой анестезии чревных нервов по Магда в сочетании с мес</w:t>
      </w:r>
      <w:r>
        <w:t>т</w:t>
      </w:r>
      <w:r>
        <w:t>ным инфильтрационным обезболиванием по месту разреза была проведена руменотомия.</w:t>
      </w:r>
    </w:p>
    <w:p w:rsidR="00F4654E" w:rsidRDefault="00F4654E">
      <w:pPr>
        <w:pStyle w:val="a6"/>
      </w:pPr>
      <w:r>
        <w:t>Контролем в наших исследованиях служили отечественные синтет</w:t>
      </w:r>
      <w:r>
        <w:t>и</w:t>
      </w:r>
      <w:r>
        <w:t>ческие нити – лавсан и шелк сопоставимых размеров, потому что они та</w:t>
      </w:r>
      <w:r>
        <w:t>к</w:t>
      </w:r>
      <w:r>
        <w:t xml:space="preserve">же изготовлены синтетическим методом и к тому же широко применяются в ветеринарной практике как наиболее доступный материал. </w:t>
      </w:r>
    </w:p>
    <w:p w:rsidR="00F4654E" w:rsidRDefault="00F4654E">
      <w:pPr>
        <w:pStyle w:val="a6"/>
      </w:pPr>
      <w:r>
        <w:t>В качестве шовного материала в первой группе использовали опы</w:t>
      </w:r>
      <w:r>
        <w:t>т</w:t>
      </w:r>
      <w:r>
        <w:t>ную нить «Русар-С» №3, во второй – шелк, №6, а в третей – лавсан, №6. Раны ушивали двухрядным швом Садовского-Плахотина.</w:t>
      </w:r>
    </w:p>
    <w:p w:rsidR="00F4654E" w:rsidRDefault="00F4654E">
      <w:pPr>
        <w:pStyle w:val="a6"/>
      </w:pPr>
      <w:r>
        <w:t>Кожные раны у телят после руменотомии, ушитые нитью «Русар-С» всегда заживали по первичному натяжению.</w:t>
      </w:r>
    </w:p>
    <w:p w:rsidR="00F4654E" w:rsidRDefault="00F4654E">
      <w:pPr>
        <w:pStyle w:val="a6"/>
      </w:pPr>
      <w:r>
        <w:t>Аналогичным образом в большинстве случаев заживали раны кожи у телят после наложения прерывистых узловатых ситуационных швов ла</w:t>
      </w:r>
      <w:r>
        <w:t>в</w:t>
      </w:r>
      <w:r>
        <w:lastRenderedPageBreak/>
        <w:t>саном и шелком, с той лишь разницей, что в последнем случае рубцы были массивные, грубые и значительно превосходили по величине шов с нитью «Русар-С».</w:t>
      </w:r>
    </w:p>
    <w:p w:rsidR="00F4654E" w:rsidRDefault="00F4654E">
      <w:pPr>
        <w:pStyle w:val="a6"/>
      </w:pPr>
      <w:r>
        <w:t>Примерно у 25% (лавсан) и 50% (шелк) оперированных телят швы з</w:t>
      </w:r>
      <w:r>
        <w:t>а</w:t>
      </w:r>
      <w:r>
        <w:t>живали вторичным натяжением. На месте прокольных каналов формир</w:t>
      </w:r>
      <w:r>
        <w:t>о</w:t>
      </w:r>
      <w:r>
        <w:t>вались лигатурные свищи, просвет которых был заполнен гноем. Регенер</w:t>
      </w:r>
      <w:r>
        <w:t>а</w:t>
      </w:r>
      <w:r>
        <w:t>тивные процессы в этих случаях текли вяло.</w:t>
      </w:r>
    </w:p>
    <w:p w:rsidR="00F4654E" w:rsidRDefault="00F4654E">
      <w:pPr>
        <w:pStyle w:val="a6"/>
      </w:pPr>
      <w:r>
        <w:t>Это позволяет нам сделать вывод, что шовный материал из нити «Р</w:t>
      </w:r>
      <w:r>
        <w:t>у</w:t>
      </w:r>
      <w:r>
        <w:t>сар-С» биологически инертен по сравнению со стандартным шелком и лавсаном.</w:t>
      </w:r>
    </w:p>
    <w:p w:rsidR="00F4654E" w:rsidRDefault="00F4654E">
      <w:pPr>
        <w:pStyle w:val="a4"/>
      </w:pPr>
      <w:r>
        <w:t>УДК 619:615.468.6</w:t>
      </w:r>
      <w:r>
        <w:sym w:font="Symbol" w:char="F05D"/>
      </w:r>
      <w:r>
        <w:t>636.2</w:t>
      </w:r>
    </w:p>
    <w:p w:rsidR="00F4654E" w:rsidRDefault="00F4654E">
      <w:pPr>
        <w:pStyle w:val="1"/>
      </w:pPr>
      <w:bookmarkStart w:id="5358" w:name="_Toc11138069"/>
      <w:bookmarkStart w:id="5359" w:name="_Toc11138487"/>
      <w:bookmarkStart w:id="5360" w:name="_Toc11138905"/>
      <w:bookmarkStart w:id="5361" w:name="_Toc11139323"/>
      <w:bookmarkStart w:id="5362" w:name="_Toc11139741"/>
      <w:bookmarkStart w:id="5363" w:name="_Toc11140159"/>
      <w:bookmarkStart w:id="5364" w:name="_Toc11140577"/>
      <w:bookmarkStart w:id="5365" w:name="_Toc11390675"/>
      <w:bookmarkStart w:id="5366" w:name="_Toc11840360"/>
      <w:bookmarkStart w:id="5367" w:name="_Toc11937896"/>
      <w:r>
        <w:t>РАСТРОВАЯ ЭЛЕКТРОННАЯ МИКРОСКОПИЯ ОДНОРЯДНОГО И ДВУХРЯДНОГО КИШЕЧНОГО ШВА РУБЦА ЖВАЧНЫХ В ЗАВИСИМОСТИ ОТ ШОВНОГО МАТЕРИАЛА</w:t>
      </w:r>
      <w:bookmarkEnd w:id="5358"/>
      <w:bookmarkEnd w:id="5359"/>
      <w:bookmarkEnd w:id="5360"/>
      <w:bookmarkEnd w:id="5361"/>
      <w:bookmarkEnd w:id="5362"/>
      <w:bookmarkEnd w:id="5363"/>
      <w:bookmarkEnd w:id="5364"/>
      <w:bookmarkEnd w:id="5365"/>
      <w:bookmarkEnd w:id="5366"/>
      <w:bookmarkEnd w:id="5367"/>
    </w:p>
    <w:p w:rsidR="00F4654E" w:rsidRDefault="00F4654E">
      <w:pPr>
        <w:pStyle w:val="2"/>
      </w:pPr>
      <w:bookmarkStart w:id="5368" w:name="_Toc11032398"/>
      <w:bookmarkStart w:id="5369" w:name="_Toc11138070"/>
      <w:bookmarkStart w:id="5370" w:name="_Toc11138488"/>
      <w:bookmarkStart w:id="5371" w:name="_Toc11138906"/>
      <w:bookmarkStart w:id="5372" w:name="_Toc11139324"/>
      <w:bookmarkStart w:id="5373" w:name="_Toc11139742"/>
      <w:bookmarkStart w:id="5374" w:name="_Toc11140160"/>
      <w:bookmarkStart w:id="5375" w:name="_Toc11140578"/>
      <w:bookmarkStart w:id="5376" w:name="_Toc11390676"/>
      <w:bookmarkStart w:id="5377" w:name="_Toc11937897"/>
      <w:r>
        <w:t>Тарасенко П.А.</w:t>
      </w:r>
      <w:bookmarkEnd w:id="5368"/>
      <w:bookmarkEnd w:id="5369"/>
      <w:bookmarkEnd w:id="5370"/>
      <w:bookmarkEnd w:id="5371"/>
      <w:bookmarkEnd w:id="5372"/>
      <w:bookmarkEnd w:id="5373"/>
      <w:bookmarkEnd w:id="5374"/>
      <w:bookmarkEnd w:id="5375"/>
      <w:bookmarkEnd w:id="5376"/>
      <w:bookmarkEnd w:id="5377"/>
    </w:p>
    <w:p w:rsidR="00F4654E" w:rsidRDefault="00F4654E">
      <w:pPr>
        <w:pStyle w:val="a5"/>
      </w:pPr>
      <w:r>
        <w:t>Воронежский государственный аграрный университет им. К.Д. Глинки</w:t>
      </w:r>
    </w:p>
    <w:p w:rsidR="00F4654E" w:rsidRDefault="00F4654E">
      <w:pPr>
        <w:pStyle w:val="a6"/>
      </w:pPr>
      <w:r>
        <w:t>При многих незаразных болезнях животных радикальным методом лечения является оперативное вмешательство на органах брюшной и таз</w:t>
      </w:r>
      <w:r>
        <w:t>о</w:t>
      </w:r>
      <w:r>
        <w:t xml:space="preserve">вой полостей. </w:t>
      </w:r>
    </w:p>
    <w:p w:rsidR="00F4654E" w:rsidRDefault="00F4654E">
      <w:pPr>
        <w:pStyle w:val="a6"/>
      </w:pPr>
      <w:r>
        <w:t>Успешное проведение хирургических операций и отсутствия посл</w:t>
      </w:r>
      <w:r>
        <w:t>е</w:t>
      </w:r>
      <w:r>
        <w:t>операционных осложнений во многом определяется качеством хирургич</w:t>
      </w:r>
      <w:r>
        <w:t>е</w:t>
      </w:r>
      <w:r>
        <w:t>ских материалов. Являясь биологически инертным или активным импла</w:t>
      </w:r>
      <w:r>
        <w:t>н</w:t>
      </w:r>
      <w:r>
        <w:t>тантом, он, естественно, оказывает определенное влияние на процессы з</w:t>
      </w:r>
      <w:r>
        <w:t>а</w:t>
      </w:r>
      <w:r>
        <w:t>живления операционных ран и исход оперативного вмешательства. В н</w:t>
      </w:r>
      <w:r>
        <w:t>а</w:t>
      </w:r>
      <w:r>
        <w:t>шей повседневной хирургической практике мы констатируем различные послеоперационные осложнения в виде нагноения и образования лигату</w:t>
      </w:r>
      <w:r>
        <w:t>р</w:t>
      </w:r>
      <w:r>
        <w:t>ных свищей, расхождение краев раны, вторичных кровотечений, развитие перитонитов, формирование келоидных рубцов, образование спаек. Это обусловлено некачественными шовными материалами и несовершенной техникой наложения кишечных швов.</w:t>
      </w:r>
    </w:p>
    <w:p w:rsidR="00F4654E" w:rsidRDefault="00F4654E">
      <w:pPr>
        <w:pStyle w:val="a6"/>
      </w:pPr>
      <w:r>
        <w:t>Использование новых синтетических хирургических шовных мат</w:t>
      </w:r>
      <w:r>
        <w:t>е</w:t>
      </w:r>
      <w:r>
        <w:t>риалов, обладающих низкими реактогенными свойствами, является одной из актуальных проблем в современной ветеринарной хирургии.</w:t>
      </w:r>
    </w:p>
    <w:p w:rsidR="00F4654E" w:rsidRDefault="00F4654E">
      <w:pPr>
        <w:pStyle w:val="a6"/>
      </w:pPr>
      <w:r>
        <w:t>Современный хирургический шовный материал должен обеспечивать косметичность шва и заживление без грубого рубцевания.  Кроме того, м</w:t>
      </w:r>
      <w:r>
        <w:t>а</w:t>
      </w:r>
      <w:r>
        <w:t>териал должен быть окрашен в цвета легко различимые на фоне раневой поверхности, что немало важно в ветеринарной практике.</w:t>
      </w:r>
    </w:p>
    <w:p w:rsidR="00F4654E" w:rsidRDefault="00F4654E">
      <w:pPr>
        <w:pStyle w:val="a6"/>
      </w:pPr>
      <w:r>
        <w:t>В связи с тем, что многие шовные материалы обладают рядом отриц</w:t>
      </w:r>
      <w:r>
        <w:t>а</w:t>
      </w:r>
      <w:r>
        <w:t>тельных свойств, а главное, способностью вызывать выраженную воспал</w:t>
      </w:r>
      <w:r>
        <w:t>и</w:t>
      </w:r>
      <w:r>
        <w:t>тельную реакцию в окружающих тканях, по типу асептического воспал</w:t>
      </w:r>
      <w:r>
        <w:t>е</w:t>
      </w:r>
      <w:r>
        <w:t>ния, а при его осложнении секундарной инфекцией формируются лигату</w:t>
      </w:r>
      <w:r>
        <w:t>р</w:t>
      </w:r>
      <w:r>
        <w:lastRenderedPageBreak/>
        <w:t>ные свищи, поэтому мы решили испытать новый нерассасывающийся шовный материал «Русар-С» из ароматического гетероциклического пол</w:t>
      </w:r>
      <w:r>
        <w:t>и</w:t>
      </w:r>
      <w:r>
        <w:t xml:space="preserve">мера четвертого поколения. </w:t>
      </w:r>
    </w:p>
    <w:p w:rsidR="00F4654E" w:rsidRDefault="00F4654E">
      <w:pPr>
        <w:pStyle w:val="a6"/>
      </w:pPr>
      <w:r>
        <w:t>Опыт проводили в 2000-2001 гг. в одном из хозяйств Воронежской области. В опытах использовали 15 телят голштино-фризской породы в возрасте 5 - 6 месяцев подобранных по принципу парных аналогов. Рум</w:t>
      </w:r>
      <w:r>
        <w:t>е</w:t>
      </w:r>
      <w:r>
        <w:t xml:space="preserve">нотомию проводили по способу Магда у животных страдающих пенистой тимпанией. </w:t>
      </w:r>
    </w:p>
    <w:p w:rsidR="00F4654E" w:rsidRDefault="00F4654E">
      <w:pPr>
        <w:pStyle w:val="a6"/>
      </w:pPr>
      <w:r>
        <w:t>Для сканирующей электронной микроскопии после истечения 10, 20 и 30 суток при повторной руменотомии вместе с шовным материалом из о</w:t>
      </w:r>
      <w:r>
        <w:t>б</w:t>
      </w:r>
      <w:r>
        <w:t>ласти операционных ран рубца, брюшины, а кожи без шовных лигатур, брали материал. Его фиксировали в 2,5% растворе глютаральдегида на 0,2 М какодилатном буфере отмытые объекты постфиксировали  2 % раств</w:t>
      </w:r>
      <w:r>
        <w:t>о</w:t>
      </w:r>
      <w:r>
        <w:t>ром четырех окиси в 0,2 М какодилатном буфере. Постфиксированный м</w:t>
      </w:r>
      <w:r>
        <w:t>а</w:t>
      </w:r>
      <w:r>
        <w:t>териал отмывали в  дистиллированной воде, а затем обезвоживали в спи</w:t>
      </w:r>
      <w:r>
        <w:t>р</w:t>
      </w:r>
      <w:r>
        <w:t>тах восходящей крепости; из абсолютного этанола объект проводили через серию амилатцетат-этаноловых смесей восходящей концентрации. Обе</w:t>
      </w:r>
      <w:r>
        <w:t>з</w:t>
      </w:r>
      <w:r>
        <w:t xml:space="preserve">воженный материал высушивали в сжиженном </w:t>
      </w:r>
      <w:r>
        <w:rPr>
          <w:lang w:val="en-US"/>
        </w:rPr>
        <w:t>N</w:t>
      </w:r>
      <w:r>
        <w:rPr>
          <w:vertAlign w:val="subscript"/>
        </w:rPr>
        <w:t>2</w:t>
      </w:r>
      <w:r>
        <w:t>О (36,5</w:t>
      </w:r>
      <w:r>
        <w:sym w:font="Symbol" w:char="F0B0"/>
      </w:r>
      <w:r>
        <w:t>С; 71,4 атм.). Н</w:t>
      </w:r>
      <w:r>
        <w:t>а</w:t>
      </w:r>
      <w:r>
        <w:t>конец, поверхность объекта покрывали электропроводящим слоем, с</w:t>
      </w:r>
      <w:r>
        <w:t>о</w:t>
      </w:r>
      <w:r>
        <w:t>стоящем из золота и просматривали в сканирующем электронном микр</w:t>
      </w:r>
      <w:r>
        <w:t>о</w:t>
      </w:r>
      <w:r>
        <w:t>скопе «Тесла» БС - 300 (ЧССР). Фотографировали на «Фото» - 64.</w:t>
      </w:r>
    </w:p>
    <w:p w:rsidR="00F4654E" w:rsidRDefault="00F4654E">
      <w:pPr>
        <w:pStyle w:val="a6"/>
      </w:pPr>
      <w:r>
        <w:t>Основным достоинством метода сканирующей электронном микр</w:t>
      </w:r>
      <w:r>
        <w:t>о</w:t>
      </w:r>
      <w:r>
        <w:t>скопии (СЭМ) является ее высокая глубина резкости, что способствует п</w:t>
      </w:r>
      <w:r>
        <w:t>о</w:t>
      </w:r>
      <w:r>
        <w:t>лучению объемных (трехмерных) картин. Это позволяет наглядно и ко</w:t>
      </w:r>
      <w:r>
        <w:t>н</w:t>
      </w:r>
      <w:r>
        <w:t>кретно представить не только топографическую организацию, но и ме</w:t>
      </w:r>
      <w:r>
        <w:t>ж</w:t>
      </w:r>
      <w:r>
        <w:t>клеточные взаимодействия в изучаемом  образовании.</w:t>
      </w:r>
    </w:p>
    <w:p w:rsidR="00F4654E" w:rsidRDefault="00F4654E">
      <w:pPr>
        <w:pStyle w:val="a6"/>
      </w:pPr>
      <w:r>
        <w:t>Просматривая материал в растровом  микроскопе взятый на 10 сутки отмечали значительное расхождение краев кожной раны ушитой шовным материалом из шелка. Увеличением исследуемого объекта в 100 раз отм</w:t>
      </w:r>
      <w:r>
        <w:t>е</w:t>
      </w:r>
      <w:r>
        <w:t>чали регенерацию кожной раны. Грануляционная ткань разрасталась н</w:t>
      </w:r>
      <w:r>
        <w:t>е</w:t>
      </w:r>
      <w:r>
        <w:t>равномерно, в виде отдельных участков напоминающих кувшинки с ми</w:t>
      </w:r>
      <w:r>
        <w:t>к</w:t>
      </w:r>
      <w:r>
        <w:t>робами на ее поверхности. Их мы типировали как кокки и палочки. При просмотре материала отобранного на 20 сутки, наблюдали местами расх</w:t>
      </w:r>
      <w:r>
        <w:t>о</w:t>
      </w:r>
      <w:r>
        <w:t>ждения краев раны с многочисленными свищевыми ходами, из которых выделялась густая, творожистая масса (гной). На сканированной поверхн</w:t>
      </w:r>
      <w:r>
        <w:t>о</w:t>
      </w:r>
      <w:r>
        <w:t>сти грануляционной ткани видны скопления микроорганизмов, главным образом, кокковой формы. Последние располагались в тех местах, где имели место микро - трещины тканей. На 30 сутки констатировали образ</w:t>
      </w:r>
      <w:r>
        <w:t>о</w:t>
      </w:r>
      <w:r>
        <w:t>вание грубого соединительно-тканного рубца на месте хирургического вмешательства.</w:t>
      </w:r>
    </w:p>
    <w:p w:rsidR="00F4654E" w:rsidRDefault="00F4654E">
      <w:pPr>
        <w:pStyle w:val="a6"/>
      </w:pPr>
      <w:r>
        <w:t>Кожные раны ушитые лавсаном в основном заживали по первичному натяжению. Этот процесс завершался к 20 дню после вмешательства. Ск</w:t>
      </w:r>
      <w:r>
        <w:t>а</w:t>
      </w:r>
      <w:r>
        <w:t xml:space="preserve">нируемая поверхность незначительно отличалась от описанной ранее. </w:t>
      </w:r>
      <w:r>
        <w:lastRenderedPageBreak/>
        <w:t xml:space="preserve">Микробная контаминация в этом случае менее выражена, а грануляции росли несколько быстрее и более равномерно. </w:t>
      </w:r>
    </w:p>
    <w:p w:rsidR="00F4654E" w:rsidRDefault="00F4654E">
      <w:pPr>
        <w:pStyle w:val="a6"/>
      </w:pPr>
      <w:r>
        <w:t>Апробация нового шовного материала из экспериментальной нити «Русар - С» показала, что заживление кожной раны в этом случае заверш</w:t>
      </w:r>
      <w:r>
        <w:t>а</w:t>
      </w:r>
      <w:r>
        <w:t>лось на 10 сутки, то есть в 2 -3 раза быстрее относительно лавсана и шелка. Этот процесс протекал всегда по первичному натяжению, без нагноения. На коже формировался тонкий, нежный, очень прочный соединительно-</w:t>
      </w:r>
      <w:r>
        <w:br/>
        <w:t>тканный рубец. Сканирующей электронной микроскопией нами не было отмечено скопление микроорганизмов.</w:t>
      </w:r>
    </w:p>
    <w:p w:rsidR="00F4654E" w:rsidRDefault="00F4654E">
      <w:pPr>
        <w:pStyle w:val="a6"/>
      </w:pPr>
      <w:r>
        <w:t>На основании проведенных исследований можно сделать вывод, что новая синтетическая нить четвертого поколения «Русар - С» не обладает фитильностью. Это во многом профилактирует развитие послеоперацио</w:t>
      </w:r>
      <w:r>
        <w:t>н</w:t>
      </w:r>
      <w:r>
        <w:t>ных осложнений и обеспечивает заживление по первичному натяжению, так как является наиболее инертной к тканям.</w:t>
      </w:r>
    </w:p>
    <w:p w:rsidR="00F4654E" w:rsidRDefault="00F4654E">
      <w:pPr>
        <w:pStyle w:val="a4"/>
      </w:pPr>
      <w:r>
        <w:t>УДК 612.014.481.599:539.1.047</w:t>
      </w:r>
    </w:p>
    <w:p w:rsidR="00F4654E" w:rsidRDefault="00F4654E">
      <w:pPr>
        <w:pStyle w:val="1"/>
      </w:pPr>
      <w:bookmarkStart w:id="5378" w:name="_Toc10731610"/>
      <w:bookmarkStart w:id="5379" w:name="_Toc11138071"/>
      <w:bookmarkStart w:id="5380" w:name="_Toc11138489"/>
      <w:bookmarkStart w:id="5381" w:name="_Toc11138907"/>
      <w:bookmarkStart w:id="5382" w:name="_Toc11139325"/>
      <w:bookmarkStart w:id="5383" w:name="_Toc11139743"/>
      <w:bookmarkStart w:id="5384" w:name="_Toc11140161"/>
      <w:bookmarkStart w:id="5385" w:name="_Toc11140579"/>
      <w:bookmarkStart w:id="5386" w:name="_Toc11390677"/>
      <w:bookmarkStart w:id="5387" w:name="_Toc11840362"/>
      <w:bookmarkStart w:id="5388" w:name="_Toc11937898"/>
      <w:r>
        <w:t>ПРИМЕНЕНИЕ ЦИТОКИНОВ ДЛЯ ПРЕДУПРЕЖДЕНИЯ РАЗВИТИЯ НАРУШЕНИЙ, ВЫЗВАННЫХ ДЕЙСТВИЕМ РАДИАЦИИ</w:t>
      </w:r>
      <w:bookmarkEnd w:id="5378"/>
      <w:bookmarkEnd w:id="5379"/>
      <w:bookmarkEnd w:id="5380"/>
      <w:bookmarkEnd w:id="5381"/>
      <w:bookmarkEnd w:id="5382"/>
      <w:bookmarkEnd w:id="5383"/>
      <w:bookmarkEnd w:id="5384"/>
      <w:bookmarkEnd w:id="5385"/>
      <w:bookmarkEnd w:id="5386"/>
      <w:bookmarkEnd w:id="5387"/>
      <w:bookmarkEnd w:id="5388"/>
    </w:p>
    <w:p w:rsidR="00F4654E" w:rsidRDefault="00F4654E">
      <w:pPr>
        <w:pStyle w:val="2"/>
      </w:pPr>
      <w:bookmarkStart w:id="5389" w:name="_Toc10731611"/>
      <w:bookmarkStart w:id="5390" w:name="_Toc11032399"/>
      <w:bookmarkStart w:id="5391" w:name="_Toc11138072"/>
      <w:bookmarkStart w:id="5392" w:name="_Toc11138490"/>
      <w:bookmarkStart w:id="5393" w:name="_Toc11138908"/>
      <w:bookmarkStart w:id="5394" w:name="_Toc11139326"/>
      <w:bookmarkStart w:id="5395" w:name="_Toc11139744"/>
      <w:bookmarkStart w:id="5396" w:name="_Toc11140162"/>
      <w:bookmarkStart w:id="5397" w:name="_Toc11140580"/>
      <w:bookmarkStart w:id="5398" w:name="_Toc11390678"/>
      <w:bookmarkStart w:id="5399" w:name="_Toc11937899"/>
      <w:r>
        <w:t xml:space="preserve">Тарасова Н.Б., Конюхов Г.В., Низамов Р.Н., Давкаев Р.Ш., </w:t>
      </w:r>
      <w:r>
        <w:br/>
        <w:t>Титов А.С., Иванов И.С.</w:t>
      </w:r>
      <w:bookmarkEnd w:id="5389"/>
      <w:bookmarkEnd w:id="5390"/>
      <w:bookmarkEnd w:id="5391"/>
      <w:bookmarkEnd w:id="5392"/>
      <w:bookmarkEnd w:id="5393"/>
      <w:bookmarkEnd w:id="5394"/>
      <w:bookmarkEnd w:id="5395"/>
      <w:bookmarkEnd w:id="5396"/>
      <w:bookmarkEnd w:id="5397"/>
      <w:bookmarkEnd w:id="5398"/>
      <w:bookmarkEnd w:id="5399"/>
    </w:p>
    <w:p w:rsidR="00F4654E" w:rsidRDefault="00F4654E">
      <w:pPr>
        <w:pStyle w:val="a5"/>
      </w:pPr>
      <w:r>
        <w:t xml:space="preserve">Всероссийский научно-исследовательский ветеринарный институт </w:t>
      </w:r>
    </w:p>
    <w:p w:rsidR="00F4654E" w:rsidRDefault="00F4654E">
      <w:pPr>
        <w:pStyle w:val="a6"/>
      </w:pPr>
      <w:r>
        <w:t>Исследованиями, проведенными в последние годы, показано, что даже однократное применение ряда корпускулярных микробных препаратов, экстрактов из органов и тканей, а также эндогенных иммуномодуляторов способствует существенному повышению выживаемости облученных ж</w:t>
      </w:r>
      <w:r>
        <w:t>и</w:t>
      </w:r>
      <w:r>
        <w:t>вотных. Особый интерес в этом плане представляет препарат, разработа</w:t>
      </w:r>
      <w:r>
        <w:t>н</w:t>
      </w:r>
      <w:r>
        <w:t>ный сотрудниками отдела и представляющий собой естественный ко</w:t>
      </w:r>
      <w:r>
        <w:t>м</w:t>
      </w:r>
      <w:r>
        <w:t>плекс цитокинов периферической крови гетерологичных доноров, стим</w:t>
      </w:r>
      <w:r>
        <w:t>у</w:t>
      </w:r>
      <w:r>
        <w:t>лированных как химическими, так и физическими методами.</w:t>
      </w:r>
    </w:p>
    <w:p w:rsidR="00F4654E" w:rsidRDefault="00F4654E">
      <w:pPr>
        <w:pStyle w:val="a6"/>
      </w:pPr>
      <w:r>
        <w:t>Эксперименты проведены на белых мышах, облученных гамма-лучами цезия-137 в дозе ЛД</w:t>
      </w:r>
      <w:r>
        <w:rPr>
          <w:vertAlign w:val="subscript"/>
        </w:rPr>
        <w:t>90/30</w:t>
      </w:r>
      <w:r>
        <w:t>. Препараты вводили одно- и многократно, различными путями, в объеме от 0,1 до 0,2 см</w:t>
      </w:r>
      <w:r>
        <w:rPr>
          <w:vertAlign w:val="superscript"/>
        </w:rPr>
        <w:t>3</w:t>
      </w:r>
      <w:r>
        <w:t>.</w:t>
      </w:r>
    </w:p>
    <w:p w:rsidR="00F4654E" w:rsidRDefault="00F4654E">
      <w:pPr>
        <w:pStyle w:val="a6"/>
      </w:pPr>
      <w:r>
        <w:t>Установлено, что под влиянием препарата выживаемость облученных мышей увеличивалась до 60-70 %. Максимум лейкопении у леченых м</w:t>
      </w:r>
      <w:r>
        <w:t>ы</w:t>
      </w:r>
      <w:r>
        <w:t>шей приходился на 7-10 сут и составлял 26,7 % от нормальных значений. Изменения в красной крови проявлялись меньшим снижением гемоглоб</w:t>
      </w:r>
      <w:r>
        <w:t>и</w:t>
      </w:r>
      <w:r>
        <w:t>на и числа эритроцитов. Отмечено существенное восстановление эффе</w:t>
      </w:r>
      <w:r>
        <w:t>к</w:t>
      </w:r>
      <w:r>
        <w:t>торных функций макрофагов облученных леченых мышей, которое корр</w:t>
      </w:r>
      <w:r>
        <w:t>е</w:t>
      </w:r>
      <w:r>
        <w:t>лировало у них с нормализацией фактора некроза опухолей (ФНО) и и</w:t>
      </w:r>
      <w:r>
        <w:t>н</w:t>
      </w:r>
      <w:r>
        <w:t>терлейкином-1 (ИЛ-1), повышение бактерицидной активности клеток, меньшее снижение и более быстрое восстановление числа Т- и В-клеток.</w:t>
      </w:r>
    </w:p>
    <w:p w:rsidR="00F4654E" w:rsidRDefault="00F4654E">
      <w:pPr>
        <w:pStyle w:val="a6"/>
      </w:pPr>
      <w:r>
        <w:lastRenderedPageBreak/>
        <w:t>Лечебный эффект препаратов подтвержден и при патоморфологич</w:t>
      </w:r>
      <w:r>
        <w:t>е</w:t>
      </w:r>
      <w:r>
        <w:t>ском исследовании пострадиационных изменений органов, в частности, селезенки. Выявленные при облучении деструктивные изменения, связа</w:t>
      </w:r>
      <w:r>
        <w:t>н</w:t>
      </w:r>
      <w:r>
        <w:t>ные с клеточным распадом фолликулов органа (на месте фолликулов - большое количество распавшихся лимфоцитов, клеточной детрит) у леч</w:t>
      </w:r>
      <w:r>
        <w:t>е</w:t>
      </w:r>
      <w:r>
        <w:t>ных животных были менее выражены. Уже на третьи сутки после прим</w:t>
      </w:r>
      <w:r>
        <w:t>е</w:t>
      </w:r>
      <w:r>
        <w:t>нения лечебных препаратов отмечены признаки регенерации пульпы, ув</w:t>
      </w:r>
      <w:r>
        <w:t>е</w:t>
      </w:r>
      <w:r>
        <w:t>личение размеров фолликулов, усиление синтеза РНК в очагах лимфои</w:t>
      </w:r>
      <w:r>
        <w:t>д</w:t>
      </w:r>
      <w:r>
        <w:t>ных скоплений под капсулой, вокруг сосудов и трабекул, в красной пульпе - множество фигур митозов.</w:t>
      </w:r>
    </w:p>
    <w:p w:rsidR="00F4654E" w:rsidRDefault="00F4654E">
      <w:pPr>
        <w:pStyle w:val="a4"/>
      </w:pPr>
      <w:r>
        <w:t>УДК 619:615.37</w:t>
      </w:r>
    </w:p>
    <w:p w:rsidR="00F4654E" w:rsidRDefault="00F4654E">
      <w:pPr>
        <w:pStyle w:val="1"/>
      </w:pPr>
      <w:bookmarkStart w:id="5400" w:name="_Toc11138075"/>
      <w:bookmarkStart w:id="5401" w:name="_Toc11138493"/>
      <w:bookmarkStart w:id="5402" w:name="_Toc11138911"/>
      <w:bookmarkStart w:id="5403" w:name="_Toc11139329"/>
      <w:bookmarkStart w:id="5404" w:name="_Toc11139747"/>
      <w:bookmarkStart w:id="5405" w:name="_Toc11140165"/>
      <w:bookmarkStart w:id="5406" w:name="_Toc11140583"/>
      <w:bookmarkStart w:id="5407" w:name="_Toc11390679"/>
      <w:bookmarkStart w:id="5408" w:name="_Toc11840364"/>
      <w:bookmarkStart w:id="5409" w:name="_Toc11937900"/>
      <w:r>
        <w:t>морфологические изменения в органах и тканях у экспериментальных животных при введении препарата «стэмб»</w:t>
      </w:r>
      <w:bookmarkEnd w:id="5400"/>
      <w:bookmarkEnd w:id="5401"/>
      <w:bookmarkEnd w:id="5402"/>
      <w:bookmarkEnd w:id="5403"/>
      <w:bookmarkEnd w:id="5404"/>
      <w:bookmarkEnd w:id="5405"/>
      <w:bookmarkEnd w:id="5406"/>
      <w:bookmarkEnd w:id="5407"/>
      <w:bookmarkEnd w:id="5408"/>
      <w:bookmarkEnd w:id="5409"/>
    </w:p>
    <w:p w:rsidR="00F4654E" w:rsidRDefault="00F4654E">
      <w:pPr>
        <w:pStyle w:val="2"/>
      </w:pPr>
      <w:bookmarkStart w:id="5410" w:name="_Toc11032401"/>
      <w:bookmarkStart w:id="5411" w:name="_Toc11138076"/>
      <w:bookmarkStart w:id="5412" w:name="_Toc11138494"/>
      <w:bookmarkStart w:id="5413" w:name="_Toc11138912"/>
      <w:bookmarkStart w:id="5414" w:name="_Toc11139330"/>
      <w:bookmarkStart w:id="5415" w:name="_Toc11139748"/>
      <w:bookmarkStart w:id="5416" w:name="_Toc11140166"/>
      <w:bookmarkStart w:id="5417" w:name="_Toc11140584"/>
      <w:bookmarkStart w:id="5418" w:name="_Toc11390680"/>
      <w:bookmarkStart w:id="5419" w:name="_Toc11937901"/>
      <w:r>
        <w:t>Тимченко Л.Д., Ржепаковский И.В.</w:t>
      </w:r>
      <w:bookmarkEnd w:id="5410"/>
      <w:bookmarkEnd w:id="5411"/>
      <w:bookmarkEnd w:id="5412"/>
      <w:bookmarkEnd w:id="5413"/>
      <w:bookmarkEnd w:id="5414"/>
      <w:bookmarkEnd w:id="5415"/>
      <w:bookmarkEnd w:id="5416"/>
      <w:bookmarkEnd w:id="5417"/>
      <w:bookmarkEnd w:id="5418"/>
      <w:bookmarkEnd w:id="5419"/>
    </w:p>
    <w:p w:rsidR="00F4654E" w:rsidRDefault="00F4654E">
      <w:pPr>
        <w:pStyle w:val="a5"/>
      </w:pPr>
      <w:r>
        <w:t>Ставропольский государственный аграрный университет</w:t>
      </w:r>
    </w:p>
    <w:p w:rsidR="00F4654E" w:rsidRDefault="00F4654E">
      <w:pPr>
        <w:pStyle w:val="a6"/>
      </w:pPr>
      <w:r>
        <w:t>Иммунодефицитные состояния организма как сельскохозяйственных, так и непродуктивных животных, особенно у молодняка, получили повс</w:t>
      </w:r>
      <w:r>
        <w:t>е</w:t>
      </w:r>
      <w:r>
        <w:t>местное распространение, что особенно ярко проявляется в современных условиях хозяйствования, взаимосвязанных с неблагоприятной экологич</w:t>
      </w:r>
      <w:r>
        <w:t>е</w:t>
      </w:r>
      <w:r>
        <w:t>ской обстановкой. Именно этот факт способствует высокому уровню заб</w:t>
      </w:r>
      <w:r>
        <w:t>о</w:t>
      </w:r>
      <w:r>
        <w:t>леваемости животных уже в раннем и даже в пренатальном онтогенезе, что приводит к снижению продуктивности и высокой смертности. В связи с этим, своевременная диагностика и рациональная коррекция иммунодеф</w:t>
      </w:r>
      <w:r>
        <w:t>и</w:t>
      </w:r>
      <w:r>
        <w:t>цитов остается актуальной и диктует необходимость постоянной разрабо</w:t>
      </w:r>
      <w:r>
        <w:t>т</w:t>
      </w:r>
      <w:r>
        <w:t>ки и совершенствования новых средств и методов воздействия на имму</w:t>
      </w:r>
      <w:r>
        <w:t>н</w:t>
      </w:r>
      <w:r>
        <w:t>ную систему.</w:t>
      </w:r>
    </w:p>
    <w:p w:rsidR="00F4654E" w:rsidRDefault="00F4654E">
      <w:pPr>
        <w:pStyle w:val="a6"/>
      </w:pPr>
      <w:r>
        <w:t>С этой целью нами разработан и тестируется препарат под названием «СТЭМБ» (стимулятор эмбриональный), изготовленный из инкубирова</w:t>
      </w:r>
      <w:r>
        <w:t>н</w:t>
      </w:r>
      <w:r>
        <w:t>ных яиц, обработанных по специальной технологии. Дальнейшее испол</w:t>
      </w:r>
      <w:r>
        <w:t>ь</w:t>
      </w:r>
      <w:r>
        <w:t>зование препарата «СТЭМБ» возможно только при отсутствии отриц</w:t>
      </w:r>
      <w:r>
        <w:t>а</w:t>
      </w:r>
      <w:r>
        <w:t>тельного влияния на органы и ткани животных, а также при наличии реа</w:t>
      </w:r>
      <w:r>
        <w:t>к</w:t>
      </w:r>
      <w:r>
        <w:t>ции организма адекватной специфичности препарата. Вследствие этого проведено изучение характера морфологических изменений в различных органах и тканях лабораторных животных под влиянием препарата, пр</w:t>
      </w:r>
      <w:r>
        <w:t>и</w:t>
      </w:r>
      <w:r>
        <w:t>меняемого в ранее установленных оптимальных дозах, а также при пр</w:t>
      </w:r>
      <w:r>
        <w:t>е</w:t>
      </w:r>
      <w:r>
        <w:t>вышении их в 10 раз. В работе использовались белые крысы трехнедельн</w:t>
      </w:r>
      <w:r>
        <w:t>о</w:t>
      </w:r>
      <w:r>
        <w:t xml:space="preserve">го возраста. Они разбивались на группы по 3 крысы в каждой. Группы формировались по принципу аналогов из клинически здоровых животных. Всего брали 5 групп: животные первой группы являлись контрольными; животным второй и третьей групп вводился препарат в дозе 0,1 мл на кг </w:t>
      </w:r>
      <w:r>
        <w:lastRenderedPageBreak/>
        <w:t>живой массы три дня подряд; животным четвертой и пятой групп вводился препарат в дозе 1 мл на кг живой массы три дня подряд.</w:t>
      </w:r>
    </w:p>
    <w:p w:rsidR="00F4654E" w:rsidRDefault="00F4654E">
      <w:pPr>
        <w:pStyle w:val="a6"/>
      </w:pPr>
      <w:r>
        <w:t>Перед началом эксперимента у всех крыс бралась кровь для пригото</w:t>
      </w:r>
      <w:r>
        <w:t>в</w:t>
      </w:r>
      <w:r>
        <w:t>ления мазков и определения лейкограммы. Затем проводили отбор мат</w:t>
      </w:r>
      <w:r>
        <w:t>е</w:t>
      </w:r>
      <w:r>
        <w:t>риала для гистоисследования. От второй и четвертой групп на 4 сутки, а от первой, третьей и пятой - на 10 сутки. Одновременно с этим перед отбором гистоматериала у крыс бралась кровь для определения лейкограммы.</w:t>
      </w:r>
    </w:p>
    <w:p w:rsidR="00F4654E" w:rsidRDefault="00F4654E">
      <w:pPr>
        <w:pStyle w:val="a6"/>
      </w:pPr>
      <w:r>
        <w:t>От каждой крысы брали следующие органы: селезенка, тимус, надп</w:t>
      </w:r>
      <w:r>
        <w:t>о</w:t>
      </w:r>
      <w:r>
        <w:t>чечники, почки, печень, сердце. При отборе материала проводили патол</w:t>
      </w:r>
      <w:r>
        <w:t>о</w:t>
      </w:r>
      <w:r>
        <w:t>гоанатомическое вскрытие. При этом обнаружено увеличение селезенки у крыс второй, третьей, четвертой и пятой групп; отмечается ее бугристость и выраженность структуры на разрезе, что соответствует патологоморф</w:t>
      </w:r>
      <w:r>
        <w:t>о</w:t>
      </w:r>
      <w:r>
        <w:t>логическим признака гиперплазии органа, которая подтверждена и гист</w:t>
      </w:r>
      <w:r>
        <w:t>о</w:t>
      </w:r>
      <w:r>
        <w:t>исследованиями.</w:t>
      </w:r>
      <w:r>
        <w:rPr>
          <w:i/>
        </w:rPr>
        <w:t xml:space="preserve"> </w:t>
      </w:r>
      <w:r>
        <w:t>Обработку органов для гистоисследования проводили по общепринятой технологии, окраска срезов проводилась гематоксилином и эозином. Наиболее четко выраженные изменения по сравнению с контр</w:t>
      </w:r>
      <w:r>
        <w:t>о</w:t>
      </w:r>
      <w:r>
        <w:t>лем были получены при исследовании микроструктур селезенки, тимуса и печени во всех группах.</w:t>
      </w:r>
    </w:p>
    <w:p w:rsidR="00F4654E" w:rsidRPr="004D29CD" w:rsidRDefault="00F4654E">
      <w:pPr>
        <w:pStyle w:val="a6"/>
        <w:rPr>
          <w:spacing w:val="-2"/>
        </w:rPr>
      </w:pPr>
      <w:r w:rsidRPr="004D29CD">
        <w:rPr>
          <w:spacing w:val="-2"/>
        </w:rPr>
        <w:t>У крыс первой группы в селезенке обнаружено в поле зрения 1-2 фо</w:t>
      </w:r>
      <w:r w:rsidRPr="004D29CD">
        <w:rPr>
          <w:spacing w:val="-2"/>
        </w:rPr>
        <w:t>л</w:t>
      </w:r>
      <w:r w:rsidRPr="004D29CD">
        <w:rPr>
          <w:spacing w:val="-2"/>
        </w:rPr>
        <w:t>ликула, 71% площади занимает красная пульпа, 29% белая. В отличии от первой группы, у крыс, которым вводился препарат, в селезенке обнар</w:t>
      </w:r>
      <w:r w:rsidRPr="004D29CD">
        <w:rPr>
          <w:spacing w:val="-2"/>
        </w:rPr>
        <w:t>у</w:t>
      </w:r>
      <w:r w:rsidRPr="004D29CD">
        <w:rPr>
          <w:spacing w:val="-2"/>
        </w:rPr>
        <w:t>жена гиперемия. Кроме того наблюдалась интенсивная инфильтрация п</w:t>
      </w:r>
      <w:r w:rsidRPr="004D29CD">
        <w:rPr>
          <w:spacing w:val="-2"/>
        </w:rPr>
        <w:t>а</w:t>
      </w:r>
      <w:r w:rsidRPr="004D29CD">
        <w:rPr>
          <w:spacing w:val="-2"/>
        </w:rPr>
        <w:t>ренхимы селезенки клетками белой крови, в особенности макрофагами и плазматич</w:t>
      </w:r>
      <w:r w:rsidRPr="004D29CD">
        <w:rPr>
          <w:spacing w:val="-2"/>
        </w:rPr>
        <w:t>е</w:t>
      </w:r>
      <w:r w:rsidRPr="004D29CD">
        <w:rPr>
          <w:spacing w:val="-2"/>
        </w:rPr>
        <w:t>скими клетками, и расширение зоны белой пульпы – во второй группе до 72%, в третьей - до 70%, в четвертой - до 58% и в пятой</w:t>
      </w:r>
      <w:r w:rsidRPr="004D29CD">
        <w:rPr>
          <w:b/>
          <w:spacing w:val="-2"/>
        </w:rPr>
        <w:t xml:space="preserve"> - </w:t>
      </w:r>
      <w:r w:rsidRPr="004D29CD">
        <w:rPr>
          <w:spacing w:val="-2"/>
        </w:rPr>
        <w:t>до 69%.</w:t>
      </w:r>
    </w:p>
    <w:p w:rsidR="00F4654E" w:rsidRPr="004D29CD" w:rsidRDefault="00F4654E">
      <w:pPr>
        <w:pStyle w:val="a6"/>
        <w:rPr>
          <w:spacing w:val="-2"/>
        </w:rPr>
      </w:pPr>
      <w:r w:rsidRPr="004D29CD">
        <w:rPr>
          <w:spacing w:val="-2"/>
        </w:rPr>
        <w:t>В тимусе у крыс опытных групп, по сравнению с контролем, обнар</w:t>
      </w:r>
      <w:r w:rsidRPr="004D29CD">
        <w:rPr>
          <w:spacing w:val="-2"/>
        </w:rPr>
        <w:t>у</w:t>
      </w:r>
      <w:r w:rsidRPr="004D29CD">
        <w:rPr>
          <w:spacing w:val="-2"/>
        </w:rPr>
        <w:t>жены гиперемия и лимфоидные инфильтраты вокруг сосудов, а также х</w:t>
      </w:r>
      <w:r w:rsidRPr="004D29CD">
        <w:rPr>
          <w:spacing w:val="-2"/>
        </w:rPr>
        <w:t>о</w:t>
      </w:r>
      <w:r w:rsidRPr="004D29CD">
        <w:rPr>
          <w:spacing w:val="-2"/>
        </w:rPr>
        <w:t>рошо выраженная граница между корковым и мозговым веществом. Разм</w:t>
      </w:r>
      <w:r w:rsidRPr="004D29CD">
        <w:rPr>
          <w:spacing w:val="-2"/>
        </w:rPr>
        <w:t>е</w:t>
      </w:r>
      <w:r w:rsidRPr="004D29CD">
        <w:rPr>
          <w:spacing w:val="-2"/>
        </w:rPr>
        <w:t>ры долек в разных группах варьировали: так в контроле средняя пл</w:t>
      </w:r>
      <w:r w:rsidRPr="004D29CD">
        <w:rPr>
          <w:spacing w:val="-2"/>
        </w:rPr>
        <w:t>о</w:t>
      </w:r>
      <w:r w:rsidRPr="004D29CD">
        <w:rPr>
          <w:spacing w:val="-2"/>
        </w:rPr>
        <w:t>щадь дольки с</w:t>
      </w:r>
      <w:r w:rsidRPr="004D29CD">
        <w:rPr>
          <w:spacing w:val="-2"/>
        </w:rPr>
        <w:t>о</w:t>
      </w:r>
      <w:r w:rsidRPr="004D29CD">
        <w:rPr>
          <w:spacing w:val="-2"/>
        </w:rPr>
        <w:t xml:space="preserve">ставила 5,4 </w:t>
      </w:r>
      <w:r w:rsidRPr="004D29CD">
        <w:rPr>
          <w:spacing w:val="-2"/>
        </w:rPr>
        <w:sym w:font="Symbol" w:char="F0B1"/>
      </w:r>
      <w:r w:rsidRPr="004D29CD">
        <w:rPr>
          <w:spacing w:val="-2"/>
        </w:rPr>
        <w:t>0,1</w:t>
      </w:r>
      <w:r w:rsidR="004D29CD" w:rsidRPr="004D29CD">
        <w:rPr>
          <w:spacing w:val="-2"/>
        </w:rPr>
        <w:t xml:space="preserve"> мм</w:t>
      </w:r>
      <w:r w:rsidR="004D29CD" w:rsidRPr="004D29CD">
        <w:rPr>
          <w:spacing w:val="-2"/>
          <w:vertAlign w:val="superscript"/>
        </w:rPr>
        <w:t>2</w:t>
      </w:r>
      <w:r w:rsidRPr="004D29CD">
        <w:rPr>
          <w:spacing w:val="-2"/>
        </w:rPr>
        <w:t xml:space="preserve">; во второй группе - 5,84 </w:t>
      </w:r>
      <w:r w:rsidRPr="004D29CD">
        <w:rPr>
          <w:spacing w:val="-2"/>
        </w:rPr>
        <w:sym w:font="Symbol" w:char="F0B1"/>
      </w:r>
      <w:r w:rsidRPr="004D29CD">
        <w:rPr>
          <w:spacing w:val="-2"/>
        </w:rPr>
        <w:t>0,12</w:t>
      </w:r>
      <w:r w:rsidR="004D29CD" w:rsidRPr="004D29CD">
        <w:rPr>
          <w:spacing w:val="-2"/>
        </w:rPr>
        <w:t xml:space="preserve"> мм</w:t>
      </w:r>
      <w:r w:rsidR="004D29CD" w:rsidRPr="004D29CD">
        <w:rPr>
          <w:spacing w:val="-2"/>
          <w:vertAlign w:val="superscript"/>
        </w:rPr>
        <w:t>2</w:t>
      </w:r>
      <w:r w:rsidRPr="004D29CD">
        <w:rPr>
          <w:spacing w:val="-2"/>
        </w:rPr>
        <w:t xml:space="preserve">; в третьей - 7,82 </w:t>
      </w:r>
      <w:r w:rsidRPr="004D29CD">
        <w:rPr>
          <w:spacing w:val="-2"/>
        </w:rPr>
        <w:sym w:font="Symbol" w:char="F0B1"/>
      </w:r>
      <w:r w:rsidRPr="004D29CD">
        <w:rPr>
          <w:spacing w:val="-2"/>
        </w:rPr>
        <w:t>0,11</w:t>
      </w:r>
      <w:r w:rsidR="004D29CD" w:rsidRPr="004D29CD">
        <w:rPr>
          <w:spacing w:val="-2"/>
        </w:rPr>
        <w:t xml:space="preserve"> мм</w:t>
      </w:r>
      <w:r w:rsidR="004D29CD" w:rsidRPr="004D29CD">
        <w:rPr>
          <w:spacing w:val="-2"/>
          <w:vertAlign w:val="superscript"/>
        </w:rPr>
        <w:t>2</w:t>
      </w:r>
      <w:r w:rsidRPr="004D29CD">
        <w:rPr>
          <w:spacing w:val="-2"/>
        </w:rPr>
        <w:t xml:space="preserve">; в четвертой - 5,9 </w:t>
      </w:r>
      <w:r w:rsidRPr="004D29CD">
        <w:rPr>
          <w:spacing w:val="-2"/>
        </w:rPr>
        <w:sym w:font="Symbol" w:char="F0B1"/>
      </w:r>
      <w:r w:rsidRPr="004D29CD">
        <w:rPr>
          <w:spacing w:val="-2"/>
        </w:rPr>
        <w:t xml:space="preserve">0,19 </w:t>
      </w:r>
      <w:r w:rsidR="004D29CD" w:rsidRPr="004D29CD">
        <w:rPr>
          <w:spacing w:val="-2"/>
        </w:rPr>
        <w:t>мм</w:t>
      </w:r>
      <w:r w:rsidR="004D29CD" w:rsidRPr="004D29CD">
        <w:rPr>
          <w:spacing w:val="-2"/>
          <w:vertAlign w:val="superscript"/>
        </w:rPr>
        <w:t xml:space="preserve">2 </w:t>
      </w:r>
      <w:r w:rsidRPr="004D29CD">
        <w:rPr>
          <w:spacing w:val="-2"/>
        </w:rPr>
        <w:t xml:space="preserve">и в пятой - 9,15 </w:t>
      </w:r>
      <w:r w:rsidRPr="004D29CD">
        <w:rPr>
          <w:spacing w:val="-2"/>
        </w:rPr>
        <w:sym w:font="Symbol" w:char="F0B1"/>
      </w:r>
      <w:r w:rsidRPr="004D29CD">
        <w:rPr>
          <w:spacing w:val="-2"/>
        </w:rPr>
        <w:t>0,2</w:t>
      </w:r>
      <w:r w:rsidR="004D29CD" w:rsidRPr="004D29CD">
        <w:rPr>
          <w:spacing w:val="-2"/>
        </w:rPr>
        <w:t xml:space="preserve"> мм</w:t>
      </w:r>
      <w:r w:rsidR="004D29CD" w:rsidRPr="004D29CD">
        <w:rPr>
          <w:spacing w:val="-2"/>
          <w:vertAlign w:val="superscript"/>
        </w:rPr>
        <w:t>2</w:t>
      </w:r>
      <w:r w:rsidRPr="004D29CD">
        <w:rPr>
          <w:spacing w:val="-2"/>
        </w:rPr>
        <w:t>.</w:t>
      </w:r>
    </w:p>
    <w:p w:rsidR="00F4654E" w:rsidRDefault="00F4654E">
      <w:pPr>
        <w:pStyle w:val="a6"/>
      </w:pPr>
      <w:r>
        <w:t>В печени у крыс второй и третьей групп обнаружена гиперемия, ско</w:t>
      </w:r>
      <w:r>
        <w:t>п</w:t>
      </w:r>
      <w:r>
        <w:t>ление лимфоцитов вокруг сосудов и синусов. Цитоплазма гепатоцитов просветлена, а ядро и мембрана хорошо просматриваются и, в отличии от контроля,</w:t>
      </w:r>
      <w:r>
        <w:rPr>
          <w:b/>
        </w:rPr>
        <w:t xml:space="preserve"> </w:t>
      </w:r>
      <w:r>
        <w:t>увеличивается количество крупных и делящихся клеток, что по-видимому свидетельствует об усилении обмена в печени. У крыс четве</w:t>
      </w:r>
      <w:r>
        <w:t>р</w:t>
      </w:r>
      <w:r>
        <w:t>той и пятой групп, по сравнению с другими группами, в печени обнаруж</w:t>
      </w:r>
      <w:r>
        <w:t>е</w:t>
      </w:r>
      <w:r>
        <w:t>на</w:t>
      </w:r>
      <w:r>
        <w:rPr>
          <w:b/>
        </w:rPr>
        <w:t xml:space="preserve"> </w:t>
      </w:r>
      <w:r>
        <w:t>выраженная</w:t>
      </w:r>
      <w:r>
        <w:rPr>
          <w:b/>
        </w:rPr>
        <w:t xml:space="preserve"> </w:t>
      </w:r>
      <w:r>
        <w:t>гиперемия и скопление лимфоцитов вокруг кровеносных сосудов и между долек, гиперплазия эндотелия сосудов, а также местами вакуолизация гепатоцитов. При изучении лейкограммы во всех опытных группах крыс, в отличии от контроля, наблюдалась увеличение процента сегментоядерных нейтрофилов и моноцитов.</w:t>
      </w:r>
    </w:p>
    <w:p w:rsidR="00F4654E" w:rsidRDefault="00F4654E">
      <w:pPr>
        <w:pStyle w:val="a6"/>
      </w:pPr>
      <w:r>
        <w:lastRenderedPageBreak/>
        <w:t>Анализ полученных результатов позволил сделать вывод, что при введении оптимальной дозы препарата «СТЭМБ» - 0,1 мл на кг живой ма</w:t>
      </w:r>
      <w:r>
        <w:t>с</w:t>
      </w:r>
      <w:r>
        <w:t>сы - происходят</w:t>
      </w:r>
      <w:r>
        <w:rPr>
          <w:b/>
        </w:rPr>
        <w:t xml:space="preserve"> </w:t>
      </w:r>
      <w:r>
        <w:t>морфологические изменения в лимфоидных органах, пр</w:t>
      </w:r>
      <w:r>
        <w:t>е</w:t>
      </w:r>
      <w:r>
        <w:t>имущественно в селезенке и тимусе, свидетельствующие об активизации иммунного ответа. Препарат «СТЭМБ» оказывает стимулирующее вли</w:t>
      </w:r>
      <w:r>
        <w:t>я</w:t>
      </w:r>
      <w:r>
        <w:t>ние на уровень обмена веществ, что подтверждается морфологическими изменениями в печени. Все это позволяет нам рекомендовать препарат «СТЭМБ» для дальнейшего применения сельскохозяйственным животным в качестве иммуномодулятора и стимулятора роста.</w:t>
      </w:r>
    </w:p>
    <w:p w:rsidR="00F4654E" w:rsidRDefault="00F4654E">
      <w:pPr>
        <w:pStyle w:val="a4"/>
      </w:pPr>
      <w:r>
        <w:t>УДК 619:616-006</w:t>
      </w:r>
    </w:p>
    <w:p w:rsidR="00F4654E" w:rsidRDefault="00F4654E">
      <w:pPr>
        <w:pStyle w:val="1"/>
      </w:pPr>
      <w:bookmarkStart w:id="5420" w:name="_Toc11138077"/>
      <w:bookmarkStart w:id="5421" w:name="_Toc11138495"/>
      <w:bookmarkStart w:id="5422" w:name="_Toc11138913"/>
      <w:bookmarkStart w:id="5423" w:name="_Toc11139331"/>
      <w:bookmarkStart w:id="5424" w:name="_Toc11139749"/>
      <w:bookmarkStart w:id="5425" w:name="_Toc11140167"/>
      <w:bookmarkStart w:id="5426" w:name="_Toc11140585"/>
      <w:bookmarkStart w:id="5427" w:name="_Toc11390681"/>
      <w:bookmarkStart w:id="5428" w:name="_Toc11840366"/>
      <w:bookmarkStart w:id="5429" w:name="_Toc11937902"/>
      <w:r>
        <w:t>О РОЛИ ВОЗРАСТА ПРИ ОПУХОЛЯХ МОЛОЧНОЙ ЖЕЛЕЗЫ У СОБАК</w:t>
      </w:r>
      <w:bookmarkEnd w:id="5420"/>
      <w:bookmarkEnd w:id="5421"/>
      <w:bookmarkEnd w:id="5422"/>
      <w:bookmarkEnd w:id="5423"/>
      <w:bookmarkEnd w:id="5424"/>
      <w:bookmarkEnd w:id="5425"/>
      <w:bookmarkEnd w:id="5426"/>
      <w:bookmarkEnd w:id="5427"/>
      <w:bookmarkEnd w:id="5428"/>
      <w:bookmarkEnd w:id="5429"/>
    </w:p>
    <w:p w:rsidR="00F4654E" w:rsidRDefault="00F4654E">
      <w:pPr>
        <w:pStyle w:val="2"/>
      </w:pPr>
      <w:bookmarkStart w:id="5430" w:name="_Toc11032402"/>
      <w:bookmarkStart w:id="5431" w:name="_Toc11138078"/>
      <w:bookmarkStart w:id="5432" w:name="_Toc11138496"/>
      <w:bookmarkStart w:id="5433" w:name="_Toc11138914"/>
      <w:bookmarkStart w:id="5434" w:name="_Toc11139332"/>
      <w:bookmarkStart w:id="5435" w:name="_Toc11139750"/>
      <w:bookmarkStart w:id="5436" w:name="_Toc11140168"/>
      <w:bookmarkStart w:id="5437" w:name="_Toc11140586"/>
      <w:bookmarkStart w:id="5438" w:name="_Toc11390682"/>
      <w:bookmarkStart w:id="5439" w:name="_Toc11937903"/>
      <w:r>
        <w:t>Тимченко Л.Д., Саркисян И.Х.*</w:t>
      </w:r>
      <w:bookmarkEnd w:id="5430"/>
      <w:bookmarkEnd w:id="5431"/>
      <w:bookmarkEnd w:id="5432"/>
      <w:bookmarkEnd w:id="5433"/>
      <w:bookmarkEnd w:id="5434"/>
      <w:bookmarkEnd w:id="5435"/>
      <w:bookmarkEnd w:id="5436"/>
      <w:bookmarkEnd w:id="5437"/>
      <w:bookmarkEnd w:id="5438"/>
      <w:bookmarkEnd w:id="5439"/>
    </w:p>
    <w:p w:rsidR="00F4654E" w:rsidRDefault="00F4654E">
      <w:pPr>
        <w:pStyle w:val="a5"/>
      </w:pPr>
      <w:r>
        <w:t xml:space="preserve">Ставропольский государственный аграрный университет </w:t>
      </w:r>
      <w:r>
        <w:br/>
        <w:t>*Армавирский зооветеринарный техникум</w:t>
      </w:r>
    </w:p>
    <w:p w:rsidR="00F4654E" w:rsidRDefault="00F4654E">
      <w:pPr>
        <w:pStyle w:val="a6"/>
      </w:pPr>
      <w:r>
        <w:t>Борьбу со злокачественными новообразованиями, получившими в п</w:t>
      </w:r>
      <w:r>
        <w:t>о</w:t>
      </w:r>
      <w:r>
        <w:t>следнее время широкое распространение, по праву можно отнести к одной из важнейших и наиболее актуальных проблем не только медицинской и ветеринарной наук, но и биологии в целом.</w:t>
      </w:r>
    </w:p>
    <w:p w:rsidR="00F4654E" w:rsidRDefault="00F4654E">
      <w:pPr>
        <w:pStyle w:val="a6"/>
      </w:pPr>
      <w:r>
        <w:t>Онкология, как ни одна другая наука, отличается многообразием те</w:t>
      </w:r>
      <w:r>
        <w:t>о</w:t>
      </w:r>
      <w:r>
        <w:t>рий возникновения и развития опухолей. Несмотря на это, вопрос о прич</w:t>
      </w:r>
      <w:r>
        <w:t>и</w:t>
      </w:r>
      <w:r>
        <w:t>нах новообразования остается на сегодняшний день  открытым и перв</w:t>
      </w:r>
      <w:r>
        <w:t>о</w:t>
      </w:r>
      <w:r>
        <w:t>очередным для решения.</w:t>
      </w:r>
    </w:p>
    <w:p w:rsidR="00F4654E" w:rsidRDefault="00F4654E">
      <w:pPr>
        <w:pStyle w:val="a6"/>
      </w:pPr>
      <w:r>
        <w:t>Не исключена и такая возможность, что в потоке обширной информ</w:t>
      </w:r>
      <w:r>
        <w:t>а</w:t>
      </w:r>
      <w:r>
        <w:t>ции о современном понимании природы и механизма рака уже прозвучали фрагменты истины. Тем не менее, «полная последовательная картина ген</w:t>
      </w:r>
      <w:r>
        <w:t>е</w:t>
      </w:r>
      <w:r>
        <w:t>тических процессов, приводящих клетку к опухолевой трансформации, п</w:t>
      </w:r>
      <w:r>
        <w:t>о</w:t>
      </w:r>
      <w:r>
        <w:t>ка отсутствует. Природа этих изменений, факторы, стимулирующие эти изменения, пока еще остаются (в большинстве случаев) загадкой…» (Л.Л. Киселев и др., 1990).</w:t>
      </w:r>
    </w:p>
    <w:p w:rsidR="00F4654E" w:rsidRDefault="00F4654E">
      <w:pPr>
        <w:pStyle w:val="a6"/>
      </w:pPr>
      <w:r>
        <w:t>Радикальное решение проблемы возможно, по-нашему мнению, тол</w:t>
      </w:r>
      <w:r>
        <w:t>ь</w:t>
      </w:r>
      <w:r>
        <w:t>ко при условии творческого научно-обоснованного объединения всех с</w:t>
      </w:r>
      <w:r>
        <w:t>у</w:t>
      </w:r>
      <w:r>
        <w:t>ществующих взглядов на этиологию и патогенез опухолей с целью созд</w:t>
      </w:r>
      <w:r>
        <w:t>а</w:t>
      </w:r>
      <w:r>
        <w:t>ния концептуального обобщенной единой теории.</w:t>
      </w:r>
    </w:p>
    <w:p w:rsidR="00F4654E" w:rsidRDefault="00F4654E">
      <w:pPr>
        <w:pStyle w:val="a6"/>
      </w:pPr>
      <w:r>
        <w:t>Для этого необходимо расширение клинико-экспериментального н</w:t>
      </w:r>
      <w:r>
        <w:t>а</w:t>
      </w:r>
      <w:r>
        <w:t>правления в онкологии, продолжения всестороннего изучения закономе</w:t>
      </w:r>
      <w:r>
        <w:t>р</w:t>
      </w:r>
      <w:r>
        <w:t>ностей опухолевого роста, как в видовом аспекте, так и в каждом отдел</w:t>
      </w:r>
      <w:r>
        <w:t>ь</w:t>
      </w:r>
      <w:r>
        <w:t>ном случае, с сопоставлением вновь полученных результатов с сущес</w:t>
      </w:r>
      <w:r>
        <w:t>т</w:t>
      </w:r>
      <w:r>
        <w:t>вующими концепциями этиопатогенеза новообразований.</w:t>
      </w:r>
    </w:p>
    <w:p w:rsidR="00F4654E" w:rsidRDefault="00F4654E">
      <w:pPr>
        <w:pStyle w:val="a6"/>
      </w:pPr>
      <w:r>
        <w:t>Одним из наиболее интересных и недостаточно изученных является вопрос о влиянии возраста на возникновение и патогенез опухолей.</w:t>
      </w:r>
    </w:p>
    <w:p w:rsidR="00F4654E" w:rsidRDefault="00F4654E">
      <w:pPr>
        <w:pStyle w:val="a6"/>
      </w:pPr>
      <w:r>
        <w:lastRenderedPageBreak/>
        <w:t>Дильман В.М. и др. (1972) считают возрастной фактор «естественным канцерогеном», предпринимая попытки объяснить взаимосвязь появления опухоли с различными функциональными нарушениями в организме чел</w:t>
      </w:r>
      <w:r>
        <w:t>о</w:t>
      </w:r>
      <w:r>
        <w:t>века и животных. Имеется достаточно сообщений о существовании в онт</w:t>
      </w:r>
      <w:r>
        <w:t>о</w:t>
      </w:r>
      <w:r>
        <w:t>генезе критических возрастных периодов в отношении развития опухолей (А.Е. Вершигора, 1990; Макаров А.К., Сенькова Т.М., 1998; Терехов П.Ф., 1983 и другие).</w:t>
      </w:r>
    </w:p>
    <w:p w:rsidR="00F4654E" w:rsidRDefault="00F4654E">
      <w:pPr>
        <w:pStyle w:val="a6"/>
      </w:pPr>
      <w:r>
        <w:t>Но все же эти сведения разноречивы и не концептуальны. Не уточн</w:t>
      </w:r>
      <w:r>
        <w:t>е</w:t>
      </w:r>
      <w:r>
        <w:t>ны и периоды предрасположенности к возникновению доброкачественных и злокачественных новообразований. В связи с этим остается актуальной необходимость проведения всестороннего ретроспективного анализа и клинико-экспериментальных исследований по изучению закономерностей возникновения и развития опухолей в у животных в различные периоды онтогенеза.</w:t>
      </w:r>
    </w:p>
    <w:p w:rsidR="00F4654E" w:rsidRDefault="00F4654E">
      <w:pPr>
        <w:pStyle w:val="a6"/>
      </w:pPr>
      <w:r>
        <w:t>Исследования проводили на 68 собаках в возрасте от 2 до 13 лет. В з</w:t>
      </w:r>
      <w:r>
        <w:t>а</w:t>
      </w:r>
      <w:r>
        <w:t>дачи входило наблюдение за самками с опухолями молочной железы, в к</w:t>
      </w:r>
      <w:r>
        <w:t>а</w:t>
      </w:r>
      <w:r>
        <w:t>честве одной их наиболее частой форм онкологической патологии у данн</w:t>
      </w:r>
      <w:r>
        <w:t>о</w:t>
      </w:r>
      <w:r>
        <w:t>го вида животных. Клинические наблюдения, оперативное вмешательство и патоморфологические исследования осуществлялись в ветеринарной клинике Ставропольской государственной сельскохозяйственной академии и на базе частных ветеринарных клиник г. Ставрополя и г. Армавира.</w:t>
      </w:r>
    </w:p>
    <w:p w:rsidR="00F4654E" w:rsidRPr="004D29CD" w:rsidRDefault="00F4654E">
      <w:pPr>
        <w:pStyle w:val="a6"/>
        <w:rPr>
          <w:spacing w:val="-2"/>
        </w:rPr>
      </w:pPr>
      <w:r w:rsidRPr="004D29CD">
        <w:rPr>
          <w:spacing w:val="-2"/>
        </w:rPr>
        <w:t>Установлено, что среди первично диагностированных опухолей на м</w:t>
      </w:r>
      <w:r w:rsidRPr="004D29CD">
        <w:rPr>
          <w:spacing w:val="-2"/>
        </w:rPr>
        <w:t>о</w:t>
      </w:r>
      <w:r w:rsidRPr="004D29CD">
        <w:rPr>
          <w:spacing w:val="-2"/>
        </w:rPr>
        <w:t>мент исследования 71,3% были злокачественными, зачастую, осложненн</w:t>
      </w:r>
      <w:r w:rsidRPr="004D29CD">
        <w:rPr>
          <w:spacing w:val="-2"/>
        </w:rPr>
        <w:t>ы</w:t>
      </w:r>
      <w:r w:rsidRPr="004D29CD">
        <w:rPr>
          <w:spacing w:val="-2"/>
        </w:rPr>
        <w:t>ми ухудшением общего состояния организма, что и послужило прич</w:t>
      </w:r>
      <w:r w:rsidRPr="004D29CD">
        <w:rPr>
          <w:spacing w:val="-2"/>
        </w:rPr>
        <w:t>и</w:t>
      </w:r>
      <w:r w:rsidRPr="004D29CD">
        <w:rPr>
          <w:spacing w:val="-2"/>
        </w:rPr>
        <w:t>ной обращения к ветеринарному врачу. В гистоморфологическим отнош</w:t>
      </w:r>
      <w:r w:rsidRPr="004D29CD">
        <w:rPr>
          <w:spacing w:val="-2"/>
        </w:rPr>
        <w:t>е</w:t>
      </w:r>
      <w:r w:rsidRPr="004D29CD">
        <w:rPr>
          <w:spacing w:val="-2"/>
        </w:rPr>
        <w:t>нии большинство образований классифицированы нами, как аденокарц</w:t>
      </w:r>
      <w:r w:rsidRPr="004D29CD">
        <w:rPr>
          <w:spacing w:val="-2"/>
        </w:rPr>
        <w:t>и</w:t>
      </w:r>
      <w:r w:rsidRPr="004D29CD">
        <w:rPr>
          <w:spacing w:val="-2"/>
        </w:rPr>
        <w:t>номы и фи</w:t>
      </w:r>
      <w:r w:rsidRPr="004D29CD">
        <w:rPr>
          <w:spacing w:val="-2"/>
        </w:rPr>
        <w:t>б</w:t>
      </w:r>
      <w:r w:rsidRPr="004D29CD">
        <w:rPr>
          <w:spacing w:val="-2"/>
        </w:rPr>
        <w:t>росаркомы различных типов. При длительном течении болезни (свыше пол</w:t>
      </w:r>
      <w:r w:rsidRPr="004D29CD">
        <w:rPr>
          <w:spacing w:val="-2"/>
        </w:rPr>
        <w:t>у</w:t>
      </w:r>
      <w:r w:rsidRPr="004D29CD">
        <w:rPr>
          <w:spacing w:val="-2"/>
        </w:rPr>
        <w:t>тора лет), отмечены сложные по структуре, множественные смешанные злокачественные опухоли. Морфологическая типизация таких опухолей проведена нами, как правило, значительно позже их появления и классиф</w:t>
      </w:r>
      <w:r w:rsidRPr="004D29CD">
        <w:rPr>
          <w:spacing w:val="-2"/>
        </w:rPr>
        <w:t>и</w:t>
      </w:r>
      <w:r w:rsidRPr="004D29CD">
        <w:rPr>
          <w:spacing w:val="-2"/>
        </w:rPr>
        <w:t>цированы нами, как вторично диагностируемые, являющиеся, зачастую, следствием озлокачествления первично доброкачественных пр</w:t>
      </w:r>
      <w:r w:rsidRPr="004D29CD">
        <w:rPr>
          <w:spacing w:val="-2"/>
        </w:rPr>
        <w:t>о</w:t>
      </w:r>
      <w:r w:rsidRPr="004D29CD">
        <w:rPr>
          <w:spacing w:val="-2"/>
        </w:rPr>
        <w:t>цессов.</w:t>
      </w:r>
    </w:p>
    <w:p w:rsidR="00F4654E" w:rsidRDefault="00F4654E">
      <w:pPr>
        <w:pStyle w:val="a6"/>
      </w:pPr>
      <w:r>
        <w:t xml:space="preserve">Из доброкачественные наиболее часто встречаются фиброаденомы, кисты и гиперпластические процессы (мастопатии). </w:t>
      </w:r>
    </w:p>
    <w:p w:rsidR="00F4654E" w:rsidRDefault="00F4654E">
      <w:pPr>
        <w:pStyle w:val="a6"/>
      </w:pPr>
      <w:r>
        <w:t>Отмечено что образование различных гистоморфологических типов опухолей встречаются в различные возрастные периоды. Так, например, первично злокачественные аденокарциномы и другие карциномы разли</w:t>
      </w:r>
      <w:r>
        <w:t>ч</w:t>
      </w:r>
      <w:r>
        <w:t>ных типов обнаружены нами в 60% случаев в возрасте от 6-8 лет; в 30% случаев – в возрасте 11-13 лет и в 10% - в возрасте от 2 до 2,5 лет, от числа всех случае опухолей этого гистологического типа.</w:t>
      </w:r>
    </w:p>
    <w:p w:rsidR="00F4654E" w:rsidRDefault="00F4654E">
      <w:pPr>
        <w:pStyle w:val="a6"/>
      </w:pPr>
      <w:r>
        <w:t>Первично злокачественные соединительнотканные опухоли зарегис</w:t>
      </w:r>
      <w:r>
        <w:t>т</w:t>
      </w:r>
      <w:r>
        <w:t>рированы преимущественно в возрастной период с 7 до 9 лет (70%), с 12 до 13 лет (20%) и с 3 до 4 лет (10%).</w:t>
      </w:r>
    </w:p>
    <w:p w:rsidR="00F4654E" w:rsidRDefault="00F4654E">
      <w:pPr>
        <w:pStyle w:val="a6"/>
      </w:pPr>
      <w:r>
        <w:lastRenderedPageBreak/>
        <w:t>Доброкачественные опухолевые процессы из эпителиальных элеме</w:t>
      </w:r>
      <w:r>
        <w:t>н</w:t>
      </w:r>
      <w:r>
        <w:t>тов в молочной железе у собак отмечены преимущественно в возрастных периодах о 3,5 до 5 лет и от 7,5 до 10 лет, примерно в равных количестве</w:t>
      </w:r>
      <w:r>
        <w:t>н</w:t>
      </w:r>
      <w:r>
        <w:t>ных соотношениях (приблизительно по 45%). Примерно 10% от числа всех опухолей этого типа приходится в сумме на возраста от 1,5 до 2 лет и старше 13 лет.</w:t>
      </w:r>
    </w:p>
    <w:p w:rsidR="00F4654E" w:rsidRDefault="00F4654E">
      <w:pPr>
        <w:pStyle w:val="a6"/>
      </w:pPr>
      <w:r>
        <w:t>Наблюдения на протяжении всей болезни в динамике при длительно протекающих опухолевых процессах, показывают, что в 90% случаев пе</w:t>
      </w:r>
      <w:r>
        <w:t>р</w:t>
      </w:r>
      <w:r>
        <w:t>вичная регистрация опухоли и ее морфологическая идентификация не со</w:t>
      </w:r>
      <w:r>
        <w:t>в</w:t>
      </w:r>
      <w:r>
        <w:t>падают с начальным моментом ее формирования. Величина периода диа</w:t>
      </w:r>
      <w:r>
        <w:t>г</w:t>
      </w:r>
      <w:r>
        <w:t>ностического опоздания в среднем у собак при опухолях молочной железы составляет от 6 до 18 месяцев.</w:t>
      </w:r>
    </w:p>
    <w:p w:rsidR="00F4654E" w:rsidRDefault="00F4654E">
      <w:pPr>
        <w:pStyle w:val="a6"/>
      </w:pPr>
      <w:r>
        <w:t>Таким образом, установлено, что развитие доброкачественных и зл</w:t>
      </w:r>
      <w:r>
        <w:t>о</w:t>
      </w:r>
      <w:r>
        <w:t>качественных новообразований у собак отмечено во всех изучаемых во</w:t>
      </w:r>
      <w:r>
        <w:t>з</w:t>
      </w:r>
      <w:r>
        <w:t>растных периодах, то есть от 2 до 13 лет. Причем наибольший пик инте</w:t>
      </w:r>
      <w:r>
        <w:t>н</w:t>
      </w:r>
      <w:r>
        <w:t>сивности регистрации злокачественных новообразований всех типов пр</w:t>
      </w:r>
      <w:r>
        <w:t>и</w:t>
      </w:r>
      <w:r>
        <w:t>ходится на возрастной период опухолей 7 до 10 лет, а доброкачественных - с 4 до 7 лет Установлены предпосылки к установлению конкретных крит</w:t>
      </w:r>
      <w:r>
        <w:t>и</w:t>
      </w:r>
      <w:r>
        <w:t>ческих сроков возрастной предрасположенности возникновения отдельных видов опухолей, с четкими различиями в зависимости от степени их злок</w:t>
      </w:r>
      <w:r>
        <w:t>а</w:t>
      </w:r>
      <w:r>
        <w:t>чественности и гистоморфологических особенностей.</w:t>
      </w:r>
    </w:p>
    <w:p w:rsidR="00F4654E" w:rsidRDefault="00F4654E">
      <w:pPr>
        <w:pStyle w:val="a4"/>
      </w:pPr>
      <w:r>
        <w:t xml:space="preserve">УДК 616.981.718:576.314636.12 </w:t>
      </w:r>
    </w:p>
    <w:p w:rsidR="00F4654E" w:rsidRDefault="00F4654E">
      <w:pPr>
        <w:pStyle w:val="1"/>
      </w:pPr>
      <w:bookmarkStart w:id="5440" w:name="_Toc11138079"/>
      <w:bookmarkStart w:id="5441" w:name="_Toc11138497"/>
      <w:bookmarkStart w:id="5442" w:name="_Toc11138915"/>
      <w:bookmarkStart w:id="5443" w:name="_Toc11139333"/>
      <w:bookmarkStart w:id="5444" w:name="_Toc11139751"/>
      <w:bookmarkStart w:id="5445" w:name="_Toc11140169"/>
      <w:bookmarkStart w:id="5446" w:name="_Toc11140587"/>
      <w:bookmarkStart w:id="5447" w:name="_Toc11390683"/>
      <w:bookmarkStart w:id="5448" w:name="_Toc11840368"/>
      <w:bookmarkStart w:id="5449" w:name="_Toc11937904"/>
      <w:r>
        <w:t>КЛЕЩИ КАК ПУТЬ ФОРМИРОВАНИЯ ПРИРОДНЫХ ОЧАГОВ КОКСИЕЛЛЕЗА В СТАВРОПОЛЬСКОМ КРАЕ</w:t>
      </w:r>
      <w:bookmarkEnd w:id="5440"/>
      <w:bookmarkEnd w:id="5441"/>
      <w:bookmarkEnd w:id="5442"/>
      <w:bookmarkEnd w:id="5443"/>
      <w:bookmarkEnd w:id="5444"/>
      <w:bookmarkEnd w:id="5445"/>
      <w:bookmarkEnd w:id="5446"/>
      <w:bookmarkEnd w:id="5447"/>
      <w:bookmarkEnd w:id="5448"/>
      <w:bookmarkEnd w:id="5449"/>
    </w:p>
    <w:p w:rsidR="00F4654E" w:rsidRDefault="00F4654E">
      <w:pPr>
        <w:pStyle w:val="2"/>
      </w:pPr>
      <w:bookmarkStart w:id="5450" w:name="_Toc11032403"/>
      <w:bookmarkStart w:id="5451" w:name="_Toc11138080"/>
      <w:bookmarkStart w:id="5452" w:name="_Toc11138498"/>
      <w:bookmarkStart w:id="5453" w:name="_Toc11138916"/>
      <w:bookmarkStart w:id="5454" w:name="_Toc11139334"/>
      <w:bookmarkStart w:id="5455" w:name="_Toc11139752"/>
      <w:bookmarkStart w:id="5456" w:name="_Toc11140170"/>
      <w:bookmarkStart w:id="5457" w:name="_Toc11140588"/>
      <w:bookmarkStart w:id="5458" w:name="_Toc11390684"/>
      <w:bookmarkStart w:id="5459" w:name="_Toc11937905"/>
      <w:r>
        <w:t>Тимченко Л.Д., Тинькова Е.Л.</w:t>
      </w:r>
      <w:bookmarkEnd w:id="5450"/>
      <w:bookmarkEnd w:id="5451"/>
      <w:bookmarkEnd w:id="5452"/>
      <w:bookmarkEnd w:id="5453"/>
      <w:bookmarkEnd w:id="5454"/>
      <w:bookmarkEnd w:id="5455"/>
      <w:bookmarkEnd w:id="5456"/>
      <w:bookmarkEnd w:id="5457"/>
      <w:bookmarkEnd w:id="5458"/>
      <w:bookmarkEnd w:id="5459"/>
    </w:p>
    <w:p w:rsidR="00F4654E" w:rsidRDefault="00F4654E">
      <w:pPr>
        <w:pStyle w:val="a5"/>
      </w:pPr>
      <w:r>
        <w:t xml:space="preserve">Ставропольский государственный аграрный университет </w:t>
      </w:r>
    </w:p>
    <w:p w:rsidR="00F4654E" w:rsidRDefault="00F4654E">
      <w:pPr>
        <w:pStyle w:val="a6"/>
      </w:pPr>
      <w:r>
        <w:t>Коксиеллез представляет важную медико-социальную и ветерина</w:t>
      </w:r>
      <w:r>
        <w:t>р</w:t>
      </w:r>
      <w:r>
        <w:t>ную проблему, сущность которой становится особенно очевидной, если учесть широкое распространение этой инфекции и частоту ее хронизации, профессиональный характер болезни и значительные экономические пот</w:t>
      </w:r>
      <w:r>
        <w:t>е</w:t>
      </w:r>
      <w:r>
        <w:t>ри, обусловленные инфицированностью сельскохозяйственных животных.</w:t>
      </w:r>
    </w:p>
    <w:p w:rsidR="00F4654E" w:rsidRDefault="00F4654E">
      <w:pPr>
        <w:pStyle w:val="a6"/>
      </w:pPr>
      <w:r>
        <w:t>Коксиеллы Бернета характеризуются выраженной полиадаптивн</w:t>
      </w:r>
      <w:r>
        <w:t>о</w:t>
      </w:r>
      <w:r>
        <w:t>стью, они способны обитать в организме самых разнообразных видов бе</w:t>
      </w:r>
      <w:r>
        <w:t>с</w:t>
      </w:r>
      <w:r>
        <w:t>позвоночных и позвоночных животных, в том числе далеко отстоящих друг от друга в систематическом плане (Токаревич Н.К. и соавт.,1998). Р</w:t>
      </w:r>
      <w:r>
        <w:t>е</w:t>
      </w:r>
      <w:r>
        <w:t>зервуаром возбудителя в природе являются более 70 видов клещей, бол</w:t>
      </w:r>
      <w:r>
        <w:t>ь</w:t>
      </w:r>
      <w:r>
        <w:t>шинство из которых обитают на территории нашей страны. Инфекция у них протекает бессимптомно и длительно, причем примерно у 25 видов клещей установлена трансфазная и трансовариальная передача возбудит</w:t>
      </w:r>
      <w:r>
        <w:t>е</w:t>
      </w:r>
      <w:r>
        <w:t>ля, что, естественно, способствует сохранению его в природе и свидетел</w:t>
      </w:r>
      <w:r>
        <w:t>ь</w:t>
      </w:r>
      <w:r>
        <w:t>ствует о высокой степени адаптации к членистоногим. По количеству кл</w:t>
      </w:r>
      <w:r>
        <w:t>е</w:t>
      </w:r>
      <w:r>
        <w:lastRenderedPageBreak/>
        <w:t>щей, вовлекаемых в циркуляцию возбудителя в природе, коксиеллез зан</w:t>
      </w:r>
      <w:r>
        <w:t>и</w:t>
      </w:r>
      <w:r>
        <w:t>мает первое место среди многих других трансмиссивных инфекционных болезней. Именно в этом одна из причин того, что природные очаги кокс</w:t>
      </w:r>
      <w:r>
        <w:t>и</w:t>
      </w:r>
      <w:r>
        <w:t>еллеза имеют наибольшее распространение на земле не только из числа риккетсиозов, но и всех других природно-очаговых инфекционных боле</w:t>
      </w:r>
      <w:r>
        <w:t>з</w:t>
      </w:r>
      <w:r>
        <w:t>ней (Лобан К.М., 1980). Наиболее существенное значение в экологии во</w:t>
      </w:r>
      <w:r>
        <w:t>з</w:t>
      </w:r>
      <w:r>
        <w:t>будителя и эпидемических проявлений очагов болезни имеет связь кокс</w:t>
      </w:r>
      <w:r>
        <w:t>и</w:t>
      </w:r>
      <w:r>
        <w:t>елл с иксодовыми клещами. Многие авторы считают возможным источн</w:t>
      </w:r>
      <w:r>
        <w:t>и</w:t>
      </w:r>
      <w:r>
        <w:t>ком возбудителя болезни аргасовых и гамазовых клещей (Здродовский П.Ф., Голиневич Е.М., 1972).</w:t>
      </w:r>
      <w:r w:rsidR="004D29CD">
        <w:t xml:space="preserve"> </w:t>
      </w:r>
      <w:r>
        <w:t>В связи со способностью клещей являться переносчиками коксиелл возникают зональные особенности территор</w:t>
      </w:r>
      <w:r>
        <w:t>и</w:t>
      </w:r>
      <w:r>
        <w:t>ального распределения и</w:t>
      </w:r>
      <w:r>
        <w:t>н</w:t>
      </w:r>
      <w:r>
        <w:t>фицированности животных. Так, в Вологодской области в лесной зоне д</w:t>
      </w:r>
      <w:r>
        <w:t>о</w:t>
      </w:r>
      <w:r>
        <w:t>ля животных, содержащих в сыворотках антитела к коксиеллам, в 1,9 раза выше, чем в луго-полевых и околоводных, что обусловлено наличием в них иксодовых клещей. Зараженность иксодит возбудителем коксиеллеза установлена на 13 из 24 обследованных адм</w:t>
      </w:r>
      <w:r>
        <w:t>и</w:t>
      </w:r>
      <w:r>
        <w:t>нистративных районов обла</w:t>
      </w:r>
      <w:r>
        <w:t>с</w:t>
      </w:r>
      <w:r>
        <w:t>ти (</w:t>
      </w:r>
      <w:r>
        <w:rPr>
          <w:lang w:val="en-US"/>
        </w:rPr>
        <w:t>Rybakova</w:t>
      </w:r>
      <w:r>
        <w:t xml:space="preserve"> </w:t>
      </w:r>
      <w:r>
        <w:rPr>
          <w:lang w:val="en-US"/>
        </w:rPr>
        <w:t>et</w:t>
      </w:r>
      <w:r>
        <w:t xml:space="preserve"> </w:t>
      </w:r>
      <w:r>
        <w:rPr>
          <w:lang w:val="en-US"/>
        </w:rPr>
        <w:t>al</w:t>
      </w:r>
      <w:r>
        <w:t xml:space="preserve">., 1999). </w:t>
      </w:r>
    </w:p>
    <w:p w:rsidR="00F4654E" w:rsidRDefault="00F4654E">
      <w:pPr>
        <w:pStyle w:val="a6"/>
        <w:rPr>
          <w:lang w:val="en-US"/>
        </w:rPr>
      </w:pPr>
      <w:r>
        <w:t>В изучаемых нами очагах Ставропольского края клещи играют сущ</w:t>
      </w:r>
      <w:r>
        <w:t>е</w:t>
      </w:r>
      <w:r>
        <w:t>ственную роль в циркуляции и поддержании возбудителя в природе. По данным А.Т. Ельникова, проводившего исследования в 70-80 годы, отм</w:t>
      </w:r>
      <w:r>
        <w:t>е</w:t>
      </w:r>
      <w:r>
        <w:t>чена инфицированность клещей во всех обследованных хозяйствах, пр</w:t>
      </w:r>
      <w:r>
        <w:t>и</w:t>
      </w:r>
      <w:r>
        <w:t xml:space="preserve">чем инфицированность составила от 58,7% до 80%. Видовой состав был представлен </w:t>
      </w:r>
      <w:r>
        <w:rPr>
          <w:lang w:val="en-US"/>
        </w:rPr>
        <w:t>Dermacentor</w:t>
      </w:r>
      <w:r>
        <w:t xml:space="preserve"> </w:t>
      </w:r>
      <w:r>
        <w:rPr>
          <w:lang w:val="en-US"/>
        </w:rPr>
        <w:t>marginatus</w:t>
      </w:r>
      <w:r>
        <w:t xml:space="preserve">, </w:t>
      </w:r>
      <w:r>
        <w:rPr>
          <w:lang w:val="en-US"/>
        </w:rPr>
        <w:t>Haemaphysalis</w:t>
      </w:r>
      <w:r>
        <w:t xml:space="preserve"> </w:t>
      </w:r>
      <w:r>
        <w:rPr>
          <w:lang w:val="en-US"/>
        </w:rPr>
        <w:t>punctata</w:t>
      </w:r>
      <w:r>
        <w:t xml:space="preserve">, </w:t>
      </w:r>
      <w:r>
        <w:rPr>
          <w:lang w:val="en-US"/>
        </w:rPr>
        <w:t>Hyaloma</w:t>
      </w:r>
      <w:r>
        <w:t xml:space="preserve"> </w:t>
      </w:r>
      <w:r>
        <w:rPr>
          <w:lang w:val="en-US"/>
        </w:rPr>
        <w:t>plumbeum</w:t>
      </w:r>
      <w:r>
        <w:t xml:space="preserve">, </w:t>
      </w:r>
      <w:r>
        <w:rPr>
          <w:lang w:val="en-US"/>
        </w:rPr>
        <w:t>Ixodes</w:t>
      </w:r>
      <w:r>
        <w:t xml:space="preserve"> </w:t>
      </w:r>
      <w:r>
        <w:rPr>
          <w:lang w:val="en-US"/>
        </w:rPr>
        <w:t>ricinus</w:t>
      </w:r>
      <w:r>
        <w:t>. Исследования, проведенные Л.Д. Тимченко в 90 годы, подтвердили тот же видовой состав клещей с тенденцией к его кол</w:t>
      </w:r>
      <w:r>
        <w:t>и</w:t>
      </w:r>
      <w:r>
        <w:t>чественному росту. В</w:t>
      </w:r>
      <w:r>
        <w:rPr>
          <w:lang w:val="en-US"/>
        </w:rPr>
        <w:t xml:space="preserve"> </w:t>
      </w:r>
      <w:r>
        <w:t>частности</w:t>
      </w:r>
      <w:r>
        <w:rPr>
          <w:lang w:val="en-US"/>
        </w:rPr>
        <w:t xml:space="preserve"> Dermacentor marginatus – 63%, Haemaph</w:t>
      </w:r>
      <w:r>
        <w:rPr>
          <w:lang w:val="en-US"/>
        </w:rPr>
        <w:t>y</w:t>
      </w:r>
      <w:r>
        <w:rPr>
          <w:lang w:val="en-US"/>
        </w:rPr>
        <w:t>salis punctata – 73%, Hyaloma plumbeum – 58%, Ixodes ricinus – 100%.</w:t>
      </w:r>
    </w:p>
    <w:p w:rsidR="00F4654E" w:rsidRDefault="00F4654E">
      <w:pPr>
        <w:pStyle w:val="a6"/>
      </w:pPr>
      <w:r>
        <w:t>Нами проведены исследования в 2000-2001 годах по изучению естес</w:t>
      </w:r>
      <w:r>
        <w:t>т</w:t>
      </w:r>
      <w:r>
        <w:t>венной инфицированности коксиеллами Бернета иксодовых клещей. Сбор клещей проводили в природных биотопах («на флаг») и в животноводч</w:t>
      </w:r>
      <w:r>
        <w:t>е</w:t>
      </w:r>
      <w:r>
        <w:t xml:space="preserve">ских хозяйствах в осенний сезон 2001 года на территории Шпаковского района. Видовой состав клещей представлен: </w:t>
      </w:r>
      <w:r>
        <w:rPr>
          <w:lang w:val="en-US"/>
        </w:rPr>
        <w:t>Dermacentor</w:t>
      </w:r>
      <w:r>
        <w:t xml:space="preserve"> </w:t>
      </w:r>
      <w:r>
        <w:rPr>
          <w:lang w:val="en-US"/>
        </w:rPr>
        <w:t>marginatus</w:t>
      </w:r>
      <w:r>
        <w:t xml:space="preserve">, </w:t>
      </w:r>
      <w:r>
        <w:rPr>
          <w:lang w:val="en-US"/>
        </w:rPr>
        <w:t>Heamaphysalis</w:t>
      </w:r>
      <w:r>
        <w:t xml:space="preserve"> </w:t>
      </w:r>
      <w:r>
        <w:rPr>
          <w:lang w:val="en-US"/>
        </w:rPr>
        <w:t>punctata</w:t>
      </w:r>
      <w:r>
        <w:t xml:space="preserve">, </w:t>
      </w:r>
      <w:r>
        <w:rPr>
          <w:lang w:val="en-US"/>
        </w:rPr>
        <w:t>Hyalomma</w:t>
      </w:r>
      <w:r>
        <w:t xml:space="preserve"> </w:t>
      </w:r>
      <w:r>
        <w:rPr>
          <w:lang w:val="en-US"/>
        </w:rPr>
        <w:t>plumbeum</w:t>
      </w:r>
      <w:r>
        <w:t>. Всего исследованию по</w:t>
      </w:r>
      <w:r>
        <w:t>д</w:t>
      </w:r>
      <w:r>
        <w:t>верглось 185 особей. При люминесцентной микроскопии мы наблюдали свечение в клещах, что составило 10% от общего числа обследованных клещей.</w:t>
      </w:r>
      <w:r w:rsidR="004D29CD">
        <w:t xml:space="preserve"> </w:t>
      </w:r>
      <w:r>
        <w:t>Иксодовые клещи могут заражаться коксиеллами при кровосос</w:t>
      </w:r>
      <w:r>
        <w:t>а</w:t>
      </w:r>
      <w:r>
        <w:t>нии на инфицированных позвоночных животных. При этом в организме клеща коксиеллы усиливают вирулентные и иммуногенные свойства. И</w:t>
      </w:r>
      <w:r>
        <w:t>к</w:t>
      </w:r>
      <w:r>
        <w:t>содиды остаются носителями этого возбудителя пожизненно, передавая коксиеллы от одной фазы своего развития другой. Клещи выделяют кокс</w:t>
      </w:r>
      <w:r>
        <w:t>и</w:t>
      </w:r>
      <w:r>
        <w:t>еллы во внешнюю среду, а так же передают их непосредственно воспр</w:t>
      </w:r>
      <w:r>
        <w:t>и</w:t>
      </w:r>
      <w:r>
        <w:t>имчивым животным в процессе кровососания.</w:t>
      </w:r>
    </w:p>
    <w:p w:rsidR="00F4654E" w:rsidRDefault="00F4654E">
      <w:pPr>
        <w:pStyle w:val="a6"/>
      </w:pPr>
      <w:r>
        <w:lastRenderedPageBreak/>
        <w:t>Для биологии риккетсий, обитающих в теле клеща, характерно то, что коксиеллы приобретают высокоинвазирующую способность. С другой стороны, у голодных зимующих клещей патогенные свойства коксиелл снижаются, но быстро восстанавливаются под влиянием кровососания (Е.Н. Павловский, 1984).</w:t>
      </w:r>
      <w:r w:rsidR="004D29CD">
        <w:t xml:space="preserve"> </w:t>
      </w:r>
      <w:r>
        <w:t>Циркуляция коксиеллы Бернета в природных очагах осуществляется по классической схеме: клещи – теплокровные пр</w:t>
      </w:r>
      <w:r>
        <w:t>о</w:t>
      </w:r>
      <w:r>
        <w:t>кормители – клещи. Причем по нашим данным отмечается сезонность з</w:t>
      </w:r>
      <w:r>
        <w:t>а</w:t>
      </w:r>
      <w:r>
        <w:t>болевания, тесно св</w:t>
      </w:r>
      <w:r>
        <w:t>я</w:t>
      </w:r>
      <w:r>
        <w:t>занная с периодом интенсивного размножения клещей в тех или иных районах, и приходящаяся в основном на весенне-летний период, то есть пас</w:t>
      </w:r>
      <w:r>
        <w:t>т</w:t>
      </w:r>
      <w:r>
        <w:t>бищный период года. В это время количество клещей достигает своего максимума (К.М. Лобан, 1980).</w:t>
      </w:r>
      <w:r w:rsidR="004D29CD">
        <w:t xml:space="preserve"> </w:t>
      </w:r>
      <w:r>
        <w:t>Учитывая, что видовой состав клещей остается постоянным при тенденции к количественному росту, а в хозяйствах идет периодическая смена поголовья, появление и рост антропургических очагов становится явлением закономерным и, к сожалению, весьма опасным, так как увеличивается возможность зараж</w:t>
      </w:r>
      <w:r>
        <w:t>е</w:t>
      </w:r>
      <w:r>
        <w:t>ния людей коксиеллезом.</w:t>
      </w:r>
    </w:p>
    <w:p w:rsidR="00F4654E" w:rsidRDefault="00F4654E">
      <w:pPr>
        <w:pStyle w:val="a6"/>
      </w:pPr>
      <w:r>
        <w:t>Проблема заклещеванности территории Ставропольского края усил</w:t>
      </w:r>
      <w:r>
        <w:t>и</w:t>
      </w:r>
      <w:r>
        <w:t>вается еще тем, что помимо коксиелл Бернета клещи являются переносч</w:t>
      </w:r>
      <w:r>
        <w:t>и</w:t>
      </w:r>
      <w:r>
        <w:t>ками многих других опасных заболеваний. В природе существуют соч</w:t>
      </w:r>
      <w:r>
        <w:t>е</w:t>
      </w:r>
      <w:r>
        <w:t>танные очаги болезней различной природы. Одновременное носительство возбудителей нескольких болезней в природных очагах выявлено у многих видов клещей. В результате инфицирования животных при укусах таких клещей возникают атипичные признаки коксиеллеза, не совпадающие с классически описанными. При этом затрудняется не только диагностика, но и лечение такого рода болезней.</w:t>
      </w:r>
      <w:r w:rsidR="004D29CD">
        <w:t xml:space="preserve"> </w:t>
      </w:r>
      <w:r>
        <w:t>Считаем, что целенаправленная и си</w:t>
      </w:r>
      <w:r>
        <w:t>с</w:t>
      </w:r>
      <w:r>
        <w:t>тематическая борьба с клещами поможет если не уничтожить природные очаги инфекции, то хотя  бы сократить количество  антропургических оч</w:t>
      </w:r>
      <w:r>
        <w:t>а</w:t>
      </w:r>
      <w:r>
        <w:t>гов коксиеллеза и уменьшить угрозу заболевания людей как коксиеллезом, так и другими опасными а</w:t>
      </w:r>
      <w:r>
        <w:t>н</w:t>
      </w:r>
      <w:r>
        <w:t xml:space="preserve">тропозоонознымии  болезнями. </w:t>
      </w:r>
    </w:p>
    <w:p w:rsidR="00F4654E" w:rsidRDefault="00F4654E">
      <w:pPr>
        <w:pStyle w:val="a6"/>
      </w:pPr>
      <w:r>
        <w:t>Полученные нами результаты подчеркивают значение трансмиссивн</w:t>
      </w:r>
      <w:r>
        <w:t>о</w:t>
      </w:r>
      <w:r>
        <w:t>го пути формирования антропургических очагов коксиеллеза и ставят серьезный вопрос о всестороннем и глубоком изучении природных очагов в Ставропольском крае.</w:t>
      </w:r>
    </w:p>
    <w:p w:rsidR="00F4654E" w:rsidRDefault="00F4654E">
      <w:pPr>
        <w:pStyle w:val="a4"/>
      </w:pPr>
      <w:r>
        <w:t>УДК 616.981.718:576.314:636.12</w:t>
      </w:r>
    </w:p>
    <w:p w:rsidR="00F4654E" w:rsidRDefault="00F4654E">
      <w:pPr>
        <w:pStyle w:val="1"/>
      </w:pPr>
      <w:bookmarkStart w:id="5460" w:name="_Toc11138081"/>
      <w:bookmarkStart w:id="5461" w:name="_Toc11138499"/>
      <w:bookmarkStart w:id="5462" w:name="_Toc11138917"/>
      <w:bookmarkStart w:id="5463" w:name="_Toc11139335"/>
      <w:bookmarkStart w:id="5464" w:name="_Toc11139753"/>
      <w:bookmarkStart w:id="5465" w:name="_Toc11140171"/>
      <w:bookmarkStart w:id="5466" w:name="_Toc11140589"/>
      <w:bookmarkStart w:id="5467" w:name="_Toc11390685"/>
      <w:bookmarkStart w:id="5468" w:name="_Toc11840370"/>
      <w:bookmarkStart w:id="5469" w:name="_Toc11937906"/>
      <w:r>
        <w:t>К ПРОБЛЕМЕ ЭПИЗООТОЛОГИИ КОКСИЕЛЛЕЗА</w:t>
      </w:r>
      <w:bookmarkEnd w:id="5460"/>
      <w:bookmarkEnd w:id="5461"/>
      <w:bookmarkEnd w:id="5462"/>
      <w:bookmarkEnd w:id="5463"/>
      <w:bookmarkEnd w:id="5464"/>
      <w:bookmarkEnd w:id="5465"/>
      <w:bookmarkEnd w:id="5466"/>
      <w:bookmarkEnd w:id="5467"/>
      <w:bookmarkEnd w:id="5468"/>
      <w:bookmarkEnd w:id="5469"/>
    </w:p>
    <w:p w:rsidR="00F4654E" w:rsidRDefault="00F4654E">
      <w:pPr>
        <w:pStyle w:val="2"/>
      </w:pPr>
      <w:bookmarkStart w:id="5470" w:name="_Toc11032404"/>
      <w:bookmarkStart w:id="5471" w:name="_Toc11138082"/>
      <w:bookmarkStart w:id="5472" w:name="_Toc11138500"/>
      <w:bookmarkStart w:id="5473" w:name="_Toc11138918"/>
      <w:bookmarkStart w:id="5474" w:name="_Toc11139336"/>
      <w:bookmarkStart w:id="5475" w:name="_Toc11139754"/>
      <w:bookmarkStart w:id="5476" w:name="_Toc11140172"/>
      <w:bookmarkStart w:id="5477" w:name="_Toc11140590"/>
      <w:bookmarkStart w:id="5478" w:name="_Toc11390686"/>
      <w:bookmarkStart w:id="5479" w:name="_Toc11937907"/>
      <w:r>
        <w:t>Тинькова Е.Л.</w:t>
      </w:r>
      <w:bookmarkEnd w:id="5470"/>
      <w:bookmarkEnd w:id="5471"/>
      <w:bookmarkEnd w:id="5472"/>
      <w:bookmarkEnd w:id="5473"/>
      <w:bookmarkEnd w:id="5474"/>
      <w:bookmarkEnd w:id="5475"/>
      <w:bookmarkEnd w:id="5476"/>
      <w:bookmarkEnd w:id="5477"/>
      <w:bookmarkEnd w:id="5478"/>
      <w:bookmarkEnd w:id="5479"/>
    </w:p>
    <w:p w:rsidR="00F4654E" w:rsidRDefault="00F4654E">
      <w:pPr>
        <w:pStyle w:val="a5"/>
      </w:pPr>
      <w:r>
        <w:t>Ставропольский государственный аграрный университет</w:t>
      </w:r>
    </w:p>
    <w:p w:rsidR="00F4654E" w:rsidRDefault="00F4654E">
      <w:pPr>
        <w:pStyle w:val="a6"/>
      </w:pPr>
      <w:r>
        <w:t>Коксиеллез достаточно распространенное заболевание, однако его не везде своевременно диагностируют, но применение серологических, и</w:t>
      </w:r>
      <w:r>
        <w:t>м</w:t>
      </w:r>
      <w:r>
        <w:t>мунологических методов убеждает в наличии значительно большего числа заболеваний данной инфекции, чем это учитывает официальная статист</w:t>
      </w:r>
      <w:r>
        <w:t>и</w:t>
      </w:r>
      <w:r>
        <w:lastRenderedPageBreak/>
        <w:t>ка. Так, было доказано С.С. Тимофеевой (1963) и Л.И. Некрасовой (1965), что коксиеллезные очаги могут длительно существовать в условиях кра</w:t>
      </w:r>
      <w:r>
        <w:t>й</w:t>
      </w:r>
      <w:r>
        <w:t>него Севера. В Словакии, например, обнаружили антитела к коксиеллам Бернета у крупного рогатого скота в 9,5%, у овец в 8,6%, баранов- прои</w:t>
      </w:r>
      <w:r>
        <w:t>з</w:t>
      </w:r>
      <w:r>
        <w:t>водителей в 15,9%, коз в 21% (</w:t>
      </w:r>
      <w:r>
        <w:rPr>
          <w:lang w:val="en-US"/>
        </w:rPr>
        <w:t>Niznansky</w:t>
      </w:r>
      <w:r>
        <w:t xml:space="preserve">, </w:t>
      </w:r>
      <w:r>
        <w:rPr>
          <w:lang w:val="en-US"/>
        </w:rPr>
        <w:t>Gmitter</w:t>
      </w:r>
      <w:r>
        <w:t>, 1956). В настоящее вр</w:t>
      </w:r>
      <w:r>
        <w:t>е</w:t>
      </w:r>
      <w:r>
        <w:t xml:space="preserve">мя коксиеллез установлен во всех Среднеазиатских республиках, в России, на Украине, Белоруссии, странах Балтии и Закавказья. </w:t>
      </w:r>
    </w:p>
    <w:p w:rsidR="00F4654E" w:rsidRDefault="00F4654E">
      <w:pPr>
        <w:pStyle w:val="a6"/>
      </w:pPr>
      <w:r>
        <w:t>Таким образом, коксиелле Бернета и вызываемой этим возбудителем болезни свойственен чрезвычайно широкий ареал, охватывающий все ко</w:t>
      </w:r>
      <w:r>
        <w:t>н</w:t>
      </w:r>
      <w:r>
        <w:t>тиненты. Это является отличительной особенностью коксиеллеза по сра</w:t>
      </w:r>
      <w:r>
        <w:t>в</w:t>
      </w:r>
      <w:r>
        <w:t>нению с другими риккетсиозами, для которых характерна определенная географическая приуроченность.</w:t>
      </w:r>
    </w:p>
    <w:p w:rsidR="00F4654E" w:rsidRDefault="00F4654E">
      <w:pPr>
        <w:pStyle w:val="a6"/>
      </w:pPr>
      <w:r>
        <w:t>В эпизоотологии коксиеллеза ведущую роль играет определенная группа сельскохозяйственных животных (овцы, козы, крупный рогатый скот), причем значение этих животных в последнее десятилетие сущес</w:t>
      </w:r>
      <w:r>
        <w:t>т</w:t>
      </w:r>
      <w:r>
        <w:t>венно возросло в связи с «одомашниванием» природных очагов этой и</w:t>
      </w:r>
      <w:r>
        <w:t>н</w:t>
      </w:r>
      <w:r>
        <w:t>фекции и формированием более стойких очагов. По мнению Тарасевич И.В.(1988) коксиеллез в основном известен и изучается как зооноз, име</w:t>
      </w:r>
      <w:r>
        <w:t>ю</w:t>
      </w:r>
      <w:r>
        <w:t xml:space="preserve">щий широкое, практически повсеместное распространение на территории страны в тех районах, где имеется мощный источник инфекции – крупный и мелкий рогатый скот. </w:t>
      </w:r>
    </w:p>
    <w:p w:rsidR="00F4654E" w:rsidRDefault="00F4654E">
      <w:pPr>
        <w:pStyle w:val="a6"/>
      </w:pPr>
      <w:r>
        <w:t>По данным многих исследователей, при отгонном содержании скота ведущим является трансмиссивный путь заражения. При этом обнаруж</w:t>
      </w:r>
      <w:r>
        <w:t>и</w:t>
      </w:r>
      <w:r>
        <w:t>вается четкая взаимосвязь между количеством клещей в природных очагах и степенью пораженности скота коксиеллезом (Ю.С. Балашов, Э.Д. Им</w:t>
      </w:r>
      <w:r>
        <w:t>а</w:t>
      </w:r>
      <w:r>
        <w:t>нов, 1971). По их мнению трансмиссивный путь заражения сельскохозя</w:t>
      </w:r>
      <w:r>
        <w:t>й</w:t>
      </w:r>
      <w:r>
        <w:t>ственных животных в природно-антропургических очагах коксиеллеза имеет значение только до появления больных животных. В дальнейшем ведущую роль приобретают воздушно-пылевой и контактный пути распр</w:t>
      </w:r>
      <w:r>
        <w:t>о</w:t>
      </w:r>
      <w:r>
        <w:t>странения инфекции, при этом скорость развития эпизоотии находится в зависимости от плотности размещения скота. Токаревич Н.К. и с</w:t>
      </w:r>
      <w:r>
        <w:t>о</w:t>
      </w:r>
      <w:r>
        <w:t>авт.(1998) указывают, что при контактном и воздушно-пылевом пути з</w:t>
      </w:r>
      <w:r>
        <w:t>а</w:t>
      </w:r>
      <w:r>
        <w:t>ражения сельскохозяйственных животных активность эпизоотического процесса нарастает значительно быстрее, чем при заражении трансмисси</w:t>
      </w:r>
      <w:r>
        <w:t>в</w:t>
      </w:r>
      <w:r>
        <w:t>ным путем.</w:t>
      </w:r>
    </w:p>
    <w:p w:rsidR="00F4654E" w:rsidRDefault="00F4654E">
      <w:pPr>
        <w:pStyle w:val="a6"/>
      </w:pPr>
      <w:r>
        <w:t>Для экологии коксиелл Бернета природная очаговость имеет ведущее значение, в составе естественных биоценозов этот возбудитель поддерж</w:t>
      </w:r>
      <w:r>
        <w:t>и</w:t>
      </w:r>
      <w:r>
        <w:t>вается с постоянством, что и обеспечивает стабильность существования инфекции в естественной среде. Для выявления ареала распространения и степени пораженности коксиеллезом сельскохозяйственных животных н</w:t>
      </w:r>
      <w:r>
        <w:t>а</w:t>
      </w:r>
      <w:r>
        <w:t>ми проведено серологическое исследование сывороток крови овец из ж</w:t>
      </w:r>
      <w:r>
        <w:t>и</w:t>
      </w:r>
      <w:r>
        <w:t>вотноводческих хозяйств Петровского и Шпаковского районов Ставр</w:t>
      </w:r>
      <w:r>
        <w:t>о</w:t>
      </w:r>
      <w:r>
        <w:t>польского края. Полученные результаты свидетельствуют о высокой п</w:t>
      </w:r>
      <w:r>
        <w:t>о</w:t>
      </w:r>
      <w:r>
        <w:lastRenderedPageBreak/>
        <w:t>раженности сельскохозяйственных животных коксиеллезом и о наличии антропургических очагов этой инфекции во всех обследованных хозяйс</w:t>
      </w:r>
      <w:r>
        <w:t>т</w:t>
      </w:r>
      <w:r>
        <w:t>вах. Пораженность животных в среднем составила 16,2- 25,4%.</w:t>
      </w:r>
    </w:p>
    <w:p w:rsidR="00F4654E" w:rsidRDefault="00F4654E">
      <w:pPr>
        <w:pStyle w:val="a6"/>
        <w:rPr>
          <w:color w:val="00FF00"/>
        </w:rPr>
      </w:pPr>
      <w:r>
        <w:t>Учитывая вышеизложенное, считаем, что коксиеллез, являясь пр</w:t>
      </w:r>
      <w:r>
        <w:t>и</w:t>
      </w:r>
      <w:r>
        <w:t>родно-очаговым заболеванием, обладает способностью к образованию а</w:t>
      </w:r>
      <w:r>
        <w:t>н</w:t>
      </w:r>
      <w:r>
        <w:t>тропургических очагов, особенно в той местности, где имеется широкое распространение иксодовых клещей, и именно такой территорией является Ставропольский край. Проблема становится еще актуальней и серьезней в связи с возрастающей заклещеванностью по всей территории края.</w:t>
      </w:r>
    </w:p>
    <w:p w:rsidR="00F4654E" w:rsidRDefault="00F4654E">
      <w:pPr>
        <w:pStyle w:val="a4"/>
      </w:pPr>
      <w:r>
        <w:t>УДК 612.014.481:599:539.1.047</w:t>
      </w:r>
    </w:p>
    <w:p w:rsidR="00F4654E" w:rsidRDefault="00F4654E">
      <w:pPr>
        <w:pStyle w:val="1"/>
      </w:pPr>
      <w:bookmarkStart w:id="5480" w:name="_Toc10731612"/>
      <w:bookmarkStart w:id="5481" w:name="_Toc11138083"/>
      <w:bookmarkStart w:id="5482" w:name="_Toc11138501"/>
      <w:bookmarkStart w:id="5483" w:name="_Toc11138919"/>
      <w:bookmarkStart w:id="5484" w:name="_Toc11139337"/>
      <w:bookmarkStart w:id="5485" w:name="_Toc11139755"/>
      <w:bookmarkStart w:id="5486" w:name="_Toc11140173"/>
      <w:bookmarkStart w:id="5487" w:name="_Toc11140591"/>
      <w:bookmarkStart w:id="5488" w:name="_Toc11390687"/>
      <w:bookmarkStart w:id="5489" w:name="_Toc11840372"/>
      <w:bookmarkStart w:id="5490" w:name="_Toc11937908"/>
      <w:r>
        <w:t>К ВОПРОСУ О ЗАЩИТНОМ ДЕЙСТВИИ ПРЕПАРАТА Т-1 ПРИ ОБЩЕМ ГАММА-ОБЛУЧЕНИИ</w:t>
      </w:r>
      <w:bookmarkEnd w:id="5480"/>
      <w:bookmarkEnd w:id="5481"/>
      <w:bookmarkEnd w:id="5482"/>
      <w:bookmarkEnd w:id="5483"/>
      <w:bookmarkEnd w:id="5484"/>
      <w:bookmarkEnd w:id="5485"/>
      <w:bookmarkEnd w:id="5486"/>
      <w:bookmarkEnd w:id="5487"/>
      <w:bookmarkEnd w:id="5488"/>
      <w:bookmarkEnd w:id="5489"/>
      <w:bookmarkEnd w:id="5490"/>
      <w:r>
        <w:t xml:space="preserve"> </w:t>
      </w:r>
    </w:p>
    <w:p w:rsidR="00F4654E" w:rsidRDefault="00F4654E">
      <w:pPr>
        <w:pStyle w:val="2"/>
      </w:pPr>
      <w:bookmarkStart w:id="5491" w:name="_Toc10731613"/>
      <w:bookmarkStart w:id="5492" w:name="_Toc11032405"/>
      <w:bookmarkStart w:id="5493" w:name="_Toc11138084"/>
      <w:bookmarkStart w:id="5494" w:name="_Toc11138502"/>
      <w:bookmarkStart w:id="5495" w:name="_Toc11138920"/>
      <w:bookmarkStart w:id="5496" w:name="_Toc11139338"/>
      <w:bookmarkStart w:id="5497" w:name="_Toc11139756"/>
      <w:bookmarkStart w:id="5498" w:name="_Toc11140174"/>
      <w:bookmarkStart w:id="5499" w:name="_Toc11140592"/>
      <w:bookmarkStart w:id="5500" w:name="_Toc11390688"/>
      <w:bookmarkStart w:id="5501" w:name="_Toc11937909"/>
      <w:r>
        <w:t xml:space="preserve">Титов А.С., Низамов Р.Н., Конюхов Г.В., Тарасова Н.Б., </w:t>
      </w:r>
      <w:r>
        <w:br/>
        <w:t>Мухаметшин И.Р., Иванов И.С.</w:t>
      </w:r>
      <w:bookmarkEnd w:id="5491"/>
      <w:bookmarkEnd w:id="5492"/>
      <w:bookmarkEnd w:id="5493"/>
      <w:bookmarkEnd w:id="5494"/>
      <w:bookmarkEnd w:id="5495"/>
      <w:bookmarkEnd w:id="5496"/>
      <w:bookmarkEnd w:id="5497"/>
      <w:bookmarkEnd w:id="5498"/>
      <w:bookmarkEnd w:id="5499"/>
      <w:bookmarkEnd w:id="5500"/>
      <w:bookmarkEnd w:id="5501"/>
    </w:p>
    <w:p w:rsidR="00F4654E" w:rsidRDefault="00F4654E">
      <w:pPr>
        <w:pStyle w:val="a5"/>
      </w:pPr>
      <w:r>
        <w:t xml:space="preserve">Всероссийский научно-исследовательский ветеринарный институт </w:t>
      </w:r>
    </w:p>
    <w:p w:rsidR="00F4654E" w:rsidRDefault="00F4654E">
      <w:pPr>
        <w:pStyle w:val="a6"/>
      </w:pPr>
      <w:r>
        <w:t>Эксперименты проведены на 10 подсвинках живой массой 41,3 ± 2,5 кг, облученных однократно тотально в дозе 4,2 Гр на гамма-установке “Пума”. Предварительно 5 животным за 30 сут до радиационного возде</w:t>
      </w:r>
      <w:r>
        <w:t>й</w:t>
      </w:r>
      <w:r>
        <w:t>ствия внутримышечно вводили препарат Т-1 в объеме 3 см</w:t>
      </w:r>
      <w:r>
        <w:rPr>
          <w:vertAlign w:val="superscript"/>
        </w:rPr>
        <w:t>3</w:t>
      </w:r>
      <w:r>
        <w:t xml:space="preserve">. Пять других животных иммунизации не подвергались и служили контролем облучения. </w:t>
      </w:r>
    </w:p>
    <w:p w:rsidR="00F4654E" w:rsidRDefault="00F4654E">
      <w:pPr>
        <w:pStyle w:val="a6"/>
      </w:pPr>
      <w:r>
        <w:t>В предварительных (до облучения) опытах установлено, что в пер</w:t>
      </w:r>
      <w:r>
        <w:t>и</w:t>
      </w:r>
      <w:r>
        <w:t>ферической крови иммунизированных свиней отмечается достоверное п</w:t>
      </w:r>
      <w:r>
        <w:t>о</w:t>
      </w:r>
      <w:r>
        <w:t>вышение общего белка и уровней Т- клеток по сравнению с контрольными животными. Число эритроцитов, лейкоцитов и гемоглобина после иммун</w:t>
      </w:r>
      <w:r>
        <w:t>и</w:t>
      </w:r>
      <w:r>
        <w:t>зации существенно не изменялось. У животных, получавших препарат Т-1, значительно активизировалось миелобластическое кроветворение, увел</w:t>
      </w:r>
      <w:r>
        <w:t>и</w:t>
      </w:r>
      <w:r>
        <w:t>чивалось количество лимфоцитов и плазматических клеток.</w:t>
      </w:r>
    </w:p>
    <w:p w:rsidR="00F4654E" w:rsidRDefault="00F4654E">
      <w:pPr>
        <w:pStyle w:val="a6"/>
      </w:pPr>
      <w:r>
        <w:t>Последующее гамма-облучение животных способствовало изменению показателей периферической крови как иммунизированных, так и ко</w:t>
      </w:r>
      <w:r>
        <w:t>н</w:t>
      </w:r>
      <w:r>
        <w:t>трольных свиней, однако у первых они были менее значительными. Так,  к 14 сут число лейкоцитов у животных, обработанных препаратом Т-1, уменьшалось с 9400 до 3050 клеток в 1мм</w:t>
      </w:r>
      <w:r>
        <w:rPr>
          <w:vertAlign w:val="superscript"/>
        </w:rPr>
        <w:t>3</w:t>
      </w:r>
      <w:r>
        <w:t xml:space="preserve"> против 1390 клеток в контроле облучения. Кроме того, у иммунизированных свиней было менее выраж</w:t>
      </w:r>
      <w:r>
        <w:t>е</w:t>
      </w:r>
      <w:r>
        <w:t>но снижение Т- и В-клеток и отмечалась тенденция к более быстрому их восстановлению.</w:t>
      </w:r>
    </w:p>
    <w:p w:rsidR="00F4654E" w:rsidRDefault="00F4654E">
      <w:pPr>
        <w:pStyle w:val="a6"/>
      </w:pPr>
      <w:r>
        <w:t xml:space="preserve"> Облучение мало влияло на концентрацию альбуминов, α-, β-, γ-глобулинов подопытных животных по сравнению с контрольными, у кот</w:t>
      </w:r>
      <w:r>
        <w:t>о</w:t>
      </w:r>
      <w:r>
        <w:t>рых была выше интенсивность их прироста и организм которых менее а</w:t>
      </w:r>
      <w:r>
        <w:t>к</w:t>
      </w:r>
      <w:r>
        <w:t>тивно боролся с эндо- и экзогенной инфекцией (выживаемость 20%). При вскрытии трупов павших облученных животных и морфологическом и</w:t>
      </w:r>
      <w:r>
        <w:t>с</w:t>
      </w:r>
      <w:r>
        <w:lastRenderedPageBreak/>
        <w:t>следовании внутренних органов картина была свойственна острому луч</w:t>
      </w:r>
      <w:r>
        <w:t>е</w:t>
      </w:r>
      <w:r>
        <w:t>вому поражению.</w:t>
      </w:r>
    </w:p>
    <w:p w:rsidR="00F4654E" w:rsidRDefault="00F4654E">
      <w:pPr>
        <w:pStyle w:val="a6"/>
      </w:pPr>
      <w:r>
        <w:t>Повышение выживаемости до 80% у животных, получавших препарат Т-1, по-видимому, обусловлено трансформацией лимфоидных элементов в плазмоциты, наиболее зрелые из которых являются продуцентами антител и иммуноглобулинов, значительная выработка которых, в свою очередь, является следствием нормализации лейкопоэтической функции.</w:t>
      </w:r>
    </w:p>
    <w:p w:rsidR="00F4654E" w:rsidRDefault="00F4654E">
      <w:pPr>
        <w:pStyle w:val="a4"/>
      </w:pPr>
      <w:r>
        <w:t>УДК 619:616.34-008.11:616-084:636.22/.28</w:t>
      </w:r>
    </w:p>
    <w:p w:rsidR="00F4654E" w:rsidRDefault="00F4654E">
      <w:pPr>
        <w:pStyle w:val="1"/>
      </w:pPr>
      <w:bookmarkStart w:id="5502" w:name="_Toc11138085"/>
      <w:bookmarkStart w:id="5503" w:name="_Toc11138503"/>
      <w:bookmarkStart w:id="5504" w:name="_Toc11138921"/>
      <w:bookmarkStart w:id="5505" w:name="_Toc11139339"/>
      <w:bookmarkStart w:id="5506" w:name="_Toc11139757"/>
      <w:bookmarkStart w:id="5507" w:name="_Toc11140175"/>
      <w:bookmarkStart w:id="5508" w:name="_Toc11140593"/>
      <w:bookmarkStart w:id="5509" w:name="_Toc11390689"/>
      <w:bookmarkStart w:id="5510" w:name="_Toc11840374"/>
      <w:bookmarkStart w:id="5511" w:name="_Toc11937910"/>
      <w:r>
        <w:t>КЛИНИЧЕСКОЕ СОСТОЯНИЕ И РЕЗИСТЕНТНОСТЬ  ТЕЛЯТ ПРИ НАЗНАЧЕНИИ ДУОДЕНИНА ДЛЯ ПРОФИЛАКТИКИ ОСТРЫХ РАССТРОЙСТВ ПИЩЕВАРЕНИЯ</w:t>
      </w:r>
      <w:bookmarkEnd w:id="5502"/>
      <w:bookmarkEnd w:id="5503"/>
      <w:bookmarkEnd w:id="5504"/>
      <w:bookmarkEnd w:id="5505"/>
      <w:bookmarkEnd w:id="5506"/>
      <w:bookmarkEnd w:id="5507"/>
      <w:bookmarkEnd w:id="5508"/>
      <w:bookmarkEnd w:id="5509"/>
      <w:bookmarkEnd w:id="5510"/>
      <w:bookmarkEnd w:id="5511"/>
    </w:p>
    <w:p w:rsidR="00F4654E" w:rsidRDefault="00F4654E">
      <w:pPr>
        <w:pStyle w:val="2"/>
      </w:pPr>
      <w:bookmarkStart w:id="5512" w:name="_Toc11032406"/>
      <w:bookmarkStart w:id="5513" w:name="_Toc11138086"/>
      <w:bookmarkStart w:id="5514" w:name="_Toc11138504"/>
      <w:bookmarkStart w:id="5515" w:name="_Toc11138922"/>
      <w:bookmarkStart w:id="5516" w:name="_Toc11139340"/>
      <w:bookmarkStart w:id="5517" w:name="_Toc11139758"/>
      <w:bookmarkStart w:id="5518" w:name="_Toc11140176"/>
      <w:bookmarkStart w:id="5519" w:name="_Toc11140594"/>
      <w:bookmarkStart w:id="5520" w:name="_Toc11390690"/>
      <w:bookmarkStart w:id="5521" w:name="_Toc11937911"/>
      <w:r>
        <w:t>Тихенко Н.В., Сидоренко Н.М.</w:t>
      </w:r>
      <w:bookmarkEnd w:id="5512"/>
      <w:bookmarkEnd w:id="5513"/>
      <w:bookmarkEnd w:id="5514"/>
      <w:bookmarkEnd w:id="5515"/>
      <w:bookmarkEnd w:id="5516"/>
      <w:bookmarkEnd w:id="5517"/>
      <w:bookmarkEnd w:id="5518"/>
      <w:bookmarkEnd w:id="5519"/>
      <w:bookmarkEnd w:id="5520"/>
      <w:bookmarkEnd w:id="5521"/>
    </w:p>
    <w:p w:rsidR="00F4654E" w:rsidRDefault="00F4654E">
      <w:pPr>
        <w:pStyle w:val="a5"/>
      </w:pPr>
      <w:r>
        <w:t>Северо-Кавказский зональный научно-исследовательский ветеринарный институт</w:t>
      </w:r>
    </w:p>
    <w:p w:rsidR="00F4654E" w:rsidRDefault="00F4654E">
      <w:pPr>
        <w:pStyle w:val="a6"/>
      </w:pPr>
      <w:r>
        <w:t>В борьбе с острыми расстройствами пищеварения у телят периода н</w:t>
      </w:r>
      <w:r>
        <w:t>о</w:t>
      </w:r>
      <w:r>
        <w:t>ворожденности в настоящее время большое внимание уделяют усилению реактивности организма новорожденных, используя лекарства, активиз</w:t>
      </w:r>
      <w:r>
        <w:t>и</w:t>
      </w:r>
      <w:r>
        <w:t>рующие защитные силы организма. Большую долю среди них занимают биологически  активные вещества, предупреждающие болезни, не допу</w:t>
      </w:r>
      <w:r>
        <w:t>с</w:t>
      </w:r>
      <w:r>
        <w:t>кающие их. С успехом для профилактики и лечения применяли препараты из ткани двенадцатиперстной кишки – экстракт двенадцатиперстной ки</w:t>
      </w:r>
      <w:r>
        <w:t>ш</w:t>
      </w:r>
      <w:r>
        <w:t>ки, кишечную муку, препарат кишечных эндорфинов и другие. Установл</w:t>
      </w:r>
      <w:r>
        <w:t>е</w:t>
      </w:r>
      <w:r>
        <w:t>но, что препараты проявляли высокую иммуномодулирующую, адаптоге</w:t>
      </w:r>
      <w:r>
        <w:t>н</w:t>
      </w:r>
      <w:r>
        <w:t>ную и трофическую эффективность. Однако их технология имеет  ряд с</w:t>
      </w:r>
      <w:r>
        <w:t>у</w:t>
      </w:r>
      <w:r>
        <w:t>щественных недостатков. Нами испытан для профилактики и лечения т</w:t>
      </w:r>
      <w:r>
        <w:t>е</w:t>
      </w:r>
      <w:r>
        <w:t>лят при острых расстройствах пищеварения аналог указанных препаратов, полученный по технологии более экономичной и пригодной для промы</w:t>
      </w:r>
      <w:r>
        <w:t>ш</w:t>
      </w:r>
      <w:r>
        <w:t>ленного производства, названный условно дуоденином.</w:t>
      </w:r>
    </w:p>
    <w:p w:rsidR="00F4654E" w:rsidRDefault="00F4654E">
      <w:pPr>
        <w:pStyle w:val="a6"/>
      </w:pPr>
      <w:r>
        <w:t>Установлено, что назначение препаратов в дозе 50,0 мл в перерасчете на экстракт двенадцатиперстной кишки перед каждым кормлением в теч</w:t>
      </w:r>
      <w:r>
        <w:t>е</w:t>
      </w:r>
      <w:r>
        <w:t>ние двух суток у здоровых телят не влиял отрицательно на клиническое состояние, гематологические показатели, бактерицидную и опсонофагоц</w:t>
      </w:r>
      <w:r>
        <w:t>и</w:t>
      </w:r>
      <w:r>
        <w:t xml:space="preserve">тарную активность. </w:t>
      </w:r>
    </w:p>
    <w:p w:rsidR="00F4654E" w:rsidRDefault="00F4654E">
      <w:pPr>
        <w:pStyle w:val="a6"/>
      </w:pPr>
      <w:r>
        <w:t>При назначении в хозяйствах для профилактики острых расстройств пищеварения, у телят улучшался аппетит, подвижность,  в большинстве случаев телята оставались здоровыми. У больных телят после выпаивания препарата учащались шумы в животе, учащались дефекация и мочеиспу</w:t>
      </w:r>
      <w:r>
        <w:t>с</w:t>
      </w:r>
      <w:r>
        <w:t>кание, признаков беспокойства не отмечали. После двухдневного лечения аппетит, перистальтика кишечника, физические свойства фекалий улучш</w:t>
      </w:r>
      <w:r>
        <w:t>а</w:t>
      </w:r>
      <w:r>
        <w:t>лись, телята выздоравливали. Гематологические показатели у профилакт</w:t>
      </w:r>
      <w:r>
        <w:t>и</w:t>
      </w:r>
      <w:r>
        <w:t xml:space="preserve">рованных не отличались от здоровых телят. Показатели резистентности – бактерицидная активность, опсонофагоцитарный показатель указывали на </w:t>
      </w:r>
      <w:r>
        <w:lastRenderedPageBreak/>
        <w:t>усиление этих реакций организма. В производственном опыте препарат предотвращал риск возникновения болезни  в 70-91% случаев, а у клин</w:t>
      </w:r>
      <w:r>
        <w:t>и</w:t>
      </w:r>
      <w:r>
        <w:t>чески больных – переход ее в токсическую форму, ускорял выздоровление телят, при этом у них сохранялся аппетит,  клинически были в хорошем состоянии, имели большую массу тела, увеличивалась их сохранность  по сравнению с животными, леченными обычными средствами.</w:t>
      </w:r>
    </w:p>
    <w:p w:rsidR="00F4654E" w:rsidRDefault="00F4654E">
      <w:pPr>
        <w:pStyle w:val="a4"/>
      </w:pPr>
      <w:r>
        <w:t>УДК 636.22/.28:611 – 018.2/.4:614.878</w:t>
      </w:r>
    </w:p>
    <w:p w:rsidR="00F4654E" w:rsidRDefault="00F4654E">
      <w:pPr>
        <w:pStyle w:val="1"/>
      </w:pPr>
      <w:bookmarkStart w:id="5522" w:name="_Toc11138087"/>
      <w:bookmarkStart w:id="5523" w:name="_Toc11138505"/>
      <w:bookmarkStart w:id="5524" w:name="_Toc11138923"/>
      <w:bookmarkStart w:id="5525" w:name="_Toc11139341"/>
      <w:bookmarkStart w:id="5526" w:name="_Toc11139759"/>
      <w:bookmarkStart w:id="5527" w:name="_Toc11140177"/>
      <w:bookmarkStart w:id="5528" w:name="_Toc11140595"/>
      <w:bookmarkStart w:id="5529" w:name="_Toc11390691"/>
      <w:bookmarkStart w:id="5530" w:name="_Toc11840376"/>
      <w:bookmarkStart w:id="5531" w:name="_Toc11937912"/>
      <w:r>
        <w:t>ОСОБЕННОСТИ МОРФОЛОГИЧЕСКИХ ИЗМЕНЕНИЙ ПАРЕНХИМАТОЗНЫХ ОРГАНОВ КРУПНОГО РОГАТОГО СКОТА В ЗОНЕ ХИМИЧЕСКОГО ЗАГРЯЗНЕНИЯ</w:t>
      </w:r>
      <w:bookmarkEnd w:id="5522"/>
      <w:bookmarkEnd w:id="5523"/>
      <w:bookmarkEnd w:id="5524"/>
      <w:bookmarkEnd w:id="5525"/>
      <w:bookmarkEnd w:id="5526"/>
      <w:bookmarkEnd w:id="5527"/>
      <w:bookmarkEnd w:id="5528"/>
      <w:bookmarkEnd w:id="5529"/>
      <w:bookmarkEnd w:id="5530"/>
      <w:bookmarkEnd w:id="5531"/>
    </w:p>
    <w:p w:rsidR="00F4654E" w:rsidRDefault="00F4654E">
      <w:pPr>
        <w:pStyle w:val="2"/>
      </w:pPr>
      <w:bookmarkStart w:id="5532" w:name="_Toc11032407"/>
      <w:bookmarkStart w:id="5533" w:name="_Toc11138088"/>
      <w:bookmarkStart w:id="5534" w:name="_Toc11138506"/>
      <w:bookmarkStart w:id="5535" w:name="_Toc11138924"/>
      <w:bookmarkStart w:id="5536" w:name="_Toc11139342"/>
      <w:bookmarkStart w:id="5537" w:name="_Toc11139760"/>
      <w:bookmarkStart w:id="5538" w:name="_Toc11140178"/>
      <w:bookmarkStart w:id="5539" w:name="_Toc11140596"/>
      <w:bookmarkStart w:id="5540" w:name="_Toc11390692"/>
      <w:bookmarkStart w:id="5541" w:name="_Toc11937913"/>
      <w:r>
        <w:t>Толкачев И.С.</w:t>
      </w:r>
      <w:bookmarkEnd w:id="5532"/>
      <w:bookmarkEnd w:id="5533"/>
      <w:bookmarkEnd w:id="5534"/>
      <w:bookmarkEnd w:id="5535"/>
      <w:bookmarkEnd w:id="5536"/>
      <w:bookmarkEnd w:id="5537"/>
      <w:bookmarkEnd w:id="5538"/>
      <w:bookmarkEnd w:id="5539"/>
      <w:bookmarkEnd w:id="5540"/>
      <w:bookmarkEnd w:id="5541"/>
    </w:p>
    <w:p w:rsidR="00F4654E" w:rsidRDefault="00F4654E">
      <w:pPr>
        <w:pStyle w:val="a5"/>
      </w:pPr>
      <w:r>
        <w:t xml:space="preserve">Всероссийский НИВИ патологии, фармакологии и терапии </w:t>
      </w:r>
    </w:p>
    <w:p w:rsidR="00F4654E" w:rsidRDefault="00F4654E">
      <w:pPr>
        <w:pStyle w:val="a6"/>
      </w:pPr>
      <w:r>
        <w:t>В экологически неблагополучном регионе, вблизи с заводом по пр</w:t>
      </w:r>
      <w:r>
        <w:t>о</w:t>
      </w:r>
      <w:r>
        <w:t>изводству минеральных удобрений проводился убой телок симментал</w:t>
      </w:r>
      <w:r>
        <w:t>ь</w:t>
      </w:r>
      <w:r>
        <w:t>ской породы в возрасте 1,6 года. Для морфологических исследований были отобраны и зафиксированы в 10% нейтральном формалине образцы паре</w:t>
      </w:r>
      <w:r>
        <w:t>н</w:t>
      </w:r>
      <w:r>
        <w:t>химатозных органов. Гистологические срезы окрашивали гематоксилином и эозином.</w:t>
      </w:r>
    </w:p>
    <w:p w:rsidR="00F4654E" w:rsidRDefault="00F4654E">
      <w:pPr>
        <w:pStyle w:val="a6"/>
      </w:pPr>
      <w:r>
        <w:t>При гистологическом исследовании в легких обнаружено: прослойки периваскулярной соединительной ткани расширены, эпителий крупных и мелких бронхов с признаками гиперсекреции. В просветах крупных бро</w:t>
      </w:r>
      <w:r>
        <w:t>н</w:t>
      </w:r>
      <w:r>
        <w:t>хов слизистые пробки с лейкоцитами. В подслизистом слое густая и</w:t>
      </w:r>
      <w:r>
        <w:t>н</w:t>
      </w:r>
      <w:r>
        <w:t>фильтрация широким поясом охватывающая бронх, всю стенку и распр</w:t>
      </w:r>
      <w:r>
        <w:t>о</w:t>
      </w:r>
      <w:r>
        <w:t>страняющаяся на прилежащую паренхиму (бронхопневмония). Имеются крупные очаговые инфильтраты: в одних не определяются элементы бро</w:t>
      </w:r>
      <w:r>
        <w:t>н</w:t>
      </w:r>
      <w:r>
        <w:t>хов и имеют вид гранулем, в других, с остатками элементов бронхов  - панбронхит. Альвеолы различных размеров, отдельные расширены, другие в дисателектазе.  В альвеолах отечная жидкость.</w:t>
      </w:r>
    </w:p>
    <w:p w:rsidR="00F4654E" w:rsidRDefault="00F4654E">
      <w:pPr>
        <w:pStyle w:val="a6"/>
      </w:pPr>
      <w:r>
        <w:t>В печени мелкие портальные тракты  с небольшим количеством  с</w:t>
      </w:r>
      <w:r>
        <w:t>о</w:t>
      </w:r>
      <w:r>
        <w:t>единительной ткани и скудной круглоклеточной инфильтрацией. Рыхлые круглоклеточные инфильтраты встречаются в дольке. Синусоиды нескол</w:t>
      </w:r>
      <w:r>
        <w:t>ь</w:t>
      </w:r>
      <w:r>
        <w:t>ко расширены около центральных вен. Дольки с дискомплексацией геп</w:t>
      </w:r>
      <w:r>
        <w:t>а</w:t>
      </w:r>
      <w:r>
        <w:t>тоцитов. Цитоплазма печеночных клеток розовая комковатая с неровными просветлениями. Отдельные гепатоциты с интенсивно ацидофильной ц</w:t>
      </w:r>
      <w:r>
        <w:t>и</w:t>
      </w:r>
      <w:r>
        <w:t>топлазмой, гиперхромными ядрами. Размер этих гепатоцитов уменьшен.</w:t>
      </w:r>
    </w:p>
    <w:p w:rsidR="00F4654E" w:rsidRDefault="00F4654E">
      <w:pPr>
        <w:pStyle w:val="a6"/>
      </w:pPr>
      <w:r>
        <w:t>В почках клубочки одинаковых размеров, капилляры клубочков з</w:t>
      </w:r>
      <w:r>
        <w:t>а</w:t>
      </w:r>
      <w:r>
        <w:t>пустевшие, эпителий извитых канальцев с признаками белковой дистр</w:t>
      </w:r>
      <w:r>
        <w:t>о</w:t>
      </w:r>
      <w:r>
        <w:t>фии, часть клеток без ядер, цитоплазма розовая зернистая. В некоторых случаях сосуды спазмированы, умеренная периваскулярная круглоклето</w:t>
      </w:r>
      <w:r>
        <w:t>ч</w:t>
      </w:r>
      <w:r>
        <w:t>ная инфильтрация, количество интерстициальной соединительной ткани увеличено.</w:t>
      </w:r>
    </w:p>
    <w:p w:rsidR="00F4654E" w:rsidRDefault="00F4654E">
      <w:pPr>
        <w:pStyle w:val="a6"/>
      </w:pPr>
      <w:r>
        <w:lastRenderedPageBreak/>
        <w:t>В сердце незначительная диффузная круглоклеточная инфильтрация и резкий отек интерстиция – пучки мышечных волокон раздвинуты. Отмеч</w:t>
      </w:r>
      <w:r>
        <w:t>а</w:t>
      </w:r>
      <w:r>
        <w:t>ется фрагментация мышечных волокон, причем, в одном случае наблюд</w:t>
      </w:r>
      <w:r>
        <w:t>а</w:t>
      </w:r>
      <w:r>
        <w:t>ется распад мышечных волокон. Просветы отдельных мелких коронарных артерий забиты скоплениями десквамированного эндотелия.</w:t>
      </w:r>
    </w:p>
    <w:p w:rsidR="00F4654E" w:rsidRDefault="00F4654E">
      <w:pPr>
        <w:pStyle w:val="a6"/>
      </w:pPr>
      <w:r>
        <w:t>В щитовидной железе фолликулы крупные, овальные, заполнены гу</w:t>
      </w:r>
      <w:r>
        <w:t>с</w:t>
      </w:r>
      <w:r>
        <w:t>тым плотным коллоидом, на отдельных небольших участках с признаками активной резорбции. Среди полей крупных фолликулов лежат большие или меньшие скопления мелких фолликулов, во всех случаях эпителий к</w:t>
      </w:r>
      <w:r>
        <w:t>у</w:t>
      </w:r>
      <w:r>
        <w:t>бический (морфологические изменения соответствуют гипофункции щ</w:t>
      </w:r>
      <w:r>
        <w:t>и</w:t>
      </w:r>
      <w:r>
        <w:t>товидной железы).</w:t>
      </w:r>
    </w:p>
    <w:p w:rsidR="00F4654E" w:rsidRDefault="00F4654E">
      <w:pPr>
        <w:pStyle w:val="a6"/>
      </w:pPr>
      <w:r>
        <w:t>Поджелудочная железа – эндокринные островки мелкие, лежат ра</w:t>
      </w:r>
      <w:r>
        <w:t>в</w:t>
      </w:r>
      <w:r>
        <w:t>номерно в железистых дольках, последние разделены тонкими прослойк</w:t>
      </w:r>
      <w:r>
        <w:t>а</w:t>
      </w:r>
      <w:r>
        <w:t>ми соединительной ткани, в отдельных случаях с явлениями отека.</w:t>
      </w:r>
    </w:p>
    <w:p w:rsidR="00F4654E" w:rsidRDefault="00F4654E">
      <w:pPr>
        <w:pStyle w:val="a6"/>
      </w:pPr>
      <w:r>
        <w:t>Селезенка с многочисленными лимфоидными фолликулами, с кру</w:t>
      </w:r>
      <w:r>
        <w:t>п</w:t>
      </w:r>
      <w:r>
        <w:t xml:space="preserve">ными светлыми центрами роста. Гистологическая картина соответствует иммунному ответу по гуморальному  типу. В одном случае наблюдается гиперплазия Т-зон, фолликулы мелкие, немногочисленные, с мелкими светлыми центрами, или без таковых. Это показывает наличие клеточного иммунного ответа или реакции гиперчувствительности замедленного типа. </w:t>
      </w:r>
    </w:p>
    <w:p w:rsidR="00F4654E" w:rsidRDefault="00F4654E">
      <w:pPr>
        <w:pStyle w:val="a6"/>
      </w:pPr>
      <w:r>
        <w:t>В лимфатических узлах фолликулы крупные со светлыми центрами роста. В паракортикальном слое некоторых фолликулов скопление сид</w:t>
      </w:r>
      <w:r>
        <w:t>е</w:t>
      </w:r>
      <w:r>
        <w:t>рофагов. В лимфоузлах иммунный ответ гиперчувствительности неме</w:t>
      </w:r>
      <w:r>
        <w:t>д</w:t>
      </w:r>
      <w:r>
        <w:t>ленного типа.</w:t>
      </w:r>
    </w:p>
    <w:p w:rsidR="00F4654E" w:rsidRDefault="00F4654E">
      <w:pPr>
        <w:pStyle w:val="a6"/>
      </w:pPr>
      <w:r>
        <w:t>Таким образом, у исследованных животных выявлены воспалител</w:t>
      </w:r>
      <w:r>
        <w:t>ь</w:t>
      </w:r>
      <w:r>
        <w:t>ные заболевания органов дыхания, а именно, панбронхит, бронхопневм</w:t>
      </w:r>
      <w:r>
        <w:t>о</w:t>
      </w:r>
      <w:r>
        <w:t>ния с абссцедированием, в отдельных случаях с наличием эпителиоидно-клеточных гранулем. В печени, почках и сердце вторичные изменения в виде паренхиматозных дистрофий (ацидофильная, зернистая и гиалиново-капельная, соответственно). Снижение функции щитовидной железы. По изменениям лимфоидных органов обнаруживается преобладание реакции гиперчувствительности немедленного типа. Все это подтверждает наличие неблагоприятного экологического фона.</w:t>
      </w:r>
    </w:p>
    <w:p w:rsidR="00F4654E" w:rsidRDefault="00F4654E">
      <w:pPr>
        <w:pStyle w:val="a4"/>
      </w:pPr>
      <w:r>
        <w:t>УДК 616.36-091-076</w:t>
      </w:r>
    </w:p>
    <w:p w:rsidR="00F4654E" w:rsidRDefault="00F4654E">
      <w:pPr>
        <w:pStyle w:val="1"/>
      </w:pPr>
      <w:bookmarkStart w:id="5542" w:name="_Toc10731620"/>
      <w:bookmarkStart w:id="5543" w:name="_Toc11138089"/>
      <w:bookmarkStart w:id="5544" w:name="_Toc11138507"/>
      <w:bookmarkStart w:id="5545" w:name="_Toc11138925"/>
      <w:bookmarkStart w:id="5546" w:name="_Toc11139343"/>
      <w:bookmarkStart w:id="5547" w:name="_Toc11139761"/>
      <w:bookmarkStart w:id="5548" w:name="_Toc11140179"/>
      <w:bookmarkStart w:id="5549" w:name="_Toc11140597"/>
      <w:bookmarkStart w:id="5550" w:name="_Toc11390693"/>
      <w:bookmarkStart w:id="5551" w:name="_Toc11840378"/>
      <w:bookmarkStart w:id="5552" w:name="_Toc11937914"/>
      <w:r>
        <w:t>АНАТОМИЧЕСКОЕ РАЗНООБРАЗИЕ ПОВЕРХНОСТИ ПЕЧЕНИ ЧЕЛОВЕКА И МОРФОМЕТРИЧЕСКИЕ  ПОКАЗАТЕЛИ КАПСУЛЫ</w:t>
      </w:r>
      <w:bookmarkEnd w:id="5542"/>
      <w:bookmarkEnd w:id="5543"/>
      <w:bookmarkEnd w:id="5544"/>
      <w:bookmarkEnd w:id="5545"/>
      <w:bookmarkEnd w:id="5546"/>
      <w:bookmarkEnd w:id="5547"/>
      <w:bookmarkEnd w:id="5548"/>
      <w:bookmarkEnd w:id="5549"/>
      <w:bookmarkEnd w:id="5550"/>
      <w:bookmarkEnd w:id="5551"/>
      <w:bookmarkEnd w:id="5552"/>
      <w:r>
        <w:t xml:space="preserve"> </w:t>
      </w:r>
    </w:p>
    <w:p w:rsidR="00F4654E" w:rsidRDefault="00F4654E">
      <w:pPr>
        <w:pStyle w:val="2"/>
      </w:pPr>
      <w:bookmarkStart w:id="5553" w:name="_Toc10731621"/>
      <w:bookmarkStart w:id="5554" w:name="_Toc11032408"/>
      <w:bookmarkStart w:id="5555" w:name="_Toc11138090"/>
      <w:bookmarkStart w:id="5556" w:name="_Toc11138508"/>
      <w:bookmarkStart w:id="5557" w:name="_Toc11138926"/>
      <w:bookmarkStart w:id="5558" w:name="_Toc11139344"/>
      <w:bookmarkStart w:id="5559" w:name="_Toc11139762"/>
      <w:bookmarkStart w:id="5560" w:name="_Toc11140180"/>
      <w:bookmarkStart w:id="5561" w:name="_Toc11140598"/>
      <w:bookmarkStart w:id="5562" w:name="_Toc11390694"/>
      <w:bookmarkStart w:id="5563" w:name="_Toc11937915"/>
      <w:r>
        <w:t>Толкачев И.С.*, Де-Жорж И.Г., Маркина Н.П., Маркин П.Г.</w:t>
      </w:r>
      <w:bookmarkEnd w:id="5553"/>
      <w:bookmarkEnd w:id="5554"/>
      <w:bookmarkEnd w:id="5555"/>
      <w:bookmarkEnd w:id="5556"/>
      <w:bookmarkEnd w:id="5557"/>
      <w:bookmarkEnd w:id="5558"/>
      <w:bookmarkEnd w:id="5559"/>
      <w:bookmarkEnd w:id="5560"/>
      <w:bookmarkEnd w:id="5561"/>
      <w:bookmarkEnd w:id="5562"/>
      <w:bookmarkEnd w:id="5563"/>
    </w:p>
    <w:p w:rsidR="00F4654E" w:rsidRDefault="00F4654E">
      <w:pPr>
        <w:pStyle w:val="a5"/>
      </w:pPr>
      <w:r>
        <w:t xml:space="preserve">*Всероссийский НИВИ патологии, фармакологии и терапии </w:t>
      </w:r>
      <w:r>
        <w:br/>
        <w:t xml:space="preserve">Воронежская государственная медицинская академия им. Н.Н. Бурденко </w:t>
      </w:r>
    </w:p>
    <w:p w:rsidR="00F4654E" w:rsidRDefault="00F4654E">
      <w:pPr>
        <w:pStyle w:val="a6"/>
      </w:pPr>
      <w:r>
        <w:t>При развитии лапароскопической техники и возможностей автомат</w:t>
      </w:r>
      <w:r>
        <w:t>и</w:t>
      </w:r>
      <w:r>
        <w:t>зированной регистрации и обработки визуальных образов становятся акт</w:t>
      </w:r>
      <w:r>
        <w:t>у</w:t>
      </w:r>
      <w:r>
        <w:lastRenderedPageBreak/>
        <w:t>альными работы, посвященные изучению анатомического территориальн</w:t>
      </w:r>
      <w:r>
        <w:t>о</w:t>
      </w:r>
      <w:r>
        <w:t>го разнообразия капсулы печени в норме и при патологии, поиск морфол</w:t>
      </w:r>
      <w:r>
        <w:t>о</w:t>
      </w:r>
      <w:r>
        <w:t>гических эквивалентов изменений, обнаруживаемых при исследовании п</w:t>
      </w:r>
      <w:r>
        <w:t>о</w:t>
      </w:r>
      <w:r>
        <w:t>верхности происходящему в толще органа.</w:t>
      </w:r>
    </w:p>
    <w:p w:rsidR="00F4654E" w:rsidRDefault="00F4654E">
      <w:pPr>
        <w:pStyle w:val="a6"/>
      </w:pPr>
      <w:r>
        <w:t>Целью нашей работы было изучение количественного разнообразия капсулы печени в зависимости от ее принадлежности к различным анат</w:t>
      </w:r>
      <w:r>
        <w:t>о</w:t>
      </w:r>
      <w:r>
        <w:t>мическим территориям поверхности печени.</w:t>
      </w:r>
    </w:p>
    <w:p w:rsidR="00F4654E" w:rsidRDefault="00F4654E">
      <w:pPr>
        <w:pStyle w:val="a6"/>
      </w:pPr>
      <w:r>
        <w:t>Материалом исследования служила печень молодого мужчины (во</w:t>
      </w:r>
      <w:r>
        <w:t>з</w:t>
      </w:r>
      <w:r>
        <w:t>раст 42 года), причиной смерти которого явился острый инфаркт миокарда.  По два образца ткани забирали: с диафрагмальной поверхности правой и левой доли, с висцеральной поверхности правой, левой, квадратной, хв</w:t>
      </w:r>
      <w:r>
        <w:t>о</w:t>
      </w:r>
      <w:r>
        <w:t>статой  долей, из ямки желчного пузыря и нижнего края печени (всего 16 кусочков). На гистологических препаратах окрашенных гематоксилином и эозином, после фиксации в формалине и заливки в парафин, с помощью окуляр-микрометра проведено раздельное определение толщины “тонкой” порции капсулы печени, и “утолщений” капсулы – “септальных” структур, содержащих ветви портальных трактов и печеночных вен. При учете дл</w:t>
      </w:r>
      <w:r>
        <w:t>и</w:t>
      </w:r>
      <w:r>
        <w:t>ны исследуемого профиля капсулы на каждой территории определяли среднюю глубину, ширину, индекс формы и относительную долю ширины “утолщений” капсулы.</w:t>
      </w:r>
      <w:r>
        <w:rPr>
          <w:kern w:val="16"/>
        </w:rPr>
        <w:t xml:space="preserve"> Промеры проводили при увеличении микроскопа  в 180 раз (объектив </w:t>
      </w:r>
      <w:r>
        <w:rPr>
          <w:kern w:val="16"/>
          <w:sz w:val="20"/>
        </w:rPr>
        <w:object w:dxaOrig="220" w:dyaOrig="220">
          <v:shape id="_x0000_i1026" type="#_x0000_t75" style="width:11.25pt;height:11.25pt" o:ole="" fillcolor="window">
            <v:imagedata r:id="rId9" o:title=""/>
          </v:shape>
          <o:OLEObject Type="Embed" ProgID="Equation.3" ShapeID="_x0000_i1026" DrawAspect="Content" ObjectID="_1616487235" r:id="rId10"/>
        </w:object>
      </w:r>
      <w:r>
        <w:rPr>
          <w:kern w:val="16"/>
        </w:rPr>
        <w:t xml:space="preserve">8, окуляр </w:t>
      </w:r>
      <w:r>
        <w:rPr>
          <w:kern w:val="16"/>
          <w:sz w:val="20"/>
        </w:rPr>
        <w:object w:dxaOrig="220" w:dyaOrig="220">
          <v:shape id="_x0000_i1027" type="#_x0000_t75" style="width:11.25pt;height:11.25pt" o:ole="" fillcolor="window">
            <v:imagedata r:id="rId9" o:title=""/>
          </v:shape>
          <o:OLEObject Type="Embed" ProgID="Equation.3" ShapeID="_x0000_i1027" DrawAspect="Content" ObjectID="_1616487236" r:id="rId11"/>
        </w:object>
      </w:r>
      <w:r>
        <w:rPr>
          <w:kern w:val="16"/>
        </w:rPr>
        <w:t xml:space="preserve">15, промежуточное увеличение </w:t>
      </w:r>
      <w:r>
        <w:rPr>
          <w:kern w:val="16"/>
          <w:sz w:val="20"/>
        </w:rPr>
        <w:object w:dxaOrig="220" w:dyaOrig="220">
          <v:shape id="_x0000_i1028" type="#_x0000_t75" style="width:11.25pt;height:11.25pt" o:ole="" fillcolor="window">
            <v:imagedata r:id="rId9" o:title=""/>
          </v:shape>
          <o:OLEObject Type="Embed" ProgID="Equation.3" ShapeID="_x0000_i1028" DrawAspect="Content" ObjectID="_1616487237" r:id="rId12"/>
        </w:object>
      </w:r>
      <w:r>
        <w:rPr>
          <w:kern w:val="16"/>
        </w:rPr>
        <w:t xml:space="preserve"> 1,5). О</w:t>
      </w:r>
      <w:r>
        <w:rPr>
          <w:kern w:val="16"/>
        </w:rPr>
        <w:t>б</w:t>
      </w:r>
      <w:r>
        <w:rPr>
          <w:kern w:val="16"/>
        </w:rPr>
        <w:t>щая длина исследуемой капсулы двух образцов составляла не менее 30 мм.</w:t>
      </w:r>
    </w:p>
    <w:p w:rsidR="00F4654E" w:rsidRPr="004D29CD" w:rsidRDefault="00F4654E">
      <w:pPr>
        <w:pStyle w:val="a6"/>
        <w:rPr>
          <w:spacing w:val="-2"/>
        </w:rPr>
      </w:pPr>
      <w:r w:rsidRPr="004D29CD">
        <w:rPr>
          <w:spacing w:val="-2"/>
        </w:rPr>
        <w:t xml:space="preserve">  Рассматривая капсулу как состоящую из двух порций: “тонкой” (со</w:t>
      </w:r>
      <w:r w:rsidRPr="004D29CD">
        <w:rPr>
          <w:spacing w:val="-2"/>
        </w:rPr>
        <w:t>б</w:t>
      </w:r>
      <w:r w:rsidRPr="004D29CD">
        <w:rPr>
          <w:spacing w:val="-2"/>
        </w:rPr>
        <w:t>ственно висцеральной брюшины) и “утолщений” (“септальных стру</w:t>
      </w:r>
      <w:r w:rsidRPr="004D29CD">
        <w:rPr>
          <w:spacing w:val="-2"/>
        </w:rPr>
        <w:t>к</w:t>
      </w:r>
      <w:r w:rsidRPr="004D29CD">
        <w:rPr>
          <w:spacing w:val="-2"/>
        </w:rPr>
        <w:t>тур”, термин широко применяется лапароскопистами), полученные резул</w:t>
      </w:r>
      <w:r w:rsidRPr="004D29CD">
        <w:rPr>
          <w:spacing w:val="-2"/>
        </w:rPr>
        <w:t>ь</w:t>
      </w:r>
      <w:r w:rsidRPr="004D29CD">
        <w:rPr>
          <w:spacing w:val="-2"/>
        </w:rPr>
        <w:t>таты не в полной мере подтверждают устоявшееся представление о большей то</w:t>
      </w:r>
      <w:r w:rsidRPr="004D29CD">
        <w:rPr>
          <w:spacing w:val="-2"/>
        </w:rPr>
        <w:t>л</w:t>
      </w:r>
      <w:r w:rsidRPr="004D29CD">
        <w:rPr>
          <w:spacing w:val="-2"/>
        </w:rPr>
        <w:t>щине капсулы висцеральной поверхности печени. “Тонкая” порция капсулы имеет практически одинаковую толщину (0,039 – 0,041 мм) в образцах ди</w:t>
      </w:r>
      <w:r w:rsidRPr="004D29CD">
        <w:rPr>
          <w:spacing w:val="-2"/>
        </w:rPr>
        <w:t>а</w:t>
      </w:r>
      <w:r w:rsidRPr="004D29CD">
        <w:rPr>
          <w:spacing w:val="-2"/>
        </w:rPr>
        <w:t>фрагмальной и висцеральной поверхностей левой и правой долей и н</w:t>
      </w:r>
      <w:r w:rsidRPr="004D29CD">
        <w:rPr>
          <w:spacing w:val="-2"/>
        </w:rPr>
        <w:t>е</w:t>
      </w:r>
      <w:r w:rsidRPr="004D29CD">
        <w:rPr>
          <w:spacing w:val="-2"/>
        </w:rPr>
        <w:t>сколько большую толщину в квадратной (0,045 мм) и хвостатой (0,049 мм) долях. Статистически достоверно (P&lt;0,05) большая толщина “тонкой” по</w:t>
      </w:r>
      <w:r w:rsidRPr="004D29CD">
        <w:rPr>
          <w:spacing w:val="-2"/>
        </w:rPr>
        <w:t>р</w:t>
      </w:r>
      <w:r w:rsidRPr="004D29CD">
        <w:rPr>
          <w:spacing w:val="-2"/>
        </w:rPr>
        <w:t>ции фиброзной капсулы определяется только в образцах нижнего края п</w:t>
      </w:r>
      <w:r w:rsidRPr="004D29CD">
        <w:rPr>
          <w:spacing w:val="-2"/>
        </w:rPr>
        <w:t>е</w:t>
      </w:r>
      <w:r w:rsidRPr="004D29CD">
        <w:rPr>
          <w:spacing w:val="-2"/>
        </w:rPr>
        <w:t>чени (0,064 мм) и пузырной пластинки (0,087 мм). Представление о бол</w:t>
      </w:r>
      <w:r w:rsidRPr="004D29CD">
        <w:rPr>
          <w:spacing w:val="-2"/>
        </w:rPr>
        <w:t>ь</w:t>
      </w:r>
      <w:r w:rsidRPr="004D29CD">
        <w:rPr>
          <w:spacing w:val="-2"/>
        </w:rPr>
        <w:t>шей толщине капсулы висцеральной поверхности создают в среднем более крупные септальные структуры и их большая относител</w:t>
      </w:r>
      <w:r w:rsidRPr="004D29CD">
        <w:rPr>
          <w:spacing w:val="-2"/>
        </w:rPr>
        <w:t>ь</w:t>
      </w:r>
      <w:r w:rsidRPr="004D29CD">
        <w:rPr>
          <w:spacing w:val="-2"/>
        </w:rPr>
        <w:t>ная доля ширины в профилях капсулы на срезах, по сравнению с диафрагмальной поверхн</w:t>
      </w:r>
      <w:r w:rsidRPr="004D29CD">
        <w:rPr>
          <w:spacing w:val="-2"/>
        </w:rPr>
        <w:t>о</w:t>
      </w:r>
      <w:r w:rsidRPr="004D29CD">
        <w:rPr>
          <w:spacing w:val="-2"/>
        </w:rPr>
        <w:t>стью.  Средняя глубина и ширина “утолщений” капсулы в профиле  всех территорий висц</w:t>
      </w:r>
      <w:r w:rsidRPr="004D29CD">
        <w:rPr>
          <w:spacing w:val="-2"/>
        </w:rPr>
        <w:t>е</w:t>
      </w:r>
      <w:r w:rsidRPr="004D29CD">
        <w:rPr>
          <w:spacing w:val="-2"/>
        </w:rPr>
        <w:t>ральной поверхности (соответственно от 0,144 до 0,229 мм и от 0,166 до 0,293 мм), больше таковых диафрагмальной поверхности (0,096 мм и 0,119 мм соответственно). Не нарушая этой закономерности, еще более высокие показатели имеет пузырная пластинка: глубина – 0,264 мм, ширина – 0,743 мм. Относительная доля ширины “утолщений” капсулы, так же выше в о</w:t>
      </w:r>
      <w:r w:rsidRPr="004D29CD">
        <w:rPr>
          <w:spacing w:val="-2"/>
        </w:rPr>
        <w:t>б</w:t>
      </w:r>
      <w:r w:rsidRPr="004D29CD">
        <w:rPr>
          <w:spacing w:val="-2"/>
        </w:rPr>
        <w:t xml:space="preserve">разцах висцеральной поверхности – от 13,77% до 30,45%, </w:t>
      </w:r>
      <w:r w:rsidRPr="004D29CD">
        <w:rPr>
          <w:spacing w:val="-2"/>
        </w:rPr>
        <w:lastRenderedPageBreak/>
        <w:t>по сравнению с диафрагмальной – 11,9%. Ширина “утолщений” капсулы имеет значительное преобладание над глубиной только в квадратной доле и пузырной площадке (индекс формы 0,61 и 0,36, соответственно),  и незн</w:t>
      </w:r>
      <w:r w:rsidRPr="004D29CD">
        <w:rPr>
          <w:spacing w:val="-2"/>
        </w:rPr>
        <w:t>а</w:t>
      </w:r>
      <w:r w:rsidRPr="004D29CD">
        <w:rPr>
          <w:spacing w:val="-2"/>
        </w:rPr>
        <w:t>чительное – на остальных поверхностях (индекс формы от 0,75 до 0,94). П</w:t>
      </w:r>
      <w:r w:rsidRPr="004D29CD">
        <w:rPr>
          <w:spacing w:val="-2"/>
        </w:rPr>
        <w:t>у</w:t>
      </w:r>
      <w:r w:rsidRPr="004D29CD">
        <w:rPr>
          <w:spacing w:val="-2"/>
        </w:rPr>
        <w:t>зырная пластинка имеет единичные, но крупные “утолщения” капсулы с большими кровеносными сосудами и редкими, одиночными желчными пр</w:t>
      </w:r>
      <w:r w:rsidRPr="004D29CD">
        <w:rPr>
          <w:spacing w:val="-2"/>
        </w:rPr>
        <w:t>о</w:t>
      </w:r>
      <w:r w:rsidRPr="004D29CD">
        <w:rPr>
          <w:spacing w:val="-2"/>
        </w:rPr>
        <w:t>токами небольшого диаметра. В подлежащей паренхиме очаги субкапс</w:t>
      </w:r>
      <w:r w:rsidRPr="004D29CD">
        <w:rPr>
          <w:spacing w:val="-2"/>
        </w:rPr>
        <w:t>у</w:t>
      </w:r>
      <w:r w:rsidRPr="004D29CD">
        <w:rPr>
          <w:spacing w:val="-2"/>
        </w:rPr>
        <w:t>лярного фиброза, отделенные от капсулы, часто одним слоем гепатоцитов. Между фиброзной капсулой и стенкой желчного пузыря располагается ры</w:t>
      </w:r>
      <w:r w:rsidRPr="004D29CD">
        <w:rPr>
          <w:spacing w:val="-2"/>
        </w:rPr>
        <w:t>х</w:t>
      </w:r>
      <w:r w:rsidRPr="004D29CD">
        <w:rPr>
          <w:spacing w:val="-2"/>
        </w:rPr>
        <w:t>лая соединительная ткань то</w:t>
      </w:r>
      <w:r w:rsidRPr="004D29CD">
        <w:rPr>
          <w:spacing w:val="-2"/>
        </w:rPr>
        <w:t>л</w:t>
      </w:r>
      <w:r w:rsidRPr="004D29CD">
        <w:rPr>
          <w:spacing w:val="-2"/>
        </w:rPr>
        <w:t xml:space="preserve">щиной от 0,150 до 0,400 мм. </w:t>
      </w:r>
    </w:p>
    <w:p w:rsidR="00F4654E" w:rsidRPr="004D29CD" w:rsidRDefault="00F4654E">
      <w:pPr>
        <w:pStyle w:val="a6"/>
        <w:rPr>
          <w:spacing w:val="-4"/>
        </w:rPr>
      </w:pPr>
      <w:r w:rsidRPr="004D29CD">
        <w:rPr>
          <w:spacing w:val="-4"/>
        </w:rPr>
        <w:t>Таким образом, капсула печени имеет выраженное территориальное различие своих количественных показателей. Большая массивность капс</w:t>
      </w:r>
      <w:r w:rsidRPr="004D29CD">
        <w:rPr>
          <w:spacing w:val="-4"/>
        </w:rPr>
        <w:t>у</w:t>
      </w:r>
      <w:r w:rsidRPr="004D29CD">
        <w:rPr>
          <w:spacing w:val="-4"/>
        </w:rPr>
        <w:t>лы висцеральной поверхности печени обусловлена не толщиной собственно л</w:t>
      </w:r>
      <w:r w:rsidRPr="004D29CD">
        <w:rPr>
          <w:spacing w:val="-4"/>
        </w:rPr>
        <w:t>и</w:t>
      </w:r>
      <w:r w:rsidRPr="004D29CD">
        <w:rPr>
          <w:spacing w:val="-4"/>
        </w:rPr>
        <w:t>стка висцеральной брюшины, а размерами и густотой септальных структур (портальных трактов и печеночных вен, выходящих на повер</w:t>
      </w:r>
      <w:r w:rsidRPr="004D29CD">
        <w:rPr>
          <w:spacing w:val="-4"/>
        </w:rPr>
        <w:t>х</w:t>
      </w:r>
      <w:r w:rsidRPr="004D29CD">
        <w:rPr>
          <w:spacing w:val="-4"/>
        </w:rPr>
        <w:t>ность).</w:t>
      </w:r>
    </w:p>
    <w:p w:rsidR="00F4654E" w:rsidRDefault="00F4654E">
      <w:pPr>
        <w:pStyle w:val="a4"/>
      </w:pPr>
      <w:r>
        <w:t>УДК 636.22/.28.083.37:612.014.4</w:t>
      </w:r>
    </w:p>
    <w:p w:rsidR="00F4654E" w:rsidRDefault="00F4654E">
      <w:pPr>
        <w:pStyle w:val="1"/>
      </w:pPr>
      <w:bookmarkStart w:id="5564" w:name="_Toc11138091"/>
      <w:bookmarkStart w:id="5565" w:name="_Toc11138509"/>
      <w:bookmarkStart w:id="5566" w:name="_Toc11138927"/>
      <w:bookmarkStart w:id="5567" w:name="_Toc11139345"/>
      <w:bookmarkStart w:id="5568" w:name="_Toc11139763"/>
      <w:bookmarkStart w:id="5569" w:name="_Toc11140181"/>
      <w:bookmarkStart w:id="5570" w:name="_Toc11140599"/>
      <w:bookmarkStart w:id="5571" w:name="_Toc11390695"/>
      <w:bookmarkStart w:id="5572" w:name="_Toc11840380"/>
      <w:bookmarkStart w:id="5573" w:name="_Toc11937916"/>
      <w:r>
        <w:t xml:space="preserve">СОСТОЯНИЕ ЕСТЕТСТВЕННОЙ РЕЗИСТЕНТНОСТИ ТЕЛЯТ </w:t>
      </w:r>
      <w:r>
        <w:br/>
        <w:t>В УСЛОВИЯХ ХИМИЧЕСКОГО ЗАГРЯЗНЕНИЯ ВНЕШНЕЙ СРЕДЫ</w:t>
      </w:r>
      <w:bookmarkEnd w:id="5564"/>
      <w:bookmarkEnd w:id="5565"/>
      <w:bookmarkEnd w:id="5566"/>
      <w:bookmarkEnd w:id="5567"/>
      <w:bookmarkEnd w:id="5568"/>
      <w:bookmarkEnd w:id="5569"/>
      <w:bookmarkEnd w:id="5570"/>
      <w:bookmarkEnd w:id="5571"/>
      <w:bookmarkEnd w:id="5572"/>
      <w:bookmarkEnd w:id="5573"/>
    </w:p>
    <w:p w:rsidR="00F4654E" w:rsidRDefault="00F4654E">
      <w:pPr>
        <w:pStyle w:val="2"/>
      </w:pPr>
      <w:bookmarkStart w:id="5574" w:name="_Toc11032409"/>
      <w:bookmarkStart w:id="5575" w:name="_Toc11138092"/>
      <w:bookmarkStart w:id="5576" w:name="_Toc11138510"/>
      <w:bookmarkStart w:id="5577" w:name="_Toc11138928"/>
      <w:bookmarkStart w:id="5578" w:name="_Toc11139346"/>
      <w:bookmarkStart w:id="5579" w:name="_Toc11139764"/>
      <w:bookmarkStart w:id="5580" w:name="_Toc11140182"/>
      <w:bookmarkStart w:id="5581" w:name="_Toc11140600"/>
      <w:bookmarkStart w:id="5582" w:name="_Toc11390696"/>
      <w:bookmarkStart w:id="5583" w:name="_Toc11937917"/>
      <w:r>
        <w:t>Топурия Г.М.</w:t>
      </w:r>
      <w:bookmarkEnd w:id="5574"/>
      <w:bookmarkEnd w:id="5575"/>
      <w:bookmarkEnd w:id="5576"/>
      <w:bookmarkEnd w:id="5577"/>
      <w:bookmarkEnd w:id="5578"/>
      <w:bookmarkEnd w:id="5579"/>
      <w:bookmarkEnd w:id="5580"/>
      <w:bookmarkEnd w:id="5581"/>
      <w:bookmarkEnd w:id="5582"/>
      <w:bookmarkEnd w:id="5583"/>
    </w:p>
    <w:p w:rsidR="00F4654E" w:rsidRDefault="00F4654E">
      <w:pPr>
        <w:pStyle w:val="a5"/>
      </w:pPr>
      <w:r>
        <w:t>Оренбургский государственный аграрный университет</w:t>
      </w:r>
    </w:p>
    <w:p w:rsidR="00F4654E" w:rsidRDefault="00F4654E">
      <w:pPr>
        <w:pStyle w:val="a6"/>
      </w:pPr>
      <w:r>
        <w:t>В настоящее время уровни техногенного воздействия на окружающую среду приобрели в ряде районов страны катастрофические масштабы. Оренбургская область занимает особое место в Российской Федерации по количеству и влиянию антропогенных факторов на организм животных.</w:t>
      </w:r>
    </w:p>
    <w:p w:rsidR="00F4654E" w:rsidRDefault="00F4654E">
      <w:pPr>
        <w:pStyle w:val="a6"/>
      </w:pPr>
      <w:r>
        <w:t>Цель наших исследований – изучить состояние естественной рез</w:t>
      </w:r>
      <w:r>
        <w:t>и</w:t>
      </w:r>
      <w:r>
        <w:t>стентности у телят в условиях загрязнения внешней среды химическими ксенобиотиками. Было сформировано 3 группы животных: две опытные и одна контрольная. Телята первой опытной группы выращивались в хозя</w:t>
      </w:r>
      <w:r>
        <w:t>й</w:t>
      </w:r>
      <w:r>
        <w:t>ствах Кувандыкского района, расположенных в зоне экологического вли</w:t>
      </w:r>
      <w:r>
        <w:t>я</w:t>
      </w:r>
      <w:r>
        <w:t>ния Южно-Уральского криолитового завода, а второй опытной – в зоне Медногорского медно-серного комбината. Контрольные животные соде</w:t>
      </w:r>
      <w:r>
        <w:t>р</w:t>
      </w:r>
      <w:r>
        <w:t>жались в хозяйствах Беляевского района, который считается экологически благополучным.</w:t>
      </w:r>
    </w:p>
    <w:p w:rsidR="00F4654E" w:rsidRDefault="00F4654E">
      <w:pPr>
        <w:pStyle w:val="a6"/>
      </w:pPr>
      <w:r>
        <w:t>В результате выбросов Медногорского медно-серного комбината ан</w:t>
      </w:r>
      <w:r>
        <w:t>о</w:t>
      </w:r>
      <w:r>
        <w:t>мально высокое содержание меди отмечено на расстоянии 10 км и более от источника загрязнения, а в зоне 0,5 км среднее ее содержание составило 196 ПДК. В зоне радиусом 1,5 км среднее содержание цинка составило 2,6-3,0 ПДК (максимум 16,3 ПДК). Загрязнение никелем распространяется в радиусе 5 км. Свинец распространен в радиусе 10 км, с максимальным с</w:t>
      </w:r>
      <w:r>
        <w:t>о</w:t>
      </w:r>
      <w:r>
        <w:t>держанием в радиусе 1,5 км на уровне 19,9 ПДК. Установлены превыш</w:t>
      </w:r>
      <w:r>
        <w:t>е</w:t>
      </w:r>
      <w:r>
        <w:lastRenderedPageBreak/>
        <w:t>ния ПДК по кадмию в 5-ти километровой зоне, на расстоянии 0,5 км ур</w:t>
      </w:r>
      <w:r>
        <w:t>о</w:t>
      </w:r>
      <w:r>
        <w:t>вень загрязнения составил 13,5 ПДК.</w:t>
      </w:r>
    </w:p>
    <w:p w:rsidR="00F4654E" w:rsidRDefault="00F4654E">
      <w:pPr>
        <w:pStyle w:val="a6"/>
      </w:pPr>
      <w:r>
        <w:t>В районе техногенного воздействия криолитового завода выявлены аномальные зоны по фтору, никелю и свинцу, занимающие площадь 659, 1460 и 262 га соответственно. Превышение по фтору составило 2,1 ПДК, по никелю – до 6,6 ПДК, по свинцу – свыше 9,6 ПДК.</w:t>
      </w:r>
    </w:p>
    <w:p w:rsidR="00F4654E" w:rsidRDefault="00F4654E">
      <w:pPr>
        <w:pStyle w:val="a6"/>
      </w:pPr>
      <w:r>
        <w:t>Иммунологические показатели у телят изучали в процессе постн</w:t>
      </w:r>
      <w:r>
        <w:t>а</w:t>
      </w:r>
      <w:r>
        <w:t>тального онтогенеза в возрасте 1, 3, 7, 14, 30 суток, 3 месяцев и 6 месяцев. В цельной крови и сыворотке определяли лизоцимную и бактерицидную активность сыворотки крови, активность бета-лизинов, фагоцитарный и</w:t>
      </w:r>
      <w:r>
        <w:t>н</w:t>
      </w:r>
      <w:r>
        <w:t>декс и фагоцитарную активность нейтрофилов.</w:t>
      </w:r>
    </w:p>
    <w:p w:rsidR="00F4654E" w:rsidRDefault="00F4654E">
      <w:pPr>
        <w:pStyle w:val="a6"/>
      </w:pPr>
      <w:r>
        <w:t>Лизоцимная активность сыворотки крови у телят из зоны экологич</w:t>
      </w:r>
      <w:r>
        <w:t>е</w:t>
      </w:r>
      <w:r>
        <w:t>ского неблагополучия была достоверно снижена, относительно контрол</w:t>
      </w:r>
      <w:r>
        <w:t>ь</w:t>
      </w:r>
      <w:r>
        <w:t>ных значений, во все периоды исследования. Если этот показатель у ж</w:t>
      </w:r>
      <w:r>
        <w:t>и</w:t>
      </w:r>
      <w:r>
        <w:t>вотных в возрасте 1 суток из контрольного хозяйства был равен 12,86</w:t>
      </w:r>
      <w:r>
        <w:sym w:font="Symbol" w:char="F0B1"/>
      </w:r>
      <w:r>
        <w:t>0,34 мкг/мл, то в 1 опытной группе – 8,42</w:t>
      </w:r>
      <w:r>
        <w:sym w:font="Symbol" w:char="F0B1"/>
      </w:r>
      <w:r>
        <w:t>0,40, а во 2 опытной – 8,72</w:t>
      </w:r>
      <w:r>
        <w:sym w:font="Symbol" w:char="F0B1"/>
      </w:r>
      <w:r>
        <w:t>0,33 мкг/мл. К 6 месячному возрасту количество лизоцима в сыворотке крови опытных телят увеличивается, однако достоверно уступает данному пок</w:t>
      </w:r>
      <w:r>
        <w:t>а</w:t>
      </w:r>
      <w:r>
        <w:t>зателю у телят из экологически благополучной зоны.</w:t>
      </w:r>
    </w:p>
    <w:p w:rsidR="00F4654E" w:rsidRDefault="00F4654E">
      <w:pPr>
        <w:pStyle w:val="a6"/>
      </w:pPr>
      <w:r>
        <w:t>Бактерицидная активность сыворотки крови у телят 1 опытной группы в возрасте 1 суток на 14,20% меньше, а во 2 опытной – на 6,82% выше, чем в контроле. Однако уже к 3-7 дневному возрасту происходило достоверное снижение изучаемого показателя, относительно контрольных значений. У животных, содержащихся в зоне экологического влияния Южно-Уральского криолитового завода, достоверное снижение бактерицидной активности по сравнению с данными телят из Беляевского района набл</w:t>
      </w:r>
      <w:r>
        <w:t>ю</w:t>
      </w:r>
      <w:r>
        <w:t>далось вплоть до 6 месячного возраста, а у телят, находящихся в зоне те</w:t>
      </w:r>
      <w:r>
        <w:t>х</w:t>
      </w:r>
      <w:r>
        <w:t>ногенного загрязнения от Медногорского медно-серного комбината – лишь до 3 месяцев.</w:t>
      </w:r>
    </w:p>
    <w:p w:rsidR="00F4654E" w:rsidRDefault="00F4654E">
      <w:pPr>
        <w:pStyle w:val="a6"/>
      </w:pPr>
      <w:r>
        <w:t>Активность бета-лизинов у телят из техногенных провинций знач</w:t>
      </w:r>
      <w:r>
        <w:t>и</w:t>
      </w:r>
      <w:r>
        <w:t>тельно ниже, чем у одновозрастного контроля. Наибольшие отличия н</w:t>
      </w:r>
      <w:r>
        <w:t>а</w:t>
      </w:r>
      <w:r>
        <w:t>блюдались у телят 3-х дневного возраста. В этот период, изученный пок</w:t>
      </w:r>
      <w:r>
        <w:t>а</w:t>
      </w:r>
      <w:r>
        <w:t>затель составил в 1 опытной группе – 9,76</w:t>
      </w:r>
      <w:r>
        <w:sym w:font="Symbol" w:char="F0B1"/>
      </w:r>
      <w:r>
        <w:t>0,22%, во 2 опытной – 9,88</w:t>
      </w:r>
      <w:r>
        <w:sym w:font="Symbol" w:char="F0B1"/>
      </w:r>
      <w:r>
        <w:t xml:space="preserve"> 0,19%, а в контроле – 11,92</w:t>
      </w:r>
      <w:r>
        <w:sym w:font="Symbol" w:char="F0B1"/>
      </w:r>
      <w:r>
        <w:t>0,06%.</w:t>
      </w:r>
    </w:p>
    <w:p w:rsidR="00F4654E" w:rsidRDefault="00F4654E">
      <w:pPr>
        <w:pStyle w:val="a6"/>
      </w:pPr>
      <w:r>
        <w:t>Техногенное загрязнение внешней среды тяжелыми металлами оказ</w:t>
      </w:r>
      <w:r>
        <w:t>а</w:t>
      </w:r>
      <w:r>
        <w:t>ло негативное влияние и на клеточные факторы иммунитета телят. Фаг</w:t>
      </w:r>
      <w:r>
        <w:t>о</w:t>
      </w:r>
      <w:r>
        <w:t>цитарный индекс у животных 1 опытной группы был ниже контрольных значений в возрасте 1 суток – на 1,71%, 3 суток – на 31,19%, 7 суток – на 32,64%, 14 суток – на 6,75%, 30 суток – на 2,4%, 3 месяцев – на 9,47%, 6 месяцев – на 5,07%, а во 2 опытной группе соответственно на 11,11; 40,59; 17,99; 3,07; 3,90; 1,89; 1,09%. Аналогичная картина наблюдалась и по ф</w:t>
      </w:r>
      <w:r>
        <w:t>а</w:t>
      </w:r>
      <w:r>
        <w:t>гоцитарной активности нейтрофилов крови телят.</w:t>
      </w:r>
    </w:p>
    <w:p w:rsidR="00F4654E" w:rsidRDefault="00F4654E">
      <w:pPr>
        <w:pStyle w:val="a6"/>
      </w:pPr>
      <w:r>
        <w:lastRenderedPageBreak/>
        <w:t>Таким образом, загрязнение внешней среды химическими ксеноби</w:t>
      </w:r>
      <w:r>
        <w:t>о</w:t>
      </w:r>
      <w:r>
        <w:t>тиками в результате выбросов промышленных предприятий оказывает н</w:t>
      </w:r>
      <w:r>
        <w:t>е</w:t>
      </w:r>
      <w:r>
        <w:t xml:space="preserve">гативное влияние на факторы естественной резистентности телят.  </w:t>
      </w:r>
    </w:p>
    <w:p w:rsidR="00F4654E" w:rsidRDefault="00F4654E">
      <w:pPr>
        <w:pStyle w:val="a4"/>
      </w:pPr>
      <w:r>
        <w:t>УДК 619:615.37:612.014.482</w:t>
      </w:r>
    </w:p>
    <w:p w:rsidR="00F4654E" w:rsidRDefault="00F4654E">
      <w:pPr>
        <w:pStyle w:val="1"/>
      </w:pPr>
      <w:bookmarkStart w:id="5584" w:name="_Toc11138093"/>
      <w:bookmarkStart w:id="5585" w:name="_Toc11138511"/>
      <w:bookmarkStart w:id="5586" w:name="_Toc11138929"/>
      <w:bookmarkStart w:id="5587" w:name="_Toc11139347"/>
      <w:bookmarkStart w:id="5588" w:name="_Toc11139765"/>
      <w:bookmarkStart w:id="5589" w:name="_Toc11140183"/>
      <w:bookmarkStart w:id="5590" w:name="_Toc11140601"/>
      <w:bookmarkStart w:id="5591" w:name="_Toc11390697"/>
      <w:bookmarkStart w:id="5592" w:name="_Toc11840382"/>
      <w:bookmarkStart w:id="5593" w:name="_Toc11937918"/>
      <w:r>
        <w:t>ПРЕНАТАЛЬНАЯ КОРРЕКЦИЯ ИММУНОДЕФИЦИТНЫХ СОСТОЯНИЙ У НОВОРОЖДЕННЫХ ТЕЛЯТ, ПОДВЕРГШИХСЯ ВЛИЯНИЮ МАЛЫХ ДОЗ РАДИАЦИИ</w:t>
      </w:r>
      <w:bookmarkEnd w:id="5584"/>
      <w:bookmarkEnd w:id="5585"/>
      <w:bookmarkEnd w:id="5586"/>
      <w:bookmarkEnd w:id="5587"/>
      <w:bookmarkEnd w:id="5588"/>
      <w:bookmarkEnd w:id="5589"/>
      <w:bookmarkEnd w:id="5590"/>
      <w:bookmarkEnd w:id="5591"/>
      <w:bookmarkEnd w:id="5592"/>
      <w:bookmarkEnd w:id="5593"/>
    </w:p>
    <w:p w:rsidR="00F4654E" w:rsidRDefault="00F4654E">
      <w:pPr>
        <w:pStyle w:val="2"/>
      </w:pPr>
      <w:bookmarkStart w:id="5594" w:name="_Toc11032410"/>
      <w:bookmarkStart w:id="5595" w:name="_Toc11138094"/>
      <w:bookmarkStart w:id="5596" w:name="_Toc11138512"/>
      <w:bookmarkStart w:id="5597" w:name="_Toc11138930"/>
      <w:bookmarkStart w:id="5598" w:name="_Toc11139348"/>
      <w:bookmarkStart w:id="5599" w:name="_Toc11139766"/>
      <w:bookmarkStart w:id="5600" w:name="_Toc11140184"/>
      <w:bookmarkStart w:id="5601" w:name="_Toc11140602"/>
      <w:bookmarkStart w:id="5602" w:name="_Toc11390698"/>
      <w:bookmarkStart w:id="5603" w:name="_Toc11937919"/>
      <w:r>
        <w:t>Топурия Г.М.</w:t>
      </w:r>
      <w:bookmarkEnd w:id="5594"/>
      <w:bookmarkEnd w:id="5595"/>
      <w:bookmarkEnd w:id="5596"/>
      <w:bookmarkEnd w:id="5597"/>
      <w:bookmarkEnd w:id="5598"/>
      <w:bookmarkEnd w:id="5599"/>
      <w:bookmarkEnd w:id="5600"/>
      <w:bookmarkEnd w:id="5601"/>
      <w:bookmarkEnd w:id="5602"/>
      <w:bookmarkEnd w:id="5603"/>
    </w:p>
    <w:p w:rsidR="00F4654E" w:rsidRDefault="00F4654E">
      <w:pPr>
        <w:pStyle w:val="a5"/>
      </w:pPr>
      <w:r>
        <w:t>Оренбургский государственный аграрный университет</w:t>
      </w:r>
    </w:p>
    <w:p w:rsidR="00F4654E" w:rsidRDefault="00F4654E">
      <w:pPr>
        <w:pStyle w:val="a6"/>
      </w:pPr>
      <w:r>
        <w:t>Органы иммунной системы являются критической мишенью для и</w:t>
      </w:r>
      <w:r>
        <w:t>о</w:t>
      </w:r>
      <w:r>
        <w:t>низирующей радиации. Проведенные нами исследования показали, что н</w:t>
      </w:r>
      <w:r>
        <w:t>о</w:t>
      </w:r>
      <w:r>
        <w:t>ворожденные телята, содержащиеся в условиях радионуклидного загря</w:t>
      </w:r>
      <w:r>
        <w:t>з</w:t>
      </w:r>
      <w:r>
        <w:t>нения местности в результате аварии на Чернобыльской АЭС, имеют ни</w:t>
      </w:r>
      <w:r>
        <w:t>з</w:t>
      </w:r>
      <w:r>
        <w:t>кие показатели клеточного и гуморального иммунитета. В связи с этим для профилактики иммунодефицитных состояний у животных требуется пр</w:t>
      </w:r>
      <w:r>
        <w:t>и</w:t>
      </w:r>
      <w:r>
        <w:t>менение фармакологических средств, действие которых направлено на коррекцию нарушенных звеньев иммунитета.</w:t>
      </w:r>
    </w:p>
    <w:p w:rsidR="00F4654E" w:rsidRDefault="00F4654E">
      <w:pPr>
        <w:pStyle w:val="a6"/>
      </w:pPr>
      <w:r>
        <w:t>Цель нашей работы – изучить влияние иммуномодуляторов Т- и В-активина на иммунный статус коров и их новорожденных телят, содерж</w:t>
      </w:r>
      <w:r>
        <w:t>а</w:t>
      </w:r>
      <w:r>
        <w:t>щихся в условиях хронического внешнего и внутреннего облучения.</w:t>
      </w:r>
    </w:p>
    <w:p w:rsidR="00F4654E" w:rsidRDefault="00F4654E">
      <w:pPr>
        <w:pStyle w:val="a6"/>
      </w:pPr>
      <w:r>
        <w:t>Исследования проводили в хозяйствах Брянской области с плотн</w:t>
      </w:r>
      <w:r>
        <w:t>о</w:t>
      </w:r>
      <w:r>
        <w:t xml:space="preserve">стью радионуклидного загрязнения местности по цезию-137 – 40 </w:t>
      </w:r>
      <w:r>
        <w:rPr>
          <w:lang w:val="en-US"/>
        </w:rPr>
        <w:t>Ku</w:t>
      </w:r>
      <w:r>
        <w:t>/км</w:t>
      </w:r>
      <w:r>
        <w:rPr>
          <w:vertAlign w:val="superscript"/>
        </w:rPr>
        <w:t>2</w:t>
      </w:r>
      <w:r>
        <w:t xml:space="preserve"> и выше. Было сформировано две группы животных. Коровам первой группы подкожно вводили Т- и В-активин в дозе 2 мл и 12 мг соответственно, один раз в день в течение трех дней за 2 месяца, 1 месяц и 7 дней до отела. Животным контрольной группы применяли стерильный физраствор. Кровь у коров отбирали из яремной вены в первый день введения препарата, а также после отеля, у полученных от них телят сразу после рождения и до выпойки молозива, а также в возрасте 1, 3, 7, 14 и 30 суток.</w:t>
      </w:r>
    </w:p>
    <w:p w:rsidR="004D29CD" w:rsidRDefault="00F4654E">
      <w:pPr>
        <w:pStyle w:val="a6"/>
      </w:pPr>
      <w:r>
        <w:t>У коров опытной группы после отела наблюдалось увеличение кол</w:t>
      </w:r>
      <w:r>
        <w:t>и</w:t>
      </w:r>
      <w:r>
        <w:t>чества лизоцима сыворотки крови на 4,11%, бактерицидной активности на 10,55% (Р</w:t>
      </w:r>
      <w:r>
        <w:sym w:font="Symbol" w:char="F03C"/>
      </w:r>
      <w:r>
        <w:t>0,01), фагоцитарного индекса на 22,51% (Р</w:t>
      </w:r>
      <w:r>
        <w:sym w:font="Symbol" w:char="F03C"/>
      </w:r>
      <w:r>
        <w:t>0,001), фагоцита</w:t>
      </w:r>
      <w:r>
        <w:t>р</w:t>
      </w:r>
      <w:r>
        <w:t>ной активности нейтрофилов на 17,88% (Р</w:t>
      </w:r>
      <w:r>
        <w:sym w:font="Symbol" w:char="F03C"/>
      </w:r>
      <w:r>
        <w:t xml:space="preserve">0,01) относительно контроля. </w:t>
      </w:r>
    </w:p>
    <w:p w:rsidR="00F4654E" w:rsidRDefault="00F4654E">
      <w:pPr>
        <w:pStyle w:val="a6"/>
      </w:pPr>
      <w:r>
        <w:t>Т- и В-активин оказали позитивное влияние на количество Т- и В-лимфоцитов. Так, у опытных животных было больше абсолютных Т-лимфоцитов – на 25,47% (Р</w:t>
      </w:r>
      <w:r>
        <w:sym w:font="Symbol" w:char="F03C"/>
      </w:r>
      <w:r>
        <w:t>0,05), относительных – на 20,69% (Р</w:t>
      </w:r>
      <w:r>
        <w:sym w:font="Symbol" w:char="F03C"/>
      </w:r>
      <w:r>
        <w:t>0,01), В-лимфоцитов соответственно на 49,28% (Р</w:t>
      </w:r>
      <w:r>
        <w:sym w:font="Symbol" w:char="F03C"/>
      </w:r>
      <w:r>
        <w:t>0,05) и 31,39% (Р</w:t>
      </w:r>
      <w:r>
        <w:sym w:font="Symbol" w:char="F03C"/>
      </w:r>
      <w:r>
        <w:t>0,01) по сра</w:t>
      </w:r>
      <w:r>
        <w:t>в</w:t>
      </w:r>
      <w:r>
        <w:t>нению с показателями коров из контрольной группы. Количество имм</w:t>
      </w:r>
      <w:r>
        <w:t>у</w:t>
      </w:r>
      <w:r>
        <w:t xml:space="preserve">ноглобулинов </w:t>
      </w:r>
      <w:r>
        <w:rPr>
          <w:lang w:val="en-US"/>
        </w:rPr>
        <w:t>M</w:t>
      </w:r>
      <w:r>
        <w:t xml:space="preserve"> и </w:t>
      </w:r>
      <w:r>
        <w:rPr>
          <w:lang w:val="en-US"/>
        </w:rPr>
        <w:t>G</w:t>
      </w:r>
      <w:r>
        <w:t xml:space="preserve"> классов также увеличивалось у коров после отела под действием иммуномодуляторов на 10,79% (Р</w:t>
      </w:r>
      <w:r>
        <w:sym w:font="Symbol" w:char="F03C"/>
      </w:r>
      <w:r>
        <w:t>0,01) и 38,19% (Р</w:t>
      </w:r>
      <w:r>
        <w:sym w:font="Symbol" w:char="F03C"/>
      </w:r>
      <w:r>
        <w:t>0,001) о</w:t>
      </w:r>
      <w:r>
        <w:t>т</w:t>
      </w:r>
      <w:r>
        <w:t>носительно контроля.</w:t>
      </w:r>
    </w:p>
    <w:p w:rsidR="004D29CD" w:rsidRDefault="00F4654E">
      <w:pPr>
        <w:pStyle w:val="a6"/>
      </w:pPr>
      <w:r>
        <w:lastRenderedPageBreak/>
        <w:t>При анализе иммунологических показателей крови опытных и ко</w:t>
      </w:r>
      <w:r>
        <w:t>н</w:t>
      </w:r>
      <w:r>
        <w:t>трольных телят установили, что у молодняка, полученного от коров, обр</w:t>
      </w:r>
      <w:r>
        <w:t>а</w:t>
      </w:r>
      <w:r>
        <w:t>ботанных иммуномодуляторами, количество лизоцима во все периоды и</w:t>
      </w:r>
      <w:r>
        <w:t>с</w:t>
      </w:r>
      <w:r>
        <w:t>следования достоверно превышали контрольные значения. Аналогичная картина наблюдалась и по бактерицидной активности сыворотке крови. Данный показатель был выше у опытных телят сразу после рождения на 11,96% (Р</w:t>
      </w:r>
      <w:r>
        <w:sym w:font="Symbol" w:char="F03C"/>
      </w:r>
      <w:r>
        <w:t>0,001), в возрасте 1 суток – на 25,51% (Р</w:t>
      </w:r>
      <w:r>
        <w:sym w:font="Symbol" w:char="F03C"/>
      </w:r>
      <w:r>
        <w:t>0,001), 3 суток – на 15,57% (Р</w:t>
      </w:r>
      <w:r>
        <w:sym w:font="Symbol" w:char="F03C"/>
      </w:r>
      <w:r>
        <w:t>0,01), 7 суток – на 25,83% (Р</w:t>
      </w:r>
      <w:r>
        <w:sym w:font="Symbol" w:char="F03C"/>
      </w:r>
      <w:r>
        <w:t>0,001), 14 суток – на 19,49% (Р</w:t>
      </w:r>
      <w:r>
        <w:sym w:font="Symbol" w:char="F03C"/>
      </w:r>
      <w:r>
        <w:t xml:space="preserve">0,001), 30 суток – на 8,0%. </w:t>
      </w:r>
    </w:p>
    <w:p w:rsidR="004D29CD" w:rsidRDefault="00F4654E">
      <w:pPr>
        <w:pStyle w:val="a6"/>
      </w:pPr>
      <w:r>
        <w:t>Введение Т- и В-активина коровам в последний период стельности оказало позитивное влияние на фагоцитарные свойства нейтрофилов крови приплода. Так, фагоцитарная активность нейтрофилов у данных телят б</w:t>
      </w:r>
      <w:r>
        <w:t>ы</w:t>
      </w:r>
      <w:r>
        <w:t>ла выше сразу после рождения – на 55,75% (Р</w:t>
      </w:r>
      <w:r>
        <w:sym w:font="Symbol" w:char="F03C"/>
      </w:r>
      <w:r>
        <w:t>0,001), в 1</w:t>
      </w:r>
      <w:r w:rsidR="004D29CD">
        <w:t>-</w:t>
      </w:r>
      <w:r>
        <w:t>дневном возрасте – на 26,09% (Р</w:t>
      </w:r>
      <w:r>
        <w:sym w:font="Symbol" w:char="F03C"/>
      </w:r>
      <w:r>
        <w:t>0,01), 3 дневном – на 21,95% (Р</w:t>
      </w:r>
      <w:r>
        <w:sym w:font="Symbol" w:char="F03C"/>
      </w:r>
      <w:r>
        <w:t>0,01), 7</w:t>
      </w:r>
      <w:r w:rsidR="004D29CD">
        <w:t>-</w:t>
      </w:r>
      <w:r>
        <w:t>дневном – на 17,51% (Р</w:t>
      </w:r>
      <w:r>
        <w:sym w:font="Symbol" w:char="F03C"/>
      </w:r>
      <w:r>
        <w:t>0,001), 14 дневном – на 14,98% (Р</w:t>
      </w:r>
      <w:r>
        <w:sym w:font="Symbol" w:char="F03C"/>
      </w:r>
      <w:r>
        <w:t>0,01), а фагоцитарный и</w:t>
      </w:r>
      <w:r>
        <w:t>н</w:t>
      </w:r>
      <w:r>
        <w:t>декс соответственно на 109,09% (Р</w:t>
      </w:r>
      <w:r>
        <w:sym w:font="Symbol" w:char="F03C"/>
      </w:r>
      <w:r>
        <w:t>0,001), 32,77% (Р</w:t>
      </w:r>
      <w:r>
        <w:sym w:font="Symbol" w:char="F03C"/>
      </w:r>
      <w:r>
        <w:t>0,001), 57,75% (Р</w:t>
      </w:r>
      <w:r>
        <w:sym w:font="Symbol" w:char="F03C"/>
      </w:r>
      <w:r>
        <w:t>0,001), 69,77%(Р</w:t>
      </w:r>
      <w:r>
        <w:sym w:font="Symbol" w:char="F03C"/>
      </w:r>
      <w:r>
        <w:t>0,001), 15,86% (Р</w:t>
      </w:r>
      <w:r>
        <w:sym w:font="Symbol" w:char="F03C"/>
      </w:r>
      <w:r>
        <w:t>0,01) по сравнению с одновозрас</w:t>
      </w:r>
      <w:r>
        <w:t>т</w:t>
      </w:r>
      <w:r>
        <w:t>ным контролем. В 30</w:t>
      </w:r>
      <w:r w:rsidR="004D29CD">
        <w:t>-</w:t>
      </w:r>
      <w:r>
        <w:t>дневном возрасте фагоцитарные свойства нейтроф</w:t>
      </w:r>
      <w:r>
        <w:t>и</w:t>
      </w:r>
      <w:r>
        <w:t xml:space="preserve">лов у опытных телят незначительно уступали контрольным значениям. </w:t>
      </w:r>
    </w:p>
    <w:p w:rsidR="004D29CD" w:rsidRDefault="00F4654E">
      <w:pPr>
        <w:pStyle w:val="a6"/>
      </w:pPr>
      <w:r>
        <w:t>Количество абсолютных и относительных Т- и В-лимфоцитов у м</w:t>
      </w:r>
      <w:r>
        <w:t>о</w:t>
      </w:r>
      <w:r>
        <w:t>лодняка опытной группы было достоверно выше, чем у контрольных телят на всем протяжении эксперимента. Так, число абс</w:t>
      </w:r>
      <w:r>
        <w:t>о</w:t>
      </w:r>
      <w:r>
        <w:t>лютных Т-лимфоцитов превышало контрольные показатели на 37,50% (Р</w:t>
      </w:r>
      <w:r>
        <w:sym w:font="Symbol" w:char="F03C"/>
      </w:r>
      <w:r>
        <w:t>0,001), 32,0% (Р</w:t>
      </w:r>
      <w:r>
        <w:sym w:font="Symbol" w:char="F03C"/>
      </w:r>
      <w:r>
        <w:t>0,001), 59,65% (Р</w:t>
      </w:r>
      <w:r>
        <w:sym w:font="Symbol" w:char="F03C"/>
      </w:r>
      <w:r>
        <w:t>0,001), 32,88% (Р</w:t>
      </w:r>
      <w:r>
        <w:sym w:font="Symbol" w:char="F03C"/>
      </w:r>
      <w:r>
        <w:t>0,001), 60,61% (Р</w:t>
      </w:r>
      <w:r>
        <w:sym w:font="Symbol" w:char="F03C"/>
      </w:r>
      <w:r>
        <w:t>0,01), 59,09% (Р</w:t>
      </w:r>
      <w:r>
        <w:sym w:font="Symbol" w:char="F03C"/>
      </w:r>
      <w:r>
        <w:t>0,001), о</w:t>
      </w:r>
      <w:r>
        <w:t>т</w:t>
      </w:r>
      <w:r>
        <w:t>носительных Т-лимфоцитов на 22,77% (Р</w:t>
      </w:r>
      <w:r>
        <w:sym w:font="Symbol" w:char="F03C"/>
      </w:r>
      <w:r>
        <w:t>0,01), 11,68%, 29,17% (Р</w:t>
      </w:r>
      <w:r>
        <w:sym w:font="Symbol" w:char="F03C"/>
      </w:r>
      <w:r>
        <w:t>0,05), 54,46% (Р</w:t>
      </w:r>
      <w:r>
        <w:sym w:font="Symbol" w:char="F03C"/>
      </w:r>
      <w:r>
        <w:t>0,001), 32,33% (Р</w:t>
      </w:r>
      <w:r>
        <w:sym w:font="Symbol" w:char="F03C"/>
      </w:r>
      <w:r>
        <w:t>0,001), 24,67% (Р</w:t>
      </w:r>
      <w:r>
        <w:sym w:font="Symbol" w:char="F03C"/>
      </w:r>
      <w:r>
        <w:t>0,001), абсолютных В-лимфоцитов – на 70,0% (Р</w:t>
      </w:r>
      <w:r>
        <w:sym w:font="Symbol" w:char="F03C"/>
      </w:r>
      <w:r>
        <w:t>0,001), 75,0% (Р</w:t>
      </w:r>
      <w:r>
        <w:sym w:font="Symbol" w:char="F03C"/>
      </w:r>
      <w:r>
        <w:t>0,001), 52,63% (Р</w:t>
      </w:r>
      <w:r>
        <w:sym w:font="Symbol" w:char="F03C"/>
      </w:r>
      <w:r>
        <w:t>0,001), 66,67% (Р</w:t>
      </w:r>
      <w:r>
        <w:sym w:font="Symbol" w:char="F03C"/>
      </w:r>
      <w:r>
        <w:t>0,01), 57,14% (Р</w:t>
      </w:r>
      <w:r>
        <w:sym w:font="Symbol" w:char="F03C"/>
      </w:r>
      <w:r>
        <w:t>0,001), 7,89% (Р</w:t>
      </w:r>
      <w:r>
        <w:sym w:font="Symbol" w:char="F03C"/>
      </w:r>
      <w:r>
        <w:t>0,05), относительных В-лимфоцитов – на 40,0% (Р</w:t>
      </w:r>
      <w:r>
        <w:sym w:font="Symbol" w:char="F03C"/>
      </w:r>
      <w:r>
        <w:t>0,001), 61,90% (Р</w:t>
      </w:r>
      <w:r>
        <w:sym w:font="Symbol" w:char="F03C"/>
      </w:r>
      <w:r>
        <w:t>0,001), 47,61% (Р</w:t>
      </w:r>
      <w:r>
        <w:sym w:font="Symbol" w:char="F03C"/>
      </w:r>
      <w:r>
        <w:t>0,001), 78,26% (Р</w:t>
      </w:r>
      <w:r>
        <w:sym w:font="Symbol" w:char="F03C"/>
      </w:r>
      <w:r>
        <w:t>0,001), 25,64% (Р</w:t>
      </w:r>
      <w:r>
        <w:sym w:font="Symbol" w:char="F03C"/>
      </w:r>
      <w:r>
        <w:t>0,05), 36,96% (Р</w:t>
      </w:r>
      <w:r>
        <w:sym w:font="Symbol" w:char="F03C"/>
      </w:r>
      <w:r>
        <w:t xml:space="preserve">0,001). </w:t>
      </w:r>
    </w:p>
    <w:p w:rsidR="00F4654E" w:rsidRDefault="00F4654E">
      <w:pPr>
        <w:pStyle w:val="a6"/>
      </w:pPr>
      <w:r>
        <w:t xml:space="preserve">Улучшение В-системы иммунитета сопровождалось увеличением у опытных телят количества иммуноглобулинов </w:t>
      </w:r>
      <w:r>
        <w:rPr>
          <w:lang w:val="en-US"/>
        </w:rPr>
        <w:t>G</w:t>
      </w:r>
      <w:r>
        <w:t xml:space="preserve"> и М классов в во</w:t>
      </w:r>
      <w:r>
        <w:t>з</w:t>
      </w:r>
      <w:r>
        <w:t>расте 1 суток – на 26,61% (Р</w:t>
      </w:r>
      <w:r>
        <w:sym w:font="Symbol" w:char="F03C"/>
      </w:r>
      <w:r>
        <w:t>0,001) и 31,07% (Р</w:t>
      </w:r>
      <w:r>
        <w:sym w:font="Symbol" w:char="F03C"/>
      </w:r>
      <w:r>
        <w:t>0,01), 3 суток – на 23,66% (Р</w:t>
      </w:r>
      <w:r>
        <w:sym w:font="Symbol" w:char="F03C"/>
      </w:r>
      <w:r>
        <w:t>0,05) и 52,38% (Р</w:t>
      </w:r>
      <w:r>
        <w:sym w:font="Symbol" w:char="F03C"/>
      </w:r>
      <w:r>
        <w:t>0,01), 7 суток – на 23,14% (Р</w:t>
      </w:r>
      <w:r>
        <w:sym w:font="Symbol" w:char="F03C"/>
      </w:r>
      <w:r>
        <w:t>0,001) и 6,42% (Р</w:t>
      </w:r>
      <w:r>
        <w:sym w:font="Symbol" w:char="F03C"/>
      </w:r>
      <w:r>
        <w:t>0,05), 14 суток – на 32,86% (Р</w:t>
      </w:r>
      <w:r>
        <w:sym w:font="Symbol" w:char="F03C"/>
      </w:r>
      <w:r>
        <w:t>0,01) и 16,44% (Р</w:t>
      </w:r>
      <w:r>
        <w:sym w:font="Symbol" w:char="F03C"/>
      </w:r>
      <w:r>
        <w:t>0,01).</w:t>
      </w:r>
    </w:p>
    <w:p w:rsidR="00F4654E" w:rsidRDefault="00F4654E">
      <w:pPr>
        <w:pStyle w:val="a6"/>
      </w:pPr>
      <w:r>
        <w:t>Таким образом, применение Т- и В-активина глубокостельным кор</w:t>
      </w:r>
      <w:r>
        <w:t>о</w:t>
      </w:r>
      <w:r>
        <w:t>вам, содержащихся в условиях воздействия малых доз радиации, способс</w:t>
      </w:r>
      <w:r>
        <w:t>т</w:t>
      </w:r>
      <w:r>
        <w:t>вует улучшению иммунного статуса у полученного от них потомства.</w:t>
      </w:r>
    </w:p>
    <w:p w:rsidR="004D29CD" w:rsidRDefault="004D29CD">
      <w:pPr>
        <w:pStyle w:val="a4"/>
        <w:rPr>
          <w:snapToGrid w:val="0"/>
        </w:rPr>
      </w:pPr>
    </w:p>
    <w:p w:rsidR="004D29CD" w:rsidRDefault="004D29CD">
      <w:pPr>
        <w:pStyle w:val="a4"/>
        <w:rPr>
          <w:snapToGrid w:val="0"/>
        </w:rPr>
      </w:pPr>
    </w:p>
    <w:p w:rsidR="00F4654E" w:rsidRDefault="00F4654E">
      <w:pPr>
        <w:pStyle w:val="a4"/>
        <w:rPr>
          <w:snapToGrid w:val="0"/>
        </w:rPr>
      </w:pPr>
      <w:r>
        <w:rPr>
          <w:snapToGrid w:val="0"/>
        </w:rPr>
        <w:lastRenderedPageBreak/>
        <w:t>УДК 619.616.084.616.982.2</w:t>
      </w:r>
    </w:p>
    <w:p w:rsidR="00F4654E" w:rsidRDefault="00F4654E">
      <w:pPr>
        <w:pStyle w:val="1"/>
        <w:rPr>
          <w:snapToGrid w:val="0"/>
        </w:rPr>
      </w:pPr>
      <w:bookmarkStart w:id="5604" w:name="_Toc10731614"/>
      <w:bookmarkStart w:id="5605" w:name="_Toc11138095"/>
      <w:bookmarkStart w:id="5606" w:name="_Toc11138513"/>
      <w:bookmarkStart w:id="5607" w:name="_Toc11138931"/>
      <w:bookmarkStart w:id="5608" w:name="_Toc11139349"/>
      <w:bookmarkStart w:id="5609" w:name="_Toc11139767"/>
      <w:bookmarkStart w:id="5610" w:name="_Toc11140185"/>
      <w:bookmarkStart w:id="5611" w:name="_Toc11140603"/>
      <w:bookmarkStart w:id="5612" w:name="_Toc11390699"/>
      <w:bookmarkStart w:id="5613" w:name="_Toc11840384"/>
      <w:bookmarkStart w:id="5614" w:name="_Toc11937920"/>
      <w:r>
        <w:rPr>
          <w:snapToGrid w:val="0"/>
        </w:rPr>
        <w:t>АКТУАЛЬНЫЕ ПРОБЛЕМЫ МИКОТОКСИКОЗОВ И ИХ РЕШЕНИЯ</w:t>
      </w:r>
      <w:bookmarkEnd w:id="5604"/>
      <w:bookmarkEnd w:id="5605"/>
      <w:bookmarkEnd w:id="5606"/>
      <w:bookmarkEnd w:id="5607"/>
      <w:bookmarkEnd w:id="5608"/>
      <w:bookmarkEnd w:id="5609"/>
      <w:bookmarkEnd w:id="5610"/>
      <w:bookmarkEnd w:id="5611"/>
      <w:bookmarkEnd w:id="5612"/>
      <w:bookmarkEnd w:id="5613"/>
      <w:bookmarkEnd w:id="5614"/>
    </w:p>
    <w:p w:rsidR="00F4654E" w:rsidRDefault="00F4654E">
      <w:pPr>
        <w:pStyle w:val="2"/>
        <w:rPr>
          <w:snapToGrid w:val="0"/>
        </w:rPr>
      </w:pPr>
      <w:bookmarkStart w:id="5615" w:name="_Toc10731615"/>
      <w:bookmarkStart w:id="5616" w:name="_Toc11032411"/>
      <w:bookmarkStart w:id="5617" w:name="_Toc11138096"/>
      <w:bookmarkStart w:id="5618" w:name="_Toc11138514"/>
      <w:bookmarkStart w:id="5619" w:name="_Toc11138932"/>
      <w:bookmarkStart w:id="5620" w:name="_Toc11139350"/>
      <w:bookmarkStart w:id="5621" w:name="_Toc11139768"/>
      <w:bookmarkStart w:id="5622" w:name="_Toc11140186"/>
      <w:bookmarkStart w:id="5623" w:name="_Toc11140604"/>
      <w:bookmarkStart w:id="5624" w:name="_Toc11390700"/>
      <w:bookmarkStart w:id="5625" w:name="_Toc11937921"/>
      <w:r>
        <w:rPr>
          <w:snapToGrid w:val="0"/>
        </w:rPr>
        <w:t>Тремасов М.Я., Равилов А.З., Ахметов Ф.Г.</w:t>
      </w:r>
      <w:bookmarkEnd w:id="5615"/>
      <w:bookmarkEnd w:id="5616"/>
      <w:bookmarkEnd w:id="5617"/>
      <w:bookmarkEnd w:id="5618"/>
      <w:bookmarkEnd w:id="5619"/>
      <w:bookmarkEnd w:id="5620"/>
      <w:bookmarkEnd w:id="5621"/>
      <w:bookmarkEnd w:id="5622"/>
      <w:bookmarkEnd w:id="5623"/>
      <w:bookmarkEnd w:id="5624"/>
      <w:bookmarkEnd w:id="5625"/>
    </w:p>
    <w:p w:rsidR="00F4654E" w:rsidRDefault="00F4654E">
      <w:pPr>
        <w:pStyle w:val="a5"/>
        <w:rPr>
          <w:snapToGrid w:val="0"/>
        </w:rPr>
      </w:pPr>
      <w:r>
        <w:rPr>
          <w:snapToGrid w:val="0"/>
        </w:rPr>
        <w:t>Всероссийский научно-исследовательский ветеринарный институт</w:t>
      </w:r>
    </w:p>
    <w:p w:rsidR="00F4654E" w:rsidRDefault="00F4654E">
      <w:pPr>
        <w:pStyle w:val="a6"/>
        <w:rPr>
          <w:snapToGrid w:val="0"/>
        </w:rPr>
      </w:pPr>
      <w:r>
        <w:rPr>
          <w:snapToGrid w:val="0"/>
        </w:rPr>
        <w:t>Проблема микотоксинов в настоящее время приобретает всемирное социальное значение, так как загрязнение продуктов растительного и ж</w:t>
      </w:r>
      <w:r>
        <w:rPr>
          <w:snapToGrid w:val="0"/>
        </w:rPr>
        <w:t>и</w:t>
      </w:r>
      <w:r>
        <w:rPr>
          <w:snapToGrid w:val="0"/>
        </w:rPr>
        <w:t>вотного происхождения этими экотоксикантами имеет глобальный хара</w:t>
      </w:r>
      <w:r>
        <w:rPr>
          <w:snapToGrid w:val="0"/>
        </w:rPr>
        <w:t>к</w:t>
      </w:r>
      <w:r>
        <w:rPr>
          <w:snapToGrid w:val="0"/>
        </w:rPr>
        <w:t>тер, затрагивает все страны и континенты.</w:t>
      </w:r>
    </w:p>
    <w:p w:rsidR="00F4654E" w:rsidRDefault="00F4654E">
      <w:pPr>
        <w:pStyle w:val="a6"/>
        <w:rPr>
          <w:snapToGrid w:val="0"/>
        </w:rPr>
      </w:pPr>
      <w:r>
        <w:rPr>
          <w:snapToGrid w:val="0"/>
        </w:rPr>
        <w:t>Опасность микотоксинов для человека и животных доказана результ</w:t>
      </w:r>
      <w:r>
        <w:rPr>
          <w:snapToGrid w:val="0"/>
        </w:rPr>
        <w:t>а</w:t>
      </w:r>
      <w:r>
        <w:rPr>
          <w:snapToGrid w:val="0"/>
        </w:rPr>
        <w:t>тами экспериментальных, клинико-лабораторных исследований по оценке токсического, мутагенного, канцерогенного, эмбриотоксического, терат</w:t>
      </w:r>
      <w:r>
        <w:rPr>
          <w:snapToGrid w:val="0"/>
        </w:rPr>
        <w:t>о</w:t>
      </w:r>
      <w:r>
        <w:rPr>
          <w:snapToGrid w:val="0"/>
        </w:rPr>
        <w:t>генного, иммуносупрессивного и других проявлений. Имеются убедител</w:t>
      </w:r>
      <w:r>
        <w:rPr>
          <w:snapToGrid w:val="0"/>
        </w:rPr>
        <w:t>ь</w:t>
      </w:r>
      <w:r>
        <w:rPr>
          <w:snapToGrid w:val="0"/>
        </w:rPr>
        <w:t>ные экспериментальные данные о повышении риска при получении в о</w:t>
      </w:r>
      <w:r>
        <w:rPr>
          <w:snapToGrid w:val="0"/>
        </w:rPr>
        <w:t>д</w:t>
      </w:r>
      <w:r>
        <w:rPr>
          <w:snapToGrid w:val="0"/>
        </w:rPr>
        <w:t>ном рационе нескольких микотоксинов, причем количество последних может быть не выше предельно допустимых концентраций.</w:t>
      </w:r>
    </w:p>
    <w:p w:rsidR="00F4654E" w:rsidRDefault="00F4654E">
      <w:pPr>
        <w:pStyle w:val="a6"/>
        <w:rPr>
          <w:snapToGrid w:val="0"/>
        </w:rPr>
      </w:pPr>
      <w:r>
        <w:rPr>
          <w:snapToGrid w:val="0"/>
        </w:rPr>
        <w:t>Обеспокоенность общественности, Правительств и специалистов мн</w:t>
      </w:r>
      <w:r>
        <w:rPr>
          <w:snapToGrid w:val="0"/>
        </w:rPr>
        <w:t>о</w:t>
      </w:r>
      <w:r>
        <w:rPr>
          <w:snapToGrid w:val="0"/>
        </w:rPr>
        <w:t>гих стран отражают международные Программы, осуществляемые в ра</w:t>
      </w:r>
      <w:r>
        <w:rPr>
          <w:snapToGrid w:val="0"/>
        </w:rPr>
        <w:t>м</w:t>
      </w:r>
      <w:r>
        <w:rPr>
          <w:snapToGrid w:val="0"/>
        </w:rPr>
        <w:t>ках Продовольственной и сельскохозяйственной организации ООН (ФАО), Всемирной организации здравоохранения (ВОЗ) и Программы ООН по о</w:t>
      </w:r>
      <w:r>
        <w:rPr>
          <w:snapToGrid w:val="0"/>
        </w:rPr>
        <w:t>к</w:t>
      </w:r>
      <w:r>
        <w:rPr>
          <w:snapToGrid w:val="0"/>
        </w:rPr>
        <w:t>ружающей среде (ЮНЕП).</w:t>
      </w:r>
    </w:p>
    <w:p w:rsidR="00F4654E" w:rsidRDefault="00F4654E">
      <w:pPr>
        <w:pStyle w:val="a6"/>
        <w:rPr>
          <w:snapToGrid w:val="0"/>
        </w:rPr>
      </w:pPr>
      <w:r>
        <w:rPr>
          <w:snapToGrid w:val="0"/>
        </w:rPr>
        <w:t>Как свидетельствуют литературные источники, проблема микотокс</w:t>
      </w:r>
      <w:r>
        <w:rPr>
          <w:snapToGrid w:val="0"/>
        </w:rPr>
        <w:t>и</w:t>
      </w:r>
      <w:r>
        <w:rPr>
          <w:snapToGrid w:val="0"/>
        </w:rPr>
        <w:t>нов изучается более чем в 130 странах мира, включая Россию. Следует о</w:t>
      </w:r>
      <w:r>
        <w:rPr>
          <w:snapToGrid w:val="0"/>
        </w:rPr>
        <w:t>т</w:t>
      </w:r>
      <w:r>
        <w:rPr>
          <w:snapToGrid w:val="0"/>
        </w:rPr>
        <w:t>метить, что, несмотря на общепризнанную роль отечественных ученых в раскрытии этиологии ранее неизвестных микотоксикозов (стахиботри</w:t>
      </w:r>
      <w:r>
        <w:rPr>
          <w:snapToGrid w:val="0"/>
        </w:rPr>
        <w:t>о</w:t>
      </w:r>
      <w:r>
        <w:rPr>
          <w:snapToGrid w:val="0"/>
        </w:rPr>
        <w:t>токсикоза, алиментарной - токсической алейкии), в разработке методов их диагностики и профилактики, в России сосредоточено ничтожно малое к</w:t>
      </w:r>
      <w:r>
        <w:rPr>
          <w:snapToGrid w:val="0"/>
        </w:rPr>
        <w:t>о</w:t>
      </w:r>
      <w:r>
        <w:rPr>
          <w:snapToGrid w:val="0"/>
        </w:rPr>
        <w:t>личество высококвалифицированных специалистов, занимающихся данной проблемой. Известно, что даже в СССР, было сосредоточено менее 1% ученых от общего числа специалистов в этой области.</w:t>
      </w:r>
    </w:p>
    <w:p w:rsidR="00F4654E" w:rsidRDefault="00F4654E">
      <w:pPr>
        <w:pStyle w:val="a6"/>
        <w:rPr>
          <w:snapToGrid w:val="0"/>
        </w:rPr>
      </w:pPr>
      <w:r>
        <w:rPr>
          <w:snapToGrid w:val="0"/>
        </w:rPr>
        <w:t>На наш взгляд, для решения проблемы микотоксикозов нужно на пр</w:t>
      </w:r>
      <w:r>
        <w:rPr>
          <w:snapToGrid w:val="0"/>
        </w:rPr>
        <w:t>а</w:t>
      </w:r>
      <w:r>
        <w:rPr>
          <w:snapToGrid w:val="0"/>
        </w:rPr>
        <w:t>вительственном уровне создать действенную программу по окружающей среде, где ведущее место наряду с другими опасными экотоксикантами (диоксины, полихлорированные бифенилы, дибензофураны, токсичные элементы и т.д.), должно быть уделено ядам природного происхождения, среди которых приоритет по опасности отводится микотоксинам. Для в</w:t>
      </w:r>
      <w:r>
        <w:rPr>
          <w:snapToGrid w:val="0"/>
        </w:rPr>
        <w:t>ы</w:t>
      </w:r>
      <w:r>
        <w:rPr>
          <w:snapToGrid w:val="0"/>
        </w:rPr>
        <w:t>полнения ее необходимо создать зональные НИИ, занимавшиеся вопрос</w:t>
      </w:r>
      <w:r>
        <w:rPr>
          <w:snapToGrid w:val="0"/>
        </w:rPr>
        <w:t>а</w:t>
      </w:r>
      <w:r>
        <w:rPr>
          <w:snapToGrid w:val="0"/>
        </w:rPr>
        <w:t>ми краевой микотоксикологии проводить изучение микотоксинов на пр</w:t>
      </w:r>
      <w:r>
        <w:rPr>
          <w:snapToGrid w:val="0"/>
        </w:rPr>
        <w:t>о</w:t>
      </w:r>
      <w:r>
        <w:rPr>
          <w:snapToGrid w:val="0"/>
        </w:rPr>
        <w:t>фильных кафедрах учебных ВУЗов. Все затраты на такие мероприятия м</w:t>
      </w:r>
      <w:r>
        <w:rPr>
          <w:snapToGrid w:val="0"/>
        </w:rPr>
        <w:t>о</w:t>
      </w:r>
      <w:r>
        <w:rPr>
          <w:snapToGrid w:val="0"/>
        </w:rPr>
        <w:t>гут окупиться в течение нескольких лет, т.к. известно, что экономический ущерб в мире, наносимый микотоксинами только за один год исчисляется более 16 млрд. долл. США.</w:t>
      </w:r>
    </w:p>
    <w:p w:rsidR="00F4654E" w:rsidRDefault="00F4654E">
      <w:pPr>
        <w:pStyle w:val="a6"/>
        <w:rPr>
          <w:snapToGrid w:val="0"/>
        </w:rPr>
      </w:pPr>
      <w:r>
        <w:rPr>
          <w:snapToGrid w:val="0"/>
        </w:rPr>
        <w:lastRenderedPageBreak/>
        <w:t>В решении микотоксикозов большая роль должна быть отведена пр</w:t>
      </w:r>
      <w:r>
        <w:rPr>
          <w:snapToGrid w:val="0"/>
        </w:rPr>
        <w:t>о</w:t>
      </w:r>
      <w:r>
        <w:rPr>
          <w:snapToGrid w:val="0"/>
        </w:rPr>
        <w:t>паганде об опасности микотоксинов для здоровья населения и животных, по соблюдению сроков посева и уборки  зерновых, по выполнению реж</w:t>
      </w:r>
      <w:r>
        <w:rPr>
          <w:snapToGrid w:val="0"/>
        </w:rPr>
        <w:t>и</w:t>
      </w:r>
      <w:r>
        <w:rPr>
          <w:snapToGrid w:val="0"/>
        </w:rPr>
        <w:t xml:space="preserve">мов хранения. </w:t>
      </w:r>
    </w:p>
    <w:p w:rsidR="004D29CD" w:rsidRDefault="00F4654E">
      <w:pPr>
        <w:pStyle w:val="a6"/>
        <w:rPr>
          <w:snapToGrid w:val="0"/>
        </w:rPr>
      </w:pPr>
      <w:r>
        <w:rPr>
          <w:snapToGrid w:val="0"/>
        </w:rPr>
        <w:t>Важным аспектом решения проблемы микотоксикозов является со</w:t>
      </w:r>
      <w:r>
        <w:rPr>
          <w:snapToGrid w:val="0"/>
        </w:rPr>
        <w:t>з</w:t>
      </w:r>
      <w:r>
        <w:rPr>
          <w:snapToGrid w:val="0"/>
        </w:rPr>
        <w:t>дание эффективной системы мониторинга микотоксинов, хотя у нас в стране накоплен большой опыт по контролю за содержанием экотоксика</w:t>
      </w:r>
      <w:r>
        <w:rPr>
          <w:snapToGrid w:val="0"/>
        </w:rPr>
        <w:t>н</w:t>
      </w:r>
      <w:r>
        <w:rPr>
          <w:snapToGrid w:val="0"/>
        </w:rPr>
        <w:t>тов, разработаны не уступающие зарубежным методы анализа микотокс</w:t>
      </w:r>
      <w:r>
        <w:rPr>
          <w:snapToGrid w:val="0"/>
        </w:rPr>
        <w:t>и</w:t>
      </w:r>
      <w:r>
        <w:rPr>
          <w:snapToGrid w:val="0"/>
        </w:rPr>
        <w:t>нов, однако до сих пор нет банка данных этих токсикантов, особенно в р</w:t>
      </w:r>
      <w:r>
        <w:rPr>
          <w:snapToGrid w:val="0"/>
        </w:rPr>
        <w:t>е</w:t>
      </w:r>
      <w:r>
        <w:rPr>
          <w:snapToGrid w:val="0"/>
        </w:rPr>
        <w:t>гионах, которые существенно отличаются климато-географическими усл</w:t>
      </w:r>
      <w:r>
        <w:rPr>
          <w:snapToGrid w:val="0"/>
        </w:rPr>
        <w:t>о</w:t>
      </w:r>
      <w:r>
        <w:rPr>
          <w:snapToGrid w:val="0"/>
        </w:rPr>
        <w:t>виями, кроме того, недостаточно данных по регистрации микотоксикозов, нет карты-прогноза вероятных микотоксикозов, крайне недостаточно в</w:t>
      </w:r>
      <w:r>
        <w:rPr>
          <w:snapToGrid w:val="0"/>
        </w:rPr>
        <w:t>ы</w:t>
      </w:r>
      <w:r>
        <w:rPr>
          <w:snapToGrid w:val="0"/>
        </w:rPr>
        <w:t xml:space="preserve">явлен токсигенный потенциал выделенных многочисленных грибов-про-дуцентов, почти не идентифицируются новые метаболиты и т.д. </w:t>
      </w:r>
    </w:p>
    <w:p w:rsidR="00F4654E" w:rsidRDefault="00F4654E">
      <w:pPr>
        <w:pStyle w:val="a6"/>
        <w:rPr>
          <w:snapToGrid w:val="0"/>
        </w:rPr>
      </w:pPr>
      <w:r>
        <w:rPr>
          <w:snapToGrid w:val="0"/>
        </w:rPr>
        <w:t>Требуют дальнейшего усовершенствования и методы индикации м</w:t>
      </w:r>
      <w:r>
        <w:rPr>
          <w:snapToGrid w:val="0"/>
        </w:rPr>
        <w:t>и</w:t>
      </w:r>
      <w:r>
        <w:rPr>
          <w:snapToGrid w:val="0"/>
        </w:rPr>
        <w:t>котоксинов, как в плане экспрессности (время анализа не более часа), в этом отношении преимущество отдается как методам иммуноферментного анализа, так и созданию высокочувствительных хроматографических и хромато-масс-спектрометрических методов.</w:t>
      </w:r>
    </w:p>
    <w:p w:rsidR="004D29CD" w:rsidRDefault="00F4654E">
      <w:pPr>
        <w:pStyle w:val="a6"/>
        <w:rPr>
          <w:snapToGrid w:val="0"/>
        </w:rPr>
      </w:pPr>
      <w:r>
        <w:rPr>
          <w:snapToGrid w:val="0"/>
        </w:rPr>
        <w:t>Неутешительными являются вопросы профилактики и терапии мик</w:t>
      </w:r>
      <w:r>
        <w:rPr>
          <w:snapToGrid w:val="0"/>
        </w:rPr>
        <w:t>о</w:t>
      </w:r>
      <w:r>
        <w:rPr>
          <w:snapToGrid w:val="0"/>
        </w:rPr>
        <w:t>токсинов из-за недостаточного арсенала разработанных фармакологич</w:t>
      </w:r>
      <w:r>
        <w:rPr>
          <w:snapToGrid w:val="0"/>
        </w:rPr>
        <w:t>е</w:t>
      </w:r>
      <w:r>
        <w:rPr>
          <w:snapToGrid w:val="0"/>
        </w:rPr>
        <w:t>ских средств. В связи с этим необходимо усовершенствовать существу</w:t>
      </w:r>
      <w:r>
        <w:rPr>
          <w:snapToGrid w:val="0"/>
        </w:rPr>
        <w:t>ю</w:t>
      </w:r>
      <w:r>
        <w:rPr>
          <w:snapToGrid w:val="0"/>
        </w:rPr>
        <w:t>щие и разработать новые средства для лечения и профилактики микото</w:t>
      </w:r>
      <w:r>
        <w:rPr>
          <w:snapToGrid w:val="0"/>
        </w:rPr>
        <w:t>к</w:t>
      </w:r>
      <w:r>
        <w:rPr>
          <w:snapToGrid w:val="0"/>
        </w:rPr>
        <w:t>сикозов. Кроме того, нужно обратить особое внимание на сбалансирова</w:t>
      </w:r>
      <w:r>
        <w:rPr>
          <w:snapToGrid w:val="0"/>
        </w:rPr>
        <w:t>н</w:t>
      </w:r>
      <w:r>
        <w:rPr>
          <w:snapToGrid w:val="0"/>
        </w:rPr>
        <w:t>ность рациона животных по белку, минеральным и другим веществам, п</w:t>
      </w:r>
      <w:r>
        <w:rPr>
          <w:snapToGrid w:val="0"/>
        </w:rPr>
        <w:t>о</w:t>
      </w:r>
      <w:r>
        <w:rPr>
          <w:snapToGrid w:val="0"/>
        </w:rPr>
        <w:t xml:space="preserve">вышающим резистентность организма к интоксикациям. </w:t>
      </w:r>
    </w:p>
    <w:p w:rsidR="004D29CD" w:rsidRDefault="00F4654E">
      <w:pPr>
        <w:pStyle w:val="a6"/>
        <w:rPr>
          <w:snapToGrid w:val="0"/>
        </w:rPr>
      </w:pPr>
      <w:r>
        <w:rPr>
          <w:snapToGrid w:val="0"/>
        </w:rPr>
        <w:t>Следует модиф</w:t>
      </w:r>
      <w:r>
        <w:rPr>
          <w:snapToGrid w:val="0"/>
        </w:rPr>
        <w:t>и</w:t>
      </w:r>
      <w:r>
        <w:rPr>
          <w:snapToGrid w:val="0"/>
        </w:rPr>
        <w:t>цировать подходы к использованию сорбентов: во-первых, выбрать наиболее эффективные, найти возможность «активир</w:t>
      </w:r>
      <w:r>
        <w:rPr>
          <w:snapToGrid w:val="0"/>
        </w:rPr>
        <w:t>о</w:t>
      </w:r>
      <w:r>
        <w:rPr>
          <w:snapToGrid w:val="0"/>
        </w:rPr>
        <w:t>вать» их, во-вторых обо</w:t>
      </w:r>
      <w:r>
        <w:rPr>
          <w:snapToGrid w:val="0"/>
        </w:rPr>
        <w:t>с</w:t>
      </w:r>
      <w:r>
        <w:rPr>
          <w:snapToGrid w:val="0"/>
        </w:rPr>
        <w:t xml:space="preserve">новать применение в качестве кормовых добавок. </w:t>
      </w:r>
    </w:p>
    <w:p w:rsidR="00F4654E" w:rsidRDefault="00F4654E">
      <w:pPr>
        <w:pStyle w:val="a6"/>
        <w:rPr>
          <w:snapToGrid w:val="0"/>
        </w:rPr>
      </w:pPr>
      <w:r>
        <w:rPr>
          <w:snapToGrid w:val="0"/>
        </w:rPr>
        <w:t>Необходимо отметить, что скармливание комбикормов (смесей зерн</w:t>
      </w:r>
      <w:r>
        <w:rPr>
          <w:snapToGrid w:val="0"/>
        </w:rPr>
        <w:t>о</w:t>
      </w:r>
      <w:r>
        <w:rPr>
          <w:snapToGrid w:val="0"/>
        </w:rPr>
        <w:t>вых и других кормов) может сопровождаться получением в рационе н</w:t>
      </w:r>
      <w:r>
        <w:rPr>
          <w:snapToGrid w:val="0"/>
        </w:rPr>
        <w:t>е</w:t>
      </w:r>
      <w:r>
        <w:rPr>
          <w:snapToGrid w:val="0"/>
        </w:rPr>
        <w:t>скольких микотоксинов, усил</w:t>
      </w:r>
      <w:r>
        <w:rPr>
          <w:snapToGrid w:val="0"/>
        </w:rPr>
        <w:t>и</w:t>
      </w:r>
      <w:r>
        <w:rPr>
          <w:snapToGrid w:val="0"/>
        </w:rPr>
        <w:t>вающих токсическое действие друг друга. Механизм такого действия не изучен, не разработаны нормы, регламент</w:t>
      </w:r>
      <w:r>
        <w:rPr>
          <w:snapToGrid w:val="0"/>
        </w:rPr>
        <w:t>и</w:t>
      </w:r>
      <w:r>
        <w:rPr>
          <w:snapToGrid w:val="0"/>
        </w:rPr>
        <w:t>рующие сочетанное поступл</w:t>
      </w:r>
      <w:r>
        <w:rPr>
          <w:snapToGrid w:val="0"/>
        </w:rPr>
        <w:t>е</w:t>
      </w:r>
      <w:r>
        <w:rPr>
          <w:snapToGrid w:val="0"/>
        </w:rPr>
        <w:t>ние микотоксинов. Также следует ввести в практику ПДК  охратоксина А, стеригматоцистина.</w:t>
      </w:r>
    </w:p>
    <w:p w:rsidR="00F4654E" w:rsidRDefault="00F4654E">
      <w:pPr>
        <w:pStyle w:val="a6"/>
        <w:rPr>
          <w:snapToGrid w:val="0"/>
        </w:rPr>
      </w:pPr>
      <w:r>
        <w:rPr>
          <w:snapToGrid w:val="0"/>
        </w:rPr>
        <w:t>Рассматриваемый вопрос о проблемах микотоксикозов значительно шире, в данном сообщении затронуты лишь отдельные стороны этой ва</w:t>
      </w:r>
      <w:r>
        <w:rPr>
          <w:snapToGrid w:val="0"/>
        </w:rPr>
        <w:t>ж</w:t>
      </w:r>
      <w:r>
        <w:rPr>
          <w:snapToGrid w:val="0"/>
        </w:rPr>
        <w:t>ной и сложной проблемы.</w:t>
      </w:r>
    </w:p>
    <w:p w:rsidR="004D29CD" w:rsidRDefault="004D29CD">
      <w:pPr>
        <w:pStyle w:val="a4"/>
      </w:pPr>
    </w:p>
    <w:p w:rsidR="004D29CD" w:rsidRDefault="004D29CD">
      <w:pPr>
        <w:pStyle w:val="a4"/>
      </w:pPr>
    </w:p>
    <w:p w:rsidR="00F4654E" w:rsidRDefault="00F4654E">
      <w:pPr>
        <w:pStyle w:val="a4"/>
      </w:pPr>
      <w:r>
        <w:lastRenderedPageBreak/>
        <w:t>УДК 619:615.93</w:t>
      </w:r>
    </w:p>
    <w:p w:rsidR="00F4654E" w:rsidRDefault="00F4654E">
      <w:pPr>
        <w:pStyle w:val="1"/>
      </w:pPr>
      <w:bookmarkStart w:id="5626" w:name="_Toc10731616"/>
      <w:bookmarkStart w:id="5627" w:name="_Toc11138097"/>
      <w:bookmarkStart w:id="5628" w:name="_Toc11138515"/>
      <w:bookmarkStart w:id="5629" w:name="_Toc11138933"/>
      <w:bookmarkStart w:id="5630" w:name="_Toc11139351"/>
      <w:bookmarkStart w:id="5631" w:name="_Toc11139769"/>
      <w:bookmarkStart w:id="5632" w:name="_Toc11140187"/>
      <w:bookmarkStart w:id="5633" w:name="_Toc11140605"/>
      <w:bookmarkStart w:id="5634" w:name="_Toc11390701"/>
      <w:bookmarkStart w:id="5635" w:name="_Toc11840386"/>
      <w:bookmarkStart w:id="5636" w:name="_Toc11937922"/>
      <w:r>
        <w:t>ФАРМАКО-ТОКСИКОЛОГИЧЕСКАЯ ХАРАКТЕРИСТИКА МАЗИ  «ЙОДИЛИН-МАСТИ</w:t>
      </w:r>
      <w:bookmarkEnd w:id="5626"/>
      <w:bookmarkEnd w:id="5627"/>
      <w:bookmarkEnd w:id="5628"/>
      <w:bookmarkEnd w:id="5629"/>
      <w:bookmarkEnd w:id="5630"/>
      <w:bookmarkEnd w:id="5631"/>
      <w:bookmarkEnd w:id="5632"/>
      <w:bookmarkEnd w:id="5633"/>
      <w:bookmarkEnd w:id="5634"/>
      <w:r>
        <w:t>»</w:t>
      </w:r>
      <w:bookmarkEnd w:id="5635"/>
      <w:bookmarkEnd w:id="5636"/>
    </w:p>
    <w:p w:rsidR="00F4654E" w:rsidRDefault="00F4654E">
      <w:pPr>
        <w:pStyle w:val="2"/>
      </w:pPr>
      <w:bookmarkStart w:id="5637" w:name="_Toc10731617"/>
      <w:bookmarkStart w:id="5638" w:name="_Toc11032412"/>
      <w:bookmarkStart w:id="5639" w:name="_Toc11138098"/>
      <w:bookmarkStart w:id="5640" w:name="_Toc11138516"/>
      <w:bookmarkStart w:id="5641" w:name="_Toc11138934"/>
      <w:bookmarkStart w:id="5642" w:name="_Toc11139352"/>
      <w:bookmarkStart w:id="5643" w:name="_Toc11139770"/>
      <w:bookmarkStart w:id="5644" w:name="_Toc11140188"/>
      <w:bookmarkStart w:id="5645" w:name="_Toc11140606"/>
      <w:bookmarkStart w:id="5646" w:name="_Toc11390702"/>
      <w:bookmarkStart w:id="5647" w:name="_Toc11937923"/>
      <w:r>
        <w:t>Тремасов М.Я., Равилов А.З., Сергейчев А.И., Титова В.Ю.,</w:t>
      </w:r>
      <w:r>
        <w:br/>
        <w:t>Садзаглишвили В.А., Нигматуллин А.И.</w:t>
      </w:r>
      <w:bookmarkEnd w:id="5637"/>
      <w:bookmarkEnd w:id="5638"/>
      <w:bookmarkEnd w:id="5639"/>
      <w:bookmarkEnd w:id="5640"/>
      <w:bookmarkEnd w:id="5641"/>
      <w:bookmarkEnd w:id="5642"/>
      <w:bookmarkEnd w:id="5643"/>
      <w:bookmarkEnd w:id="5644"/>
      <w:bookmarkEnd w:id="5645"/>
      <w:bookmarkEnd w:id="5646"/>
      <w:bookmarkEnd w:id="5647"/>
    </w:p>
    <w:p w:rsidR="00F4654E" w:rsidRDefault="00F4654E">
      <w:pPr>
        <w:pStyle w:val="a5"/>
      </w:pPr>
      <w:r>
        <w:t>Всероссийский научно-исследовательский ветеринарный институт</w:t>
      </w:r>
    </w:p>
    <w:p w:rsidR="00F4654E" w:rsidRDefault="00F4654E">
      <w:pPr>
        <w:pStyle w:val="a6"/>
      </w:pPr>
      <w:r>
        <w:t>Болезни молочной железы широко распространены и представляют серьезную проблему для животноводства, что обуславливает разработку лечебно-профилактических средств. По результатам диспансеризации к</w:t>
      </w:r>
      <w:r>
        <w:t>о</w:t>
      </w:r>
      <w:r>
        <w:t>ров более 50 хозяйств Республики Татарстан и Марий-Эл установлена в</w:t>
      </w:r>
      <w:r>
        <w:t>ы</w:t>
      </w:r>
      <w:r>
        <w:t>сокая пораженность молочной железы (трещины сосков и раны вымени, скрытые и явные маститы).</w:t>
      </w:r>
    </w:p>
    <w:p w:rsidR="00F4654E" w:rsidRDefault="00F4654E">
      <w:pPr>
        <w:pStyle w:val="a6"/>
      </w:pPr>
      <w:r>
        <w:t>Для профилактики, лечения  болезней вымени у животных нами ра</w:t>
      </w:r>
      <w:r>
        <w:t>з</w:t>
      </w:r>
      <w:r>
        <w:t>работана мазь «йодилин-масти», в качестве активных веществ в которой использованы соединения йода и ментола; мазевой основы - вазелин и л</w:t>
      </w:r>
      <w:r>
        <w:t>а</w:t>
      </w:r>
      <w:r>
        <w:t xml:space="preserve">нолин. Фармакологические и токсикологические показатели ее не изучены, что и определило цель настоящих исследований. </w:t>
      </w:r>
    </w:p>
    <w:p w:rsidR="00F4654E" w:rsidRDefault="00F4654E">
      <w:pPr>
        <w:pStyle w:val="a6"/>
      </w:pPr>
      <w:r>
        <w:t>В экспериментах на белых мышах, крысах, кроликах, морских сви</w:t>
      </w:r>
      <w:r>
        <w:t>н</w:t>
      </w:r>
      <w:r>
        <w:t>ках изучали острую и  субхроническую токсичность мази, ее раздража</w:t>
      </w:r>
      <w:r>
        <w:t>ю</w:t>
      </w:r>
      <w:r>
        <w:t>щее действие на кожу и слизистые оболочки, а также эмбриотоксические, тератогенные и мутагенные свойства согласно утвержденных методик.</w:t>
      </w:r>
    </w:p>
    <w:p w:rsidR="00F4654E" w:rsidRDefault="00F4654E">
      <w:pPr>
        <w:pStyle w:val="a6"/>
      </w:pPr>
      <w:r>
        <w:t>При установлении токсикологических показателей, препарат живо</w:t>
      </w:r>
      <w:r>
        <w:t>т</w:t>
      </w:r>
      <w:r>
        <w:t>ным  вводили в желудок в виде эмульсии с помощью шприца с металлич</w:t>
      </w:r>
      <w:r>
        <w:t>е</w:t>
      </w:r>
      <w:r>
        <w:t>ским зондом или болюсов: мышам в объеме 0,3-0,4 мл (г), крысам 3-4 мл (г). Животным контрольных групп вводили дистиллированную воду в ан</w:t>
      </w:r>
      <w:r>
        <w:t>а</w:t>
      </w:r>
      <w:r>
        <w:t>логичных объемах.</w:t>
      </w:r>
    </w:p>
    <w:p w:rsidR="00F4654E" w:rsidRDefault="00F4654E">
      <w:pPr>
        <w:pStyle w:val="a6"/>
      </w:pPr>
      <w:r>
        <w:t>Установлено, что мазь не вызвала изменений в общем состоянии ж</w:t>
      </w:r>
      <w:r>
        <w:t>и</w:t>
      </w:r>
      <w:r>
        <w:t>вотных: все они остались живыми. Многократное в течение 30 сут введ</w:t>
      </w:r>
      <w:r>
        <w:t>е</w:t>
      </w:r>
      <w:r>
        <w:t>ние препарата животным  в дозах 0,1 мл мышам и 0,4 мл крысам соотве</w:t>
      </w:r>
      <w:r>
        <w:t>т</w:t>
      </w:r>
      <w:r>
        <w:t>ственно также не вызывало признаков интоксикации. Следовательно, мазь не обладает кумулятивными свойствами.</w:t>
      </w:r>
    </w:p>
    <w:p w:rsidR="00F4654E" w:rsidRDefault="00F4654E">
      <w:pPr>
        <w:pStyle w:val="a6"/>
      </w:pPr>
      <w:r>
        <w:t>Определение раздражающего действия «Йодилин-масти» проводили на кроликах при нанесении мази в нативном виде на выстриженные учас</w:t>
      </w:r>
      <w:r>
        <w:t>т</w:t>
      </w:r>
      <w:r>
        <w:t>ки кожи и внесение в конъюнктивальный мешок.</w:t>
      </w:r>
    </w:p>
    <w:p w:rsidR="00F4654E" w:rsidRDefault="00F4654E">
      <w:pPr>
        <w:pStyle w:val="a6"/>
      </w:pPr>
      <w:r>
        <w:t>В течение 60 сут. наблюдения со стороны кожи и общего состояния функциональных изменений  не отмечено. При внесение 50 мг препарата в конъюнктивальный мешок, наблюдали небольшую гиперемию слизистой глаза, которая исчезла через 1-2 сут.</w:t>
      </w:r>
    </w:p>
    <w:p w:rsidR="00F4654E" w:rsidRDefault="00F4654E">
      <w:pPr>
        <w:pStyle w:val="a6"/>
      </w:pPr>
      <w:r>
        <w:t>Оценку эмбриотоксического и тератогенного действий проводили на крысах путем дачи ежедневно в течение всей беременности 0,1 г препар</w:t>
      </w:r>
      <w:r>
        <w:t>а</w:t>
      </w:r>
      <w:r>
        <w:t>та; контрольным -  дистиллированную воду. Было установлено, что мазь</w:t>
      </w:r>
      <w:r>
        <w:br/>
        <w:t xml:space="preserve">«Йодилин-масти» не влияет на репродуктивные качества крыс, показатели </w:t>
      </w:r>
      <w:r>
        <w:lastRenderedPageBreak/>
        <w:t>пред - и постимплантационной гибели у опытных и контрольных живо</w:t>
      </w:r>
      <w:r>
        <w:t>т</w:t>
      </w:r>
      <w:r>
        <w:t>ных практически не отличались. При этом количество желтых тел и мест имплантации у крыс в обеих группах, примерно было равными, не отлич</w:t>
      </w:r>
      <w:r>
        <w:t>а</w:t>
      </w:r>
      <w:r>
        <w:t>лись более чем на 1,5%. Вскрытие на 20 сутки беременности самок показ</w:t>
      </w:r>
      <w:r>
        <w:t>а</w:t>
      </w:r>
      <w:r>
        <w:t>ло равное количество мертвых и живых плодов.</w:t>
      </w:r>
    </w:p>
    <w:p w:rsidR="00F4654E" w:rsidRDefault="00F4654E">
      <w:pPr>
        <w:pStyle w:val="a6"/>
      </w:pPr>
      <w:r>
        <w:t>При внешнем осмотре эмбрионов (изучали состояние внутренних о</w:t>
      </w:r>
      <w:r>
        <w:t>р</w:t>
      </w:r>
      <w:r>
        <w:t>ганов, аномалии в их развитии), как у опытных, так и контрольных живо</w:t>
      </w:r>
      <w:r>
        <w:t>т</w:t>
      </w:r>
      <w:r>
        <w:t>ных признаков уродства не выявлено.</w:t>
      </w:r>
    </w:p>
    <w:p w:rsidR="00F4654E" w:rsidRDefault="00F4654E">
      <w:pPr>
        <w:pStyle w:val="a6"/>
      </w:pPr>
      <w:r>
        <w:t>В постнатальный период развития крысята опытных и контрольных групп не отличались друг от друга. Такие показатели как продолжител</w:t>
      </w:r>
      <w:r>
        <w:t>ь</w:t>
      </w:r>
      <w:r>
        <w:t>ность беременности, краникаудальные размеры, сроки отлипания ушей, опушение и прозрение у животных в обеих группах фактически не отлич</w:t>
      </w:r>
      <w:r>
        <w:t>а</w:t>
      </w:r>
      <w:r>
        <w:t>лись, не было различия и в показателях постнатальной смертности. Было отмечено более быстрое набирание массы тела крысятами опытной гру</w:t>
      </w:r>
      <w:r>
        <w:t>п</w:t>
      </w:r>
      <w:r>
        <w:t>пы, которые в половозрелом возрасте превосходили массу контрольных животных на 20-21%. Такая закономерность отмечена у крыс трех покол</w:t>
      </w:r>
      <w:r>
        <w:t>е</w:t>
      </w:r>
      <w:r>
        <w:t xml:space="preserve">ний (срок наблюдения). </w:t>
      </w:r>
    </w:p>
    <w:p w:rsidR="00F4654E" w:rsidRDefault="00F4654E">
      <w:pPr>
        <w:pStyle w:val="a6"/>
      </w:pPr>
      <w:r>
        <w:t>Исходя из результатов исследований был сделан вывод, что мазь не обладает эмбриотоксичным и тератогенным действием.</w:t>
      </w:r>
    </w:p>
    <w:p w:rsidR="00F4654E" w:rsidRDefault="00F4654E">
      <w:pPr>
        <w:pStyle w:val="a6"/>
      </w:pPr>
      <w:r>
        <w:t>Мутагенные свойства препарата оценивали с помощью теста Эймса с использованием штаммов Salmonella typhi</w:t>
      </w:r>
      <w:r w:rsidR="006840C8" w:rsidRPr="006840C8">
        <w:t xml:space="preserve"> </w:t>
      </w:r>
      <w:r>
        <w:t>murium согласно общепринятой методике. Проведены 2 этапа исследования: определена токсичность для тестерных штаммов сальмонелл ТА98 и ТА100, осуществлен полуколич</w:t>
      </w:r>
      <w:r>
        <w:t>е</w:t>
      </w:r>
      <w:r>
        <w:t>ственный учет генных мутаций. Установлено, что «Йодилин-масти» не о</w:t>
      </w:r>
      <w:r>
        <w:t>б</w:t>
      </w:r>
      <w:r>
        <w:t>ладает мутагенными свойствами.</w:t>
      </w:r>
    </w:p>
    <w:p w:rsidR="00F4654E" w:rsidRDefault="00F4654E">
      <w:pPr>
        <w:pStyle w:val="a6"/>
      </w:pPr>
      <w:r>
        <w:t>Антимикробную активность «Йодилин-масти» оценивали на тест-культурах St. aureus, St. tuphi</w:t>
      </w:r>
      <w:r w:rsidR="006840C8" w:rsidRPr="006840C8">
        <w:t xml:space="preserve"> </w:t>
      </w:r>
      <w:r>
        <w:t>murium при разведениях препарата 1:10; 1:20; 1:40; 1:80; 1:500. В качестве питательной среды использовали мясопепто</w:t>
      </w:r>
      <w:r>
        <w:t>н</w:t>
      </w:r>
      <w:r>
        <w:t xml:space="preserve">ный бульон и мясопептонный агар. </w:t>
      </w:r>
    </w:p>
    <w:p w:rsidR="00F4654E" w:rsidRDefault="00F4654E">
      <w:pPr>
        <w:pStyle w:val="a6"/>
      </w:pPr>
      <w:r>
        <w:t>Установлено, что мазь обладает выраженными бактерицидным и ба</w:t>
      </w:r>
      <w:r>
        <w:t>к</w:t>
      </w:r>
      <w:r>
        <w:t>териостатическим действиями.</w:t>
      </w:r>
    </w:p>
    <w:p w:rsidR="00F4654E" w:rsidRDefault="00F4654E">
      <w:pPr>
        <w:pStyle w:val="a6"/>
      </w:pPr>
      <w:r>
        <w:t>Изучение профилактической эффективности «Йодилин-масти» пров</w:t>
      </w:r>
      <w:r>
        <w:t>е</w:t>
      </w:r>
      <w:r>
        <w:t>дены на 820 коровах в хозяйствах РТ и Марий-Эл, в которых в течение длительного времени отмечались массовые маститы  коров. По принципу аналогов (живая масса, возраст, количество лактаций и т.д.) были сформ</w:t>
      </w:r>
      <w:r>
        <w:t>и</w:t>
      </w:r>
      <w:r>
        <w:t>рованы по две группы животных. Соски и нижние доли вымени у коров первой группы (опытная), сразу после каждого машинного доения обраб</w:t>
      </w:r>
      <w:r>
        <w:t>а</w:t>
      </w:r>
      <w:r>
        <w:t>тывали мазью «Йодилин-масти» в дозе 2 г на животное. У второй группы животных (контрольная) после доения соски и нижнюю часть вымени о</w:t>
      </w:r>
      <w:r>
        <w:t>б</w:t>
      </w:r>
      <w:r>
        <w:t>рабатывали вазелином. Мазь и вазелин наносили легким втиранием и ма</w:t>
      </w:r>
      <w:r>
        <w:t>с</w:t>
      </w:r>
      <w:r>
        <w:t>сажем. Наблюдение вели в течение всего лактационного периода.</w:t>
      </w:r>
    </w:p>
    <w:p w:rsidR="004D29CD" w:rsidRDefault="004D29CD">
      <w:pPr>
        <w:pStyle w:val="a6"/>
      </w:pPr>
    </w:p>
    <w:p w:rsidR="004D29CD" w:rsidRDefault="004D29CD">
      <w:pPr>
        <w:pStyle w:val="a6"/>
      </w:pPr>
    </w:p>
    <w:p w:rsidR="00F4654E" w:rsidRDefault="00F4654E">
      <w:pPr>
        <w:pStyle w:val="a6"/>
      </w:pPr>
      <w:r>
        <w:lastRenderedPageBreak/>
        <w:t xml:space="preserve"> У большинства опытных животных признаки мастита и трещин со</w:t>
      </w:r>
      <w:r>
        <w:t>с</w:t>
      </w:r>
      <w:r>
        <w:t>ков не отмечались. Следует отметить, что мазь «Йодилин-масти» обладает выраженной профилактической эффективностью, т.к. всего у 3% живо</w:t>
      </w:r>
      <w:r>
        <w:t>т</w:t>
      </w:r>
      <w:r>
        <w:t>ных были установлены серозные маститы, а эффективность вазелина не превышала 44%.</w:t>
      </w:r>
    </w:p>
    <w:p w:rsidR="00F4654E" w:rsidRDefault="00F4654E">
      <w:pPr>
        <w:pStyle w:val="a6"/>
      </w:pPr>
      <w:r>
        <w:t>Таким образом, разработано эффективное средство – мазь «Йодилин-масти» для профилактики трещин сосков вымени и маститов у животных.</w:t>
      </w:r>
    </w:p>
    <w:p w:rsidR="00F4654E" w:rsidRDefault="00F4654E">
      <w:pPr>
        <w:pStyle w:val="a4"/>
      </w:pPr>
      <w:r>
        <w:t>УДК 619:612:33:616.3.616-084</w:t>
      </w:r>
    </w:p>
    <w:p w:rsidR="00F4654E" w:rsidRDefault="00F4654E">
      <w:pPr>
        <w:pStyle w:val="1"/>
        <w:ind w:left="-180" w:right="-234"/>
      </w:pPr>
      <w:bookmarkStart w:id="5648" w:name="_Toc10731618"/>
      <w:bookmarkStart w:id="5649" w:name="_Toc11138099"/>
      <w:bookmarkStart w:id="5650" w:name="_Toc11138517"/>
      <w:bookmarkStart w:id="5651" w:name="_Toc11138935"/>
      <w:bookmarkStart w:id="5652" w:name="_Toc11139353"/>
      <w:bookmarkStart w:id="5653" w:name="_Toc11139771"/>
      <w:bookmarkStart w:id="5654" w:name="_Toc11140189"/>
      <w:bookmarkStart w:id="5655" w:name="_Toc11140607"/>
      <w:bookmarkStart w:id="5656" w:name="_Toc11390703"/>
      <w:bookmarkStart w:id="5657" w:name="_Toc11840388"/>
      <w:bookmarkStart w:id="5658" w:name="_Toc11937924"/>
      <w:r>
        <w:t>ПРОБИОТИК ДЛЯ ПРОФИЛАКТИКИ И ЛЕЧЕНИЯ ДИАРЕИ  МОЛОДНЯКА ЖИВОТНЫХ НЕЗАРАЗНОЙ ЭТИОЛОГИИ</w:t>
      </w:r>
      <w:bookmarkEnd w:id="5648"/>
      <w:bookmarkEnd w:id="5649"/>
      <w:bookmarkEnd w:id="5650"/>
      <w:bookmarkEnd w:id="5651"/>
      <w:bookmarkEnd w:id="5652"/>
      <w:bookmarkEnd w:id="5653"/>
      <w:bookmarkEnd w:id="5654"/>
      <w:bookmarkEnd w:id="5655"/>
      <w:bookmarkEnd w:id="5656"/>
      <w:bookmarkEnd w:id="5657"/>
      <w:bookmarkEnd w:id="5658"/>
    </w:p>
    <w:p w:rsidR="00F4654E" w:rsidRDefault="00F4654E">
      <w:pPr>
        <w:pStyle w:val="2"/>
      </w:pPr>
      <w:bookmarkStart w:id="5659" w:name="_Toc10731619"/>
      <w:bookmarkStart w:id="5660" w:name="_Toc11032413"/>
      <w:bookmarkStart w:id="5661" w:name="_Toc11138100"/>
      <w:bookmarkStart w:id="5662" w:name="_Toc11138518"/>
      <w:bookmarkStart w:id="5663" w:name="_Toc11138936"/>
      <w:bookmarkStart w:id="5664" w:name="_Toc11139354"/>
      <w:bookmarkStart w:id="5665" w:name="_Toc11139772"/>
      <w:bookmarkStart w:id="5666" w:name="_Toc11140190"/>
      <w:bookmarkStart w:id="5667" w:name="_Toc11140608"/>
      <w:bookmarkStart w:id="5668" w:name="_Toc11390704"/>
      <w:bookmarkStart w:id="5669" w:name="_Toc11937925"/>
      <w:r>
        <w:t xml:space="preserve">Тремасов М.Я., Равилов А.З., Титова В.Ю., Сергейчев А.И., </w:t>
      </w:r>
      <w:r>
        <w:br/>
        <w:t>Нигматуллин А.И., Петрова Н.В., Никонов С.В., Воробьева А.Н.</w:t>
      </w:r>
      <w:bookmarkEnd w:id="5659"/>
      <w:bookmarkEnd w:id="5660"/>
      <w:bookmarkEnd w:id="5661"/>
      <w:bookmarkEnd w:id="5662"/>
      <w:bookmarkEnd w:id="5663"/>
      <w:bookmarkEnd w:id="5664"/>
      <w:bookmarkEnd w:id="5665"/>
      <w:bookmarkEnd w:id="5666"/>
      <w:bookmarkEnd w:id="5667"/>
      <w:bookmarkEnd w:id="5668"/>
      <w:bookmarkEnd w:id="5669"/>
    </w:p>
    <w:p w:rsidR="00F4654E" w:rsidRDefault="00F4654E">
      <w:pPr>
        <w:pStyle w:val="a5"/>
      </w:pPr>
      <w:r>
        <w:t>Всероссийский научно-исследовательский ветеринарный институт</w:t>
      </w:r>
    </w:p>
    <w:p w:rsidR="00F4654E" w:rsidRDefault="00F4654E">
      <w:pPr>
        <w:pStyle w:val="a6"/>
      </w:pPr>
      <w:r>
        <w:t>Загрязнение сельскохозяйственной продукции микотоксинами нере</w:t>
      </w:r>
      <w:r>
        <w:t>д</w:t>
      </w:r>
      <w:r>
        <w:t>ко является причиной тяжелых алиментарных токсикозов у животных. И</w:t>
      </w:r>
      <w:r>
        <w:t>з</w:t>
      </w:r>
      <w:r>
        <w:t>вестно, что микотоксикозы, особенно протекающие в подострой и хрон</w:t>
      </w:r>
      <w:r>
        <w:t>и</w:t>
      </w:r>
      <w:r>
        <w:t>ческой форме, сопровождаются выраженным дисбактериозом кишечника. Такое явление, вероятно, связано с антибиотическими свойствами мик</w:t>
      </w:r>
      <w:r>
        <w:t>о</w:t>
      </w:r>
      <w:r>
        <w:t>токсинов, бессистемным использованием противомикробных препаратов. Возникающая на фоне дисбактериоза диарея трудно поддается лечению. Эти недостатки могут быть устранены при использовании бактерийных препаратов (пробиотиков), среди которых в медицине и ветеринарии и</w:t>
      </w:r>
      <w:r>
        <w:t>с</w:t>
      </w:r>
      <w:r>
        <w:t xml:space="preserve">пользуют различные штаммы Bacillus subtilis, B.terreus и другие. </w:t>
      </w:r>
    </w:p>
    <w:p w:rsidR="00F4654E" w:rsidRDefault="00F4654E">
      <w:pPr>
        <w:pStyle w:val="a6"/>
      </w:pPr>
      <w:r>
        <w:t>Цель работы – изучение пробиотика энтероспорина при профилактике и лечении диареи молодняка сельскохозяйственных животных.</w:t>
      </w:r>
    </w:p>
    <w:p w:rsidR="00F4654E" w:rsidRDefault="00F4654E">
      <w:pPr>
        <w:pStyle w:val="a6"/>
      </w:pPr>
      <w:r>
        <w:t>В течение нескольких лет диарея микотоксического характера набл</w:t>
      </w:r>
      <w:r>
        <w:t>ю</w:t>
      </w:r>
      <w:r>
        <w:t>далась в хозяйствах Республик Татарстан, Марий Эл, Мордовия и других. Систематический анализ кормов в этих хозяйствах показал высокую ст</w:t>
      </w:r>
      <w:r>
        <w:t>е</w:t>
      </w:r>
      <w:r>
        <w:t>пень загрязнения их микроскопическими грибами, особенно в осенне-зимний и зимне-весенний период, при частом обнаружении в них микото</w:t>
      </w:r>
      <w:r>
        <w:t>к</w:t>
      </w:r>
      <w:r>
        <w:t>синов (Т-2 токсин, афлатоксин, зеараленон, реже дезоксиниваленол и п</w:t>
      </w:r>
      <w:r>
        <w:t>а</w:t>
      </w:r>
      <w:r>
        <w:t>тулин). Количество микотоксинов не всегда превышало ПДК, однако с</w:t>
      </w:r>
      <w:r>
        <w:t>о</w:t>
      </w:r>
      <w:r>
        <w:t>вместное влияние ядов усиливало токсический эффект друг друга, вызвало диарею животных. Заболевало до 90% молодняка, около 30% погибали, отмечался низкий прирост массы тела, выявлялись аборты, мертворожд</w:t>
      </w:r>
      <w:r>
        <w:t>е</w:t>
      </w:r>
      <w:r>
        <w:t>ния; болезнь часто осложнялась колибактериозом. Использование ант</w:t>
      </w:r>
      <w:r>
        <w:t>и</w:t>
      </w:r>
      <w:r>
        <w:t>биотиков, химиотерапевтических препаратов в качестве лечебно-профи-лактических средств не дало эффекта.</w:t>
      </w:r>
    </w:p>
    <w:p w:rsidR="00F4654E" w:rsidRDefault="00F4654E">
      <w:pPr>
        <w:pStyle w:val="a6"/>
      </w:pPr>
      <w:r>
        <w:t>Исходя из этого, для профилактики и лечения болезней, протекающих с признаками диареи, был использован пробиотик энтероспорин, разраб</w:t>
      </w:r>
      <w:r>
        <w:t>о</w:t>
      </w:r>
      <w:r>
        <w:lastRenderedPageBreak/>
        <w:t>танный во ВНИВИ (М.Я. Тремасов, А.И. Сергейчев, В.Ю. Титова, А.З. Р</w:t>
      </w:r>
      <w:r>
        <w:t>а</w:t>
      </w:r>
      <w:r>
        <w:t>вилов, А.Г. Абдуллин) на основе штамма B.subtillis – 93.</w:t>
      </w:r>
    </w:p>
    <w:p w:rsidR="00F4654E" w:rsidRDefault="00F4654E">
      <w:pPr>
        <w:pStyle w:val="a6"/>
      </w:pPr>
      <w:r>
        <w:t>В опытах было задействовано 1000 новорожденных поросят, сформ</w:t>
      </w:r>
      <w:r>
        <w:t>и</w:t>
      </w:r>
      <w:r>
        <w:t>рованных в 5 групп по 200голов. Из рациона животных были исключены корма, содержащие микотоксины. Были использованы следующие схемы:</w:t>
      </w:r>
    </w:p>
    <w:p w:rsidR="00F4654E" w:rsidRDefault="00F4654E">
      <w:pPr>
        <w:pStyle w:val="a6"/>
      </w:pPr>
      <w:r>
        <w:t>- первая группа животных получала энтероспорин сразу после рожд</w:t>
      </w:r>
      <w:r>
        <w:t>е</w:t>
      </w:r>
      <w:r>
        <w:t>ния и через 5 сут. внутрь (с помощью шприца Шилова) в дозе 1 мл (в 1 мл – 2 млрд. микр. клеток);</w:t>
      </w:r>
    </w:p>
    <w:p w:rsidR="00F4654E" w:rsidRDefault="00F4654E">
      <w:pPr>
        <w:pStyle w:val="a6"/>
      </w:pPr>
      <w:r>
        <w:t>- вторая группа поросят получала энтероспорин сразу после рождения и через 5 сут. по 2 мл внутрь (1 мл – 2 млрд. микр. клеток);</w:t>
      </w:r>
    </w:p>
    <w:p w:rsidR="00F4654E" w:rsidRDefault="00F4654E">
      <w:pPr>
        <w:pStyle w:val="a6"/>
      </w:pPr>
      <w:r>
        <w:t>- третья группа поросят получала энтероспорин в дозе 3 мл (в 1 мл – 2 млрд. микр. клеток) на животное сразу после рождения и через 5 сут.;</w:t>
      </w:r>
    </w:p>
    <w:p w:rsidR="00F4654E" w:rsidRDefault="00F4654E">
      <w:pPr>
        <w:pStyle w:val="a6"/>
      </w:pPr>
      <w:r>
        <w:t>- четвертая группа поросят получала физиологический раствор в дозе 3 мл на голову сразу после рождения и через 5 сут.;</w:t>
      </w:r>
    </w:p>
    <w:p w:rsidR="00F4654E" w:rsidRDefault="00F4654E">
      <w:pPr>
        <w:pStyle w:val="a6"/>
      </w:pPr>
      <w:r>
        <w:t>- пятая группа поросят получала средства, используемые в хозяйстве (тетрациклин, настой трав).</w:t>
      </w:r>
    </w:p>
    <w:p w:rsidR="00F4654E" w:rsidRDefault="00F4654E">
      <w:pPr>
        <w:pStyle w:val="a6"/>
      </w:pPr>
      <w:r>
        <w:t>При появлении признаков диареи животных 1, 2, 3 групп лечили вв</w:t>
      </w:r>
      <w:r>
        <w:t>е</w:t>
      </w:r>
      <w:r>
        <w:t>дением внутрь энтероспорина в дозе 5 мл на животное, 4, 5 групп – ант</w:t>
      </w:r>
      <w:r>
        <w:t>и</w:t>
      </w:r>
      <w:r>
        <w:t>биотиками (окситетрациклин, симптоматическое лечение, физиологич</w:t>
      </w:r>
      <w:r>
        <w:t>е</w:t>
      </w:r>
      <w:r>
        <w:t>ский раствор, глюкоза).</w:t>
      </w:r>
    </w:p>
    <w:p w:rsidR="00F4654E" w:rsidRDefault="00F4654E">
      <w:pPr>
        <w:pStyle w:val="a6"/>
      </w:pPr>
      <w:r>
        <w:t>Препарат энтероспорин зарекомендовал себя эффективным средством при профилактике диареи поросят, эффективность в группах 1, 2, 3 сост</w:t>
      </w:r>
      <w:r>
        <w:t>а</w:t>
      </w:r>
      <w:r>
        <w:t>вила соответственно 80, 90, 96%, эффективность физиологического ра</w:t>
      </w:r>
      <w:r>
        <w:t>с</w:t>
      </w:r>
      <w:r>
        <w:t>твора и используемых в хозяйстве средств не превышала 40 и 48%. След</w:t>
      </w:r>
      <w:r>
        <w:t>у</w:t>
      </w:r>
      <w:r>
        <w:t>ет отметить, что препарат пробиотик хорошо переносится животными, п</w:t>
      </w:r>
      <w:r>
        <w:t>о</w:t>
      </w:r>
      <w:r>
        <w:t>вышает показатели роста. Использование энтероспорина в 1994-1995г.г. позволило увеличить на 20-30% сохранность поросят и среднесуточные привесы на 150-220 г.</w:t>
      </w:r>
    </w:p>
    <w:p w:rsidR="00F4654E" w:rsidRDefault="00F4654E">
      <w:pPr>
        <w:pStyle w:val="a6"/>
      </w:pPr>
      <w:r>
        <w:t xml:space="preserve">Выраженный профилактический и терапевтический эффект получен и при применении энтероспорина на телятах. С профилактической целью препарат вводили сразу после рождения и с интервалом 24 ч еще два раза в дозе 10 мл на голову, с лечебной целью – 2-5 кратно натощак один раз в сутки в той же дозе. Телятам откормочной группы дозу энтероспорина увеличивали в 1,5-2 раза. </w:t>
      </w:r>
    </w:p>
    <w:p w:rsidR="00F4654E" w:rsidRDefault="00F4654E">
      <w:pPr>
        <w:pStyle w:val="a6"/>
      </w:pPr>
      <w:r>
        <w:t>Профилактированные энтероспорином  поросята и телята хорошо ра</w:t>
      </w:r>
      <w:r>
        <w:t>з</w:t>
      </w:r>
      <w:r>
        <w:t>вивались; при этом у последних увеличение среднесуточного привеса до</w:t>
      </w:r>
      <w:r>
        <w:t>с</w:t>
      </w:r>
      <w:r>
        <w:t>тигало до 250-350 г. У поросят и телят опытной группы были менее выр</w:t>
      </w:r>
      <w:r>
        <w:t>а</w:t>
      </w:r>
      <w:r>
        <w:t>жены изменения морфологических и биохимических показателей крови, более стабильны параметры белкового, минерального и углеводного обм</w:t>
      </w:r>
      <w:r>
        <w:t>е</w:t>
      </w:r>
      <w:r>
        <w:t>нов. Животные, подвергнутые лечению энтероспорином, в абсолютном большинстве случаев выздоровели после 3-5 кратного введения препарата.</w:t>
      </w:r>
    </w:p>
    <w:p w:rsidR="004D29CD" w:rsidRDefault="004D29CD">
      <w:pPr>
        <w:pStyle w:val="a6"/>
      </w:pPr>
    </w:p>
    <w:p w:rsidR="004D29CD" w:rsidRDefault="004D29CD">
      <w:pPr>
        <w:pStyle w:val="a6"/>
      </w:pPr>
    </w:p>
    <w:p w:rsidR="00F4654E" w:rsidRDefault="00F4654E">
      <w:pPr>
        <w:pStyle w:val="a6"/>
      </w:pPr>
      <w:r>
        <w:lastRenderedPageBreak/>
        <w:t>Таким образом, использование пробиотика энтероспорина обеспеч</w:t>
      </w:r>
      <w:r>
        <w:t>и</w:t>
      </w:r>
      <w:r>
        <w:t>вает выраженный профилактический и терапевтический эффект при диарее молодняка животных незаразной этиологии. Препарат энтероспорин одо</w:t>
      </w:r>
      <w:r>
        <w:t>б</w:t>
      </w:r>
      <w:r>
        <w:t>рен Ветбиофармсоветом РФ, рекомендован для широкой производстве</w:t>
      </w:r>
      <w:r>
        <w:t>н</w:t>
      </w:r>
      <w:r>
        <w:t>ной апробации.</w:t>
      </w:r>
    </w:p>
    <w:p w:rsidR="00F4654E" w:rsidRDefault="00F4654E">
      <w:pPr>
        <w:pStyle w:val="a4"/>
      </w:pPr>
      <w:r>
        <w:t>УДК 619:617-089:591.434</w:t>
      </w:r>
    </w:p>
    <w:p w:rsidR="00F4654E" w:rsidRDefault="00F4654E">
      <w:pPr>
        <w:pStyle w:val="1"/>
      </w:pPr>
      <w:bookmarkStart w:id="5670" w:name="_Toc11138101"/>
      <w:bookmarkStart w:id="5671" w:name="_Toc11138519"/>
      <w:bookmarkStart w:id="5672" w:name="_Toc11138937"/>
      <w:bookmarkStart w:id="5673" w:name="_Toc11139355"/>
      <w:bookmarkStart w:id="5674" w:name="_Toc11139773"/>
      <w:bookmarkStart w:id="5675" w:name="_Toc11140191"/>
      <w:bookmarkStart w:id="5676" w:name="_Toc11140609"/>
      <w:bookmarkStart w:id="5677" w:name="_Toc11390705"/>
      <w:bookmarkStart w:id="5678" w:name="_Toc11840390"/>
      <w:bookmarkStart w:id="5679" w:name="_Toc11937926"/>
      <w:r>
        <w:t>Применение виброакустического аппарата «Витафон» при регенерации костной ткани у собак</w:t>
      </w:r>
      <w:bookmarkEnd w:id="5670"/>
      <w:bookmarkEnd w:id="5671"/>
      <w:bookmarkEnd w:id="5672"/>
      <w:bookmarkEnd w:id="5673"/>
      <w:bookmarkEnd w:id="5674"/>
      <w:bookmarkEnd w:id="5675"/>
      <w:bookmarkEnd w:id="5676"/>
      <w:bookmarkEnd w:id="5677"/>
      <w:bookmarkEnd w:id="5678"/>
      <w:bookmarkEnd w:id="5679"/>
    </w:p>
    <w:p w:rsidR="00F4654E" w:rsidRDefault="00F4654E">
      <w:pPr>
        <w:pStyle w:val="2"/>
      </w:pPr>
      <w:bookmarkStart w:id="5680" w:name="_Toc11032414"/>
      <w:bookmarkStart w:id="5681" w:name="_Toc11138102"/>
      <w:bookmarkStart w:id="5682" w:name="_Toc11138520"/>
      <w:bookmarkStart w:id="5683" w:name="_Toc11138938"/>
      <w:bookmarkStart w:id="5684" w:name="_Toc11139356"/>
      <w:bookmarkStart w:id="5685" w:name="_Toc11139774"/>
      <w:bookmarkStart w:id="5686" w:name="_Toc11140192"/>
      <w:bookmarkStart w:id="5687" w:name="_Toc11140610"/>
      <w:bookmarkStart w:id="5688" w:name="_Toc11390706"/>
      <w:bookmarkStart w:id="5689" w:name="_Toc11937927"/>
      <w:r>
        <w:t>Трояновская Л.П., Корчагин И.В., Пальцев С.С.</w:t>
      </w:r>
      <w:bookmarkEnd w:id="5680"/>
      <w:bookmarkEnd w:id="5681"/>
      <w:bookmarkEnd w:id="5682"/>
      <w:bookmarkEnd w:id="5683"/>
      <w:bookmarkEnd w:id="5684"/>
      <w:bookmarkEnd w:id="5685"/>
      <w:bookmarkEnd w:id="5686"/>
      <w:bookmarkEnd w:id="5687"/>
      <w:bookmarkEnd w:id="5688"/>
      <w:bookmarkEnd w:id="5689"/>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Механическое повреждение тканей в зоне перелома вызывает асепт</w:t>
      </w:r>
      <w:r>
        <w:t>и</w:t>
      </w:r>
      <w:r>
        <w:t xml:space="preserve">ческое воспаление, которое проходит известные фазы </w:t>
      </w:r>
      <w:r>
        <w:sym w:font="Symbol" w:char="F02D"/>
      </w:r>
      <w:r>
        <w:t xml:space="preserve"> альтерации, эксс</w:t>
      </w:r>
      <w:r>
        <w:t>у</w:t>
      </w:r>
      <w:r>
        <w:t xml:space="preserve">дации и пролиферации. </w:t>
      </w:r>
    </w:p>
    <w:p w:rsidR="00F4654E" w:rsidRDefault="00F4654E">
      <w:pPr>
        <w:pStyle w:val="a6"/>
      </w:pPr>
      <w:r>
        <w:t>На кафедре хирургии ВГАУ для сокращения сроков лечения разных видов переломов, и в частности после остеосинтеза костей предплечья и бедра у собак, для увеличения прочности соединительной ткани, пред</w:t>
      </w:r>
      <w:r>
        <w:t>у</w:t>
      </w:r>
      <w:r>
        <w:t>преждения осложнений, снятия зуда и отёка в зоне фиксирующих повязок, а также для ускорения восстановления подвижности суставов, мы с усп</w:t>
      </w:r>
      <w:r>
        <w:t>е</w:t>
      </w:r>
      <w:r>
        <w:t>хом применяем виброакустический аппарат «Витафон».</w:t>
      </w:r>
    </w:p>
    <w:p w:rsidR="00F4654E" w:rsidRDefault="00F4654E">
      <w:pPr>
        <w:pStyle w:val="a6"/>
      </w:pPr>
      <w:r>
        <w:t>Основой лечебного эффекта аппарата является локальное увеличение капиллярного кровотока, лимфотока и усиление осмотического движения жидкости в зоне виброакустического воздействия. Увеличение капилля</w:t>
      </w:r>
      <w:r>
        <w:t>р</w:t>
      </w:r>
      <w:r>
        <w:t>ного кровотока происходит благодаря снижению гидродинамического с</w:t>
      </w:r>
      <w:r>
        <w:t>о</w:t>
      </w:r>
      <w:r>
        <w:t>противления сосудов на определённой частоте акустической волны. Для каждого диаметра сосуда существует оптимальная частота наименьшего гидродинамического сопротивления движению крови, поэтому в лечебных целях используется широкий диапазон меняющихся частот. За счёт этого, даже при малой амплитуде микровибрации (меньше 20 мкм), достигается увеличение числа функционирующих капилляров, значительное снижение гидродинамического сопротивления, что в 2</w:t>
      </w:r>
      <w:r>
        <w:sym w:font="Symbol" w:char="F02D"/>
      </w:r>
      <w:r>
        <w:t>4 раза увеличивает кровоток и лимфоток в тканях.</w:t>
      </w:r>
    </w:p>
    <w:p w:rsidR="00F4654E" w:rsidRDefault="00F4654E">
      <w:pPr>
        <w:pStyle w:val="a6"/>
      </w:pPr>
      <w:r>
        <w:t>В режиме импульсной модуляции частоты происходит скачкообра</w:t>
      </w:r>
      <w:r>
        <w:t>з</w:t>
      </w:r>
      <w:r>
        <w:t>ное изменение напряжённости сосудов и тканей, что способствует увел</w:t>
      </w:r>
      <w:r>
        <w:t>и</w:t>
      </w:r>
      <w:r>
        <w:t>чению кровотока вследствие спазмолитического действия. Лечебный э</w:t>
      </w:r>
      <w:r>
        <w:t>ф</w:t>
      </w:r>
      <w:r>
        <w:t>фект определяется мощностью и продолжительностью воздействия на о</w:t>
      </w:r>
      <w:r>
        <w:t>б</w:t>
      </w:r>
      <w:r>
        <w:t xml:space="preserve">ласть патологии. </w:t>
      </w:r>
    </w:p>
    <w:p w:rsidR="00F4654E" w:rsidRDefault="00F4654E">
      <w:pPr>
        <w:pStyle w:val="a6"/>
      </w:pPr>
      <w:r>
        <w:t>Лечебная доза воздействия сохраняется в радиусе 7 см, а по крупным кровеносным сосудам распространяется ещё на 5</w:t>
      </w:r>
      <w:r>
        <w:sym w:font="Symbol" w:char="F02D"/>
      </w:r>
      <w:r>
        <w:t>7 см. Это обстоятельство следует учитывать при выборе места установки виброфонов.</w:t>
      </w:r>
    </w:p>
    <w:p w:rsidR="004D29CD" w:rsidRDefault="004D29CD">
      <w:pPr>
        <w:pStyle w:val="a6"/>
      </w:pPr>
    </w:p>
    <w:p w:rsidR="004D29CD" w:rsidRDefault="004D29CD">
      <w:pPr>
        <w:pStyle w:val="a6"/>
      </w:pPr>
    </w:p>
    <w:p w:rsidR="00F4654E" w:rsidRDefault="00F4654E">
      <w:pPr>
        <w:pStyle w:val="a6"/>
      </w:pPr>
      <w:r>
        <w:lastRenderedPageBreak/>
        <w:t>Применение аппарата «Витафон» хорошо сочетается с другими сре</w:t>
      </w:r>
      <w:r>
        <w:t>д</w:t>
      </w:r>
      <w:r>
        <w:t>ствами лечения: рефлексотерапией, лазеротерапией. При приёме лекарс</w:t>
      </w:r>
      <w:r>
        <w:t>т</w:t>
      </w:r>
      <w:r>
        <w:t>венных препаратов повышается их эффективность за счёт концентрации в зоне воздействия «Витафона».</w:t>
      </w:r>
    </w:p>
    <w:p w:rsidR="00F4654E" w:rsidRDefault="00F4654E">
      <w:pPr>
        <w:pStyle w:val="a4"/>
        <w:rPr>
          <w:b/>
          <w:caps w:val="0"/>
        </w:rPr>
      </w:pPr>
      <w:r>
        <w:t>УДК 619:617-089:591.434</w:t>
      </w:r>
    </w:p>
    <w:p w:rsidR="00F4654E" w:rsidRDefault="00F4654E">
      <w:pPr>
        <w:pStyle w:val="1"/>
      </w:pPr>
      <w:bookmarkStart w:id="5690" w:name="_Toc11138103"/>
      <w:bookmarkStart w:id="5691" w:name="_Toc11138521"/>
      <w:bookmarkStart w:id="5692" w:name="_Toc11138939"/>
      <w:bookmarkStart w:id="5693" w:name="_Toc11139357"/>
      <w:bookmarkStart w:id="5694" w:name="_Toc11139775"/>
      <w:bookmarkStart w:id="5695" w:name="_Toc11140193"/>
      <w:bookmarkStart w:id="5696" w:name="_Toc11140611"/>
      <w:bookmarkStart w:id="5697" w:name="_Toc11390707"/>
      <w:bookmarkStart w:id="5698" w:name="_Toc11840392"/>
      <w:bookmarkStart w:id="5699" w:name="_Toc11937928"/>
      <w:r>
        <w:t>Биомеханика однорядного кишечного шва</w:t>
      </w:r>
      <w:bookmarkEnd w:id="5690"/>
      <w:bookmarkEnd w:id="5691"/>
      <w:bookmarkEnd w:id="5692"/>
      <w:bookmarkEnd w:id="5693"/>
      <w:bookmarkEnd w:id="5694"/>
      <w:bookmarkEnd w:id="5695"/>
      <w:bookmarkEnd w:id="5696"/>
      <w:bookmarkEnd w:id="5697"/>
      <w:bookmarkEnd w:id="5698"/>
      <w:bookmarkEnd w:id="5699"/>
    </w:p>
    <w:p w:rsidR="00F4654E" w:rsidRDefault="00F4654E">
      <w:pPr>
        <w:pStyle w:val="2"/>
      </w:pPr>
      <w:bookmarkStart w:id="5700" w:name="_Toc11032415"/>
      <w:bookmarkStart w:id="5701" w:name="_Toc11138104"/>
      <w:bookmarkStart w:id="5702" w:name="_Toc11138522"/>
      <w:bookmarkStart w:id="5703" w:name="_Toc11138940"/>
      <w:bookmarkStart w:id="5704" w:name="_Toc11139358"/>
      <w:bookmarkStart w:id="5705" w:name="_Toc11139776"/>
      <w:bookmarkStart w:id="5706" w:name="_Toc11140194"/>
      <w:bookmarkStart w:id="5707" w:name="_Toc11140612"/>
      <w:bookmarkStart w:id="5708" w:name="_Toc11390708"/>
      <w:bookmarkStart w:id="5709" w:name="_Toc11937929"/>
      <w:r>
        <w:t>Трояновская Л.П., Черванев В.А., Тарасенко П.А., Белов А.В.</w:t>
      </w:r>
      <w:bookmarkEnd w:id="5700"/>
      <w:bookmarkEnd w:id="5701"/>
      <w:bookmarkEnd w:id="5702"/>
      <w:bookmarkEnd w:id="5703"/>
      <w:bookmarkEnd w:id="5704"/>
      <w:bookmarkEnd w:id="5705"/>
      <w:bookmarkEnd w:id="5706"/>
      <w:bookmarkEnd w:id="5707"/>
      <w:bookmarkEnd w:id="5708"/>
      <w:bookmarkEnd w:id="5709"/>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Для соединения полых органов к настоящему времени описано более 450 способов наложения кишечных  швов. В описанных методиках нере</w:t>
      </w:r>
      <w:r>
        <w:t>д</w:t>
      </w:r>
      <w:r>
        <w:t>ко встречаются упоминания о серо</w:t>
      </w:r>
      <w:r>
        <w:sym w:font="Symbol" w:char="F02D"/>
      </w:r>
      <w:r>
        <w:t>серозных, серозно</w:t>
      </w:r>
      <w:r>
        <w:sym w:font="Symbol" w:char="F02D"/>
      </w:r>
      <w:r>
        <w:t>мышечных и шве слизистой оболочки. Тем не менее, не всегда ясно, что сероза может сш</w:t>
      </w:r>
      <w:r>
        <w:t>и</w:t>
      </w:r>
      <w:r>
        <w:t>ваться или, вообще, нести какую</w:t>
      </w:r>
      <w:r>
        <w:sym w:font="Symbol" w:char="F02D"/>
      </w:r>
      <w:r>
        <w:t>либо механическую нагрузку.</w:t>
      </w:r>
    </w:p>
    <w:p w:rsidR="00F4654E" w:rsidRDefault="00F4654E">
      <w:pPr>
        <w:pStyle w:val="a6"/>
      </w:pPr>
      <w:r>
        <w:t xml:space="preserve"> На наш взгляд выбор хирургом метода соединения полых органов должен быть основан на  знании структуры и свойств кишечной стенки, которая в свою очередь представляет собой многослойный биополимер, механическая прочность  наружных оболочек которого (серозы и слиз</w:t>
      </w:r>
      <w:r>
        <w:t>и</w:t>
      </w:r>
      <w:r>
        <w:t>стой) очень мала.</w:t>
      </w:r>
    </w:p>
    <w:p w:rsidR="00F4654E" w:rsidRDefault="00F4654E">
      <w:pPr>
        <w:pStyle w:val="a6"/>
      </w:pPr>
      <w:r>
        <w:t xml:space="preserve"> </w:t>
      </w:r>
      <w:r>
        <w:rPr>
          <w:lang w:val="en-US"/>
        </w:rPr>
        <w:t>W</w:t>
      </w:r>
      <w:r>
        <w:t>.</w:t>
      </w:r>
      <w:r>
        <w:rPr>
          <w:lang w:val="en-US"/>
        </w:rPr>
        <w:t>S</w:t>
      </w:r>
      <w:r>
        <w:t xml:space="preserve">. </w:t>
      </w:r>
      <w:r>
        <w:rPr>
          <w:lang w:val="en-US"/>
        </w:rPr>
        <w:t>Halsted</w:t>
      </w:r>
      <w:r>
        <w:t xml:space="preserve"> был первым, кто выделил подслизистый слой, как особо прочную структуру органов желудочно</w:t>
      </w:r>
      <w:r>
        <w:sym w:font="Symbol" w:char="F02D"/>
      </w:r>
      <w:r>
        <w:t>кишечного тракта и матки млек</w:t>
      </w:r>
      <w:r>
        <w:t>о</w:t>
      </w:r>
      <w:r>
        <w:t>питающих. Им же в эксперименте было показано, насколько ненадежны швы, захватывающие только серозно</w:t>
      </w:r>
      <w:r>
        <w:sym w:font="Symbol" w:char="F02D"/>
      </w:r>
      <w:r>
        <w:t>мышечные слои.</w:t>
      </w:r>
    </w:p>
    <w:p w:rsidR="00F4654E" w:rsidRDefault="00F4654E">
      <w:pPr>
        <w:pStyle w:val="a6"/>
      </w:pPr>
      <w:r>
        <w:t xml:space="preserve"> Полученные нами данные сканирующей электронной микроскопии на кишечнике, удаленной интраоперационно (исследовано 98 образцов, из них 49 поперечный срез, 49 продольный) позволяют утверждать, что строение подслизистого слоя толстой кишки собаки напоминает подви</w:t>
      </w:r>
      <w:r>
        <w:t>ж</w:t>
      </w:r>
      <w:r>
        <w:t>ную коллагеновую решетку. Коллагеновые волокна представляют собой жесткую структуру, с выраженными упругими свойствами. Каждый пучок таких волокон в подслизистом слое образует «волну» по своему ходу, к</w:t>
      </w:r>
      <w:r>
        <w:t>о</w:t>
      </w:r>
      <w:r>
        <w:t>торая исчезает (расширение пучка) при незначительном, примерно на 3</w:t>
      </w:r>
      <w:r>
        <w:sym w:font="Symbol" w:char="F02D"/>
      </w:r>
      <w:r>
        <w:t>5%, удлинении кишки.</w:t>
      </w:r>
      <w:r w:rsidR="004D29CD">
        <w:t xml:space="preserve"> </w:t>
      </w:r>
      <w:r>
        <w:t>Следовательно, именно подслизистый слой явл</w:t>
      </w:r>
      <w:r>
        <w:t>я</w:t>
      </w:r>
      <w:r>
        <w:t>ется «скелетом» к</w:t>
      </w:r>
      <w:r>
        <w:t>и</w:t>
      </w:r>
      <w:r>
        <w:t>шечной стенки. Именно за него фиксируются нити при сшивании кишки.</w:t>
      </w:r>
      <w:r w:rsidR="004D29CD">
        <w:t xml:space="preserve"> </w:t>
      </w:r>
      <w:r>
        <w:t>Организация подслизистого слоя в виде подвижной к</w:t>
      </w:r>
      <w:r>
        <w:t>о</w:t>
      </w:r>
      <w:r>
        <w:t>сой решетки, при наложении серозно</w:t>
      </w:r>
      <w:r>
        <w:sym w:font="Symbol" w:char="F02D"/>
      </w:r>
      <w:r>
        <w:t>мышечно</w:t>
      </w:r>
      <w:r>
        <w:sym w:font="Symbol" w:char="F02D"/>
      </w:r>
      <w:r>
        <w:t>подслизистого шва, п</w:t>
      </w:r>
      <w:r>
        <w:t>о</w:t>
      </w:r>
      <w:r>
        <w:t>зволяет равн</w:t>
      </w:r>
      <w:r>
        <w:t>о</w:t>
      </w:r>
      <w:r>
        <w:t>мерно передавать нагрузки при деформации анастомоза на весь подслизистый слой кишечной стенки. Кроме того, кровоток подслиз</w:t>
      </w:r>
      <w:r>
        <w:t>и</w:t>
      </w:r>
      <w:r>
        <w:t>стого слоя с</w:t>
      </w:r>
      <w:r>
        <w:t>о</w:t>
      </w:r>
      <w:r>
        <w:t>ставляет всего 1,5% от общего кишечного кровотока (</w:t>
      </w:r>
      <w:r>
        <w:rPr>
          <w:lang w:val="en-US"/>
        </w:rPr>
        <w:t>Dregelid</w:t>
      </w:r>
      <w:r>
        <w:t xml:space="preserve"> </w:t>
      </w:r>
      <w:r>
        <w:rPr>
          <w:lang w:val="en-US"/>
        </w:rPr>
        <w:t>E</w:t>
      </w:r>
      <w:r>
        <w:t>., 1996), и такая «неприхотливость» подслизистого слоя позволяет пре</w:t>
      </w:r>
      <w:r>
        <w:t>д</w:t>
      </w:r>
      <w:r>
        <w:t>лагать сохр</w:t>
      </w:r>
      <w:r>
        <w:t>а</w:t>
      </w:r>
      <w:r>
        <w:t>нение ее свойств в довольно широком диапазоне нарушений микроциркуляции. Это в свою очередь, обуславливает минимальную п</w:t>
      </w:r>
      <w:r>
        <w:t>е</w:t>
      </w:r>
      <w:r>
        <w:lastRenderedPageBreak/>
        <w:t>рифокальную воспалительную реакцию вокруг нити, сохранение спосо</w:t>
      </w:r>
      <w:r>
        <w:t>б</w:t>
      </w:r>
      <w:r>
        <w:t>ности швов удерживать ткани в сближенном состоянии, обеспечивая тем самым благоприятное течение раневого процесса. То есть, надежность межкишечного соустья, практически на 100% обеспечивается каркасной функцией по</w:t>
      </w:r>
      <w:r>
        <w:t>д</w:t>
      </w:r>
      <w:r>
        <w:t>слизистого слоя, что говорит не просто о важности, но и об абсолютной необходимости его вовлечения в шов.</w:t>
      </w:r>
    </w:p>
    <w:p w:rsidR="00F4654E" w:rsidRDefault="00F4654E">
      <w:pPr>
        <w:pStyle w:val="a4"/>
      </w:pPr>
      <w:r>
        <w:t>УДК 619:618.14-002-07:636.4</w:t>
      </w:r>
    </w:p>
    <w:p w:rsidR="00F4654E" w:rsidRDefault="00F4654E">
      <w:pPr>
        <w:pStyle w:val="1"/>
      </w:pPr>
      <w:bookmarkStart w:id="5710" w:name="_Toc10731626"/>
      <w:bookmarkStart w:id="5711" w:name="_Toc11138107"/>
      <w:bookmarkStart w:id="5712" w:name="_Toc11138525"/>
      <w:bookmarkStart w:id="5713" w:name="_Toc11138943"/>
      <w:bookmarkStart w:id="5714" w:name="_Toc11139361"/>
      <w:bookmarkStart w:id="5715" w:name="_Toc11139779"/>
      <w:bookmarkStart w:id="5716" w:name="_Toc11140197"/>
      <w:bookmarkStart w:id="5717" w:name="_Toc11140615"/>
      <w:bookmarkStart w:id="5718" w:name="_Toc11390709"/>
      <w:bookmarkStart w:id="5719" w:name="_Toc11840394"/>
      <w:bookmarkStart w:id="5720" w:name="_Toc11937930"/>
      <w:r>
        <w:t>Распространение послеродовых заболеваний у свиноматок и их лечение новым озонидосодержащим препаратом</w:t>
      </w:r>
      <w:bookmarkEnd w:id="5710"/>
      <w:bookmarkEnd w:id="5711"/>
      <w:bookmarkEnd w:id="5712"/>
      <w:bookmarkEnd w:id="5713"/>
      <w:bookmarkEnd w:id="5714"/>
      <w:bookmarkEnd w:id="5715"/>
      <w:bookmarkEnd w:id="5716"/>
      <w:bookmarkEnd w:id="5717"/>
      <w:bookmarkEnd w:id="5718"/>
      <w:bookmarkEnd w:id="5719"/>
      <w:bookmarkEnd w:id="5720"/>
    </w:p>
    <w:p w:rsidR="00F4654E" w:rsidRDefault="00F4654E">
      <w:pPr>
        <w:pStyle w:val="2"/>
      </w:pPr>
      <w:bookmarkStart w:id="5721" w:name="_Toc10731627"/>
      <w:bookmarkStart w:id="5722" w:name="_Toc11032417"/>
      <w:bookmarkStart w:id="5723" w:name="_Toc11138108"/>
      <w:bookmarkStart w:id="5724" w:name="_Toc11138526"/>
      <w:bookmarkStart w:id="5725" w:name="_Toc11138944"/>
      <w:bookmarkStart w:id="5726" w:name="_Toc11139362"/>
      <w:bookmarkStart w:id="5727" w:name="_Toc11139780"/>
      <w:bookmarkStart w:id="5728" w:name="_Toc11140198"/>
      <w:bookmarkStart w:id="5729" w:name="_Toc11140616"/>
      <w:bookmarkStart w:id="5730" w:name="_Toc11390710"/>
      <w:bookmarkStart w:id="5731" w:name="_Toc11937931"/>
      <w:r>
        <w:t>Филатов А.В., Конопельцев И.Г.</w:t>
      </w:r>
      <w:bookmarkEnd w:id="5721"/>
      <w:bookmarkEnd w:id="5722"/>
      <w:bookmarkEnd w:id="5723"/>
      <w:bookmarkEnd w:id="5724"/>
      <w:bookmarkEnd w:id="5725"/>
      <w:bookmarkEnd w:id="5726"/>
      <w:bookmarkEnd w:id="5727"/>
      <w:bookmarkEnd w:id="5728"/>
      <w:bookmarkEnd w:id="5729"/>
      <w:bookmarkEnd w:id="5730"/>
      <w:bookmarkEnd w:id="5731"/>
    </w:p>
    <w:p w:rsidR="00F4654E" w:rsidRDefault="00F4654E">
      <w:pPr>
        <w:pStyle w:val="a5"/>
      </w:pPr>
      <w:r>
        <w:t>Вятская государственная сельскохозяйственная академия</w:t>
      </w:r>
    </w:p>
    <w:p w:rsidR="00F4654E" w:rsidRDefault="00F4654E">
      <w:pPr>
        <w:pStyle w:val="a6"/>
      </w:pPr>
      <w:r>
        <w:t>Увеличение производства продукции свиноводства невозможно без рационального использования репродуктивного потенциала маточного п</w:t>
      </w:r>
      <w:r>
        <w:t>о</w:t>
      </w:r>
      <w:r>
        <w:t>головья животных. Серьезным препятствием в этом являются послерод</w:t>
      </w:r>
      <w:r>
        <w:t>о</w:t>
      </w:r>
      <w:r>
        <w:t>вые осложнения у свиноматок. Ассортимент лекарственных средств и</w:t>
      </w:r>
      <w:r>
        <w:t>с</w:t>
      </w:r>
      <w:r>
        <w:t>пользуемых для лечения различной патологии половой сферы у данного вида животных крайне ограничен. Поэтому изыскание и апробация в усл</w:t>
      </w:r>
      <w:r>
        <w:t>о</w:t>
      </w:r>
      <w:r>
        <w:t>виях свиноводческих комплексов новых эффективных и вместе с тем эк</w:t>
      </w:r>
      <w:r>
        <w:t>о</w:t>
      </w:r>
      <w:r>
        <w:t>логически чистых препаратов остается актуальным.</w:t>
      </w:r>
    </w:p>
    <w:p w:rsidR="00F4654E" w:rsidRDefault="00F4654E">
      <w:pPr>
        <w:pStyle w:val="a6"/>
      </w:pPr>
      <w:r>
        <w:t>Целью исследований являлось изучение распространения послерод</w:t>
      </w:r>
      <w:r>
        <w:t>о</w:t>
      </w:r>
      <w:r>
        <w:t>вых заболеваний у свиней и определение эффективности применения пр</w:t>
      </w:r>
      <w:r>
        <w:t>е</w:t>
      </w:r>
      <w:r>
        <w:t>парата Озонол-П при лечении свиноматок, больных острым послеродовым эндометритом.</w:t>
      </w:r>
    </w:p>
    <w:p w:rsidR="00F4654E" w:rsidRDefault="00F4654E">
      <w:pPr>
        <w:pStyle w:val="a6"/>
      </w:pPr>
      <w:r>
        <w:t>Работу проводили на одном из свиноводческих комплексов Киро</w:t>
      </w:r>
      <w:r>
        <w:t>в</w:t>
      </w:r>
      <w:r>
        <w:t>ской области с безвыгульной системой содержания животных. Степень распространения послеродовых заболеваний изучали на 1939 свиноматках находящихся в раннем послеродовом периоде. Диагностику патологии р</w:t>
      </w:r>
      <w:r>
        <w:t>е</w:t>
      </w:r>
      <w:r>
        <w:t>продуктивных органов и молочной железы проводили согласно методич</w:t>
      </w:r>
      <w:r>
        <w:t>е</w:t>
      </w:r>
      <w:r>
        <w:t>ских рекомендаций «Диагностика, терапия и профилактика болезней орг</w:t>
      </w:r>
      <w:r>
        <w:t>а</w:t>
      </w:r>
      <w:r>
        <w:t>нов размножения и молочной железы у св</w:t>
      </w:r>
      <w:r>
        <w:t>и</w:t>
      </w:r>
      <w:r>
        <w:t>ней, М., 1998».</w:t>
      </w:r>
    </w:p>
    <w:p w:rsidR="00F4654E" w:rsidRDefault="00F4654E">
      <w:pPr>
        <w:pStyle w:val="a6"/>
      </w:pPr>
      <w:r>
        <w:t>Наши исследования показали, что заболеваемость послеродовыми б</w:t>
      </w:r>
      <w:r>
        <w:t>о</w:t>
      </w:r>
      <w:r>
        <w:t>лезнями свиноматок составляет в среднем 18,6%, в том числе острым п</w:t>
      </w:r>
      <w:r>
        <w:t>о</w:t>
      </w:r>
      <w:r>
        <w:t>слеродовым эндометритом - 13,4%, синдромом метрит-мастит-агалактия - 5,2%. Послеродовыми заболеваниями животные переболевают  в течение года относительно равномерно, что вероятно связано,  с мало изменяющ</w:t>
      </w:r>
      <w:r>
        <w:t>и</w:t>
      </w:r>
      <w:r>
        <w:t>мися уровнем кормления и условиями содержания. Так, острый послер</w:t>
      </w:r>
      <w:r>
        <w:t>о</w:t>
      </w:r>
      <w:r>
        <w:t>довой эндометрит регистрировался в зимний период у 12,9%, весенний -  15,7%, летний –  13,2%, осенний –  13,2% опоросившихся свиноматок.</w:t>
      </w:r>
      <w:r w:rsidR="004D29CD">
        <w:t xml:space="preserve"> </w:t>
      </w:r>
      <w:r>
        <w:t>Синдром метрит-мастит-агалактия проявлялся соответственно у 5,0%, 5,8%, 4,1% и 5,8% животных. Послеродовые болезни свиноматок развив</w:t>
      </w:r>
      <w:r>
        <w:t>а</w:t>
      </w:r>
      <w:r>
        <w:t>лись преимущественно в первые двое-трое суток после опороса.</w:t>
      </w:r>
      <w:r w:rsidR="004D29CD">
        <w:t xml:space="preserve"> </w:t>
      </w:r>
      <w:r>
        <w:t>В бол</w:t>
      </w:r>
      <w:r>
        <w:t>ь</w:t>
      </w:r>
      <w:r>
        <w:lastRenderedPageBreak/>
        <w:t>шинстве случаев послеродовую патологию обуславливает ассоциация у</w:t>
      </w:r>
      <w:r>
        <w:t>с</w:t>
      </w:r>
      <w:r>
        <w:t>ловно-патогенных микроорганизмов, таких как кишечная п</w:t>
      </w:r>
      <w:r>
        <w:t>а</w:t>
      </w:r>
      <w:r>
        <w:t>лочка, протей, псевдомонады, диплококки, стрептококки, стафилококки, микрококки, пастереллы, коринебактерии и микоплазмы (М.А. Мазитов, 1971; А.В.Черкасова,1978; В.П. Урбан, 1983; В.И. Плешакова, 2001;  Н.И. Шу</w:t>
      </w:r>
      <w:r>
        <w:t>м</w:t>
      </w:r>
      <w:r>
        <w:t>ский, 2002).</w:t>
      </w:r>
    </w:p>
    <w:p w:rsidR="00F4654E" w:rsidRDefault="00F4654E">
      <w:pPr>
        <w:pStyle w:val="a6"/>
      </w:pPr>
      <w:r>
        <w:t>Нами был разработан препарат Озонол-П, содержащий озониды и представляющий собой озонированное рафинированное растительное ма</w:t>
      </w:r>
      <w:r>
        <w:t>с</w:t>
      </w:r>
      <w:r>
        <w:t>ло. Изучение антимикробных свойств Озонол-П  показало его высокую эффективность в отношении основных возбудителей послеродовых заб</w:t>
      </w:r>
      <w:r>
        <w:t>о</w:t>
      </w:r>
      <w:r>
        <w:t xml:space="preserve">леваний у свиней - кишечной палочки, стафилококков, стрептококков, вульгарного протея, синегнойной палочки и бацилл.  </w:t>
      </w:r>
    </w:p>
    <w:p w:rsidR="00F4654E" w:rsidRDefault="00F4654E">
      <w:pPr>
        <w:pStyle w:val="a6"/>
      </w:pPr>
      <w:r>
        <w:t>Терапевтическую эффективность Озонол-П изучили в опыте на 66 свиноматках по второму-пятому опоросу массой 200-220 кг, больных ос</w:t>
      </w:r>
      <w:r>
        <w:t>т</w:t>
      </w:r>
      <w:r>
        <w:t>рым послеродовым гнойно-катаральным эндометритом. Животных по принципу аналогов разделили на 2 группы: свиноматкам подопытной группы(n=33) вводили внутриматочно Озонол-П в дозе 100 мл, контрол</w:t>
      </w:r>
      <w:r>
        <w:t>ь</w:t>
      </w:r>
      <w:r>
        <w:t>ной (n=33) – внутримышечно Тилозин-20 в дозе 0,2 г на 1 кг живой массы. При необходимости инъецирование препаратов повторяли с интервалом 24 часа. Всем свиноматкам на протяжении всего курса лечения вводили окс</w:t>
      </w:r>
      <w:r>
        <w:t>и</w:t>
      </w:r>
      <w:r>
        <w:t>тоцин в дозе 15-20 ЕД.</w:t>
      </w:r>
    </w:p>
    <w:p w:rsidR="00F4654E" w:rsidRDefault="00F4654E">
      <w:pPr>
        <w:pStyle w:val="a6"/>
      </w:pPr>
      <w:r>
        <w:t>В результате проведенного лечения клиническое выздоровление уст</w:t>
      </w:r>
      <w:r>
        <w:t>а</w:t>
      </w:r>
      <w:r>
        <w:t>новили у всех животных находящихся в опыте. Кратность введения преп</w:t>
      </w:r>
      <w:r>
        <w:t>а</w:t>
      </w:r>
      <w:r>
        <w:t>рата при лечении свиноматок Озонол-П составила 1,3 раза, а Тилозин–20 – 2,8 раза.  После отъема поросят и проведенной выбраковке  в подопытной группе осталось 26, а контрольной – 25 животных. Восстановление пол</w:t>
      </w:r>
      <w:r>
        <w:t>о</w:t>
      </w:r>
      <w:r>
        <w:t>вой цикличности у свиноматок наблюдали в среднем на 5-7 день после отъема поросят. При искусственном осеменении в первую половую охоту оплодотворилось в подопытной группе 73%, контрольной – 56%, получено поросят соответственно  9,8 и 9,6 голов.</w:t>
      </w:r>
    </w:p>
    <w:p w:rsidR="00F4654E" w:rsidRDefault="00F4654E">
      <w:pPr>
        <w:pStyle w:val="a6"/>
      </w:pPr>
      <w:r>
        <w:t>Таким образом, препарат Озонол-П обладает выраженным лечебным действием при остром послеродовом эндометрите у свиноматок и спосо</w:t>
      </w:r>
      <w:r>
        <w:t>б</w:t>
      </w:r>
      <w:r>
        <w:t>ствует нормализации воспроизводительной способности у них в оптимал</w:t>
      </w:r>
      <w:r>
        <w:t>ь</w:t>
      </w:r>
      <w:r>
        <w:t>ные сроки.</w:t>
      </w:r>
    </w:p>
    <w:p w:rsidR="00F4654E" w:rsidRDefault="00F4654E">
      <w:pPr>
        <w:pStyle w:val="a4"/>
      </w:pPr>
      <w:r>
        <w:t>УДК 619:616.662-084:636.4</w:t>
      </w:r>
    </w:p>
    <w:p w:rsidR="00F4654E" w:rsidRDefault="00F4654E">
      <w:pPr>
        <w:pStyle w:val="1"/>
      </w:pPr>
      <w:r>
        <w:t xml:space="preserve"> </w:t>
      </w:r>
      <w:bookmarkStart w:id="5732" w:name="_Toc10731624"/>
      <w:bookmarkStart w:id="5733" w:name="_Toc11138109"/>
      <w:bookmarkStart w:id="5734" w:name="_Toc11138527"/>
      <w:bookmarkStart w:id="5735" w:name="_Toc11138945"/>
      <w:bookmarkStart w:id="5736" w:name="_Toc11139363"/>
      <w:bookmarkStart w:id="5737" w:name="_Toc11139781"/>
      <w:bookmarkStart w:id="5738" w:name="_Toc11140199"/>
      <w:bookmarkStart w:id="5739" w:name="_Toc11140617"/>
      <w:bookmarkStart w:id="5740" w:name="_Toc11390711"/>
      <w:bookmarkStart w:id="5741" w:name="_Toc11840396"/>
      <w:bookmarkStart w:id="5742" w:name="_Toc11937932"/>
      <w:r>
        <w:t>Качество спермопродукции хряков-производителей в условиях Кировской области</w:t>
      </w:r>
      <w:bookmarkEnd w:id="5732"/>
      <w:bookmarkEnd w:id="5733"/>
      <w:bookmarkEnd w:id="5734"/>
      <w:bookmarkEnd w:id="5735"/>
      <w:bookmarkEnd w:id="5736"/>
      <w:bookmarkEnd w:id="5737"/>
      <w:bookmarkEnd w:id="5738"/>
      <w:bookmarkEnd w:id="5739"/>
      <w:bookmarkEnd w:id="5740"/>
      <w:bookmarkEnd w:id="5741"/>
      <w:bookmarkEnd w:id="5742"/>
    </w:p>
    <w:p w:rsidR="00F4654E" w:rsidRDefault="00F4654E">
      <w:pPr>
        <w:pStyle w:val="2"/>
      </w:pPr>
      <w:bookmarkStart w:id="5743" w:name="_Toc10731625"/>
      <w:bookmarkStart w:id="5744" w:name="_Toc11032418"/>
      <w:bookmarkStart w:id="5745" w:name="_Toc11138110"/>
      <w:bookmarkStart w:id="5746" w:name="_Toc11138528"/>
      <w:bookmarkStart w:id="5747" w:name="_Toc11138946"/>
      <w:bookmarkStart w:id="5748" w:name="_Toc11139364"/>
      <w:bookmarkStart w:id="5749" w:name="_Toc11139782"/>
      <w:bookmarkStart w:id="5750" w:name="_Toc11140200"/>
      <w:bookmarkStart w:id="5751" w:name="_Toc11140618"/>
      <w:bookmarkStart w:id="5752" w:name="_Toc11390712"/>
      <w:bookmarkStart w:id="5753" w:name="_Toc11937933"/>
      <w:r>
        <w:t>Филатов А.В., Конопельцев И.Г., Черных Е.В.</w:t>
      </w:r>
      <w:bookmarkEnd w:id="5743"/>
      <w:bookmarkEnd w:id="5744"/>
      <w:bookmarkEnd w:id="5745"/>
      <w:bookmarkEnd w:id="5746"/>
      <w:bookmarkEnd w:id="5747"/>
      <w:bookmarkEnd w:id="5748"/>
      <w:bookmarkEnd w:id="5749"/>
      <w:bookmarkEnd w:id="5750"/>
      <w:bookmarkEnd w:id="5751"/>
      <w:bookmarkEnd w:id="5752"/>
      <w:bookmarkEnd w:id="5753"/>
    </w:p>
    <w:p w:rsidR="00F4654E" w:rsidRDefault="00F4654E">
      <w:pPr>
        <w:pStyle w:val="a5"/>
      </w:pPr>
      <w:r>
        <w:t>Вятская государственная сельскохозяйственная академия</w:t>
      </w:r>
    </w:p>
    <w:p w:rsidR="00F4654E" w:rsidRDefault="00F4654E">
      <w:pPr>
        <w:pStyle w:val="a6"/>
      </w:pPr>
      <w:r>
        <w:t>Оплодотворяемость свиноматок и получение жизнеспособного м</w:t>
      </w:r>
      <w:r>
        <w:t>о</w:t>
      </w:r>
      <w:r>
        <w:t>лодняка напрямую зависит от качества используемой спермы при искусс</w:t>
      </w:r>
      <w:r>
        <w:t>т</w:t>
      </w:r>
      <w:r>
        <w:lastRenderedPageBreak/>
        <w:t>венном осеменении. В течение года нами была проведена оценка качества спермопродукции хряков-производителей породы дюрок (п=6) и крупной белой (п=9) при умеренном режиме половой нагрузки , где получали один эякулят в 3-4 дня на протяжении турового осеменения маток.</w:t>
      </w:r>
    </w:p>
    <w:p w:rsidR="00F4654E" w:rsidRDefault="00F4654E">
      <w:pPr>
        <w:pStyle w:val="a6"/>
      </w:pPr>
      <w:r>
        <w:t>В результате проведенных исследований выявили, что наибольший средний объем эякулята был получен от хряков крупной белой породы (227,1</w:t>
      </w:r>
      <w:r>
        <w:rPr>
          <w:u w:val="single"/>
        </w:rPr>
        <w:t>+</w:t>
      </w:r>
      <w:r>
        <w:t>21,7 мл), а наименьший от производителей породы дюрок (216</w:t>
      </w:r>
      <w:r>
        <w:rPr>
          <w:u w:val="single"/>
        </w:rPr>
        <w:t>+</w:t>
      </w:r>
      <w:r>
        <w:t>24,4 мл). Концентрация спермиев, наоборот, была выше у хряков породы дюрок (0,281</w:t>
      </w:r>
      <w:r>
        <w:rPr>
          <w:u w:val="single"/>
        </w:rPr>
        <w:t>+</w:t>
      </w:r>
      <w:r>
        <w:t>0,015 млрд./мл) по сравнению с производителями крупной белой породы (0,261</w:t>
      </w:r>
      <w:r>
        <w:rPr>
          <w:u w:val="single"/>
        </w:rPr>
        <w:t>+</w:t>
      </w:r>
      <w:r>
        <w:t>0,013 млрд./мл). Средняя активность половых клеток в св</w:t>
      </w:r>
      <w:r>
        <w:t>е</w:t>
      </w:r>
      <w:r>
        <w:t>жеполученной сперме у хряков обеих пород была высокой 8,9</w:t>
      </w:r>
      <w:r>
        <w:rPr>
          <w:u w:val="single"/>
        </w:rPr>
        <w:t>+</w:t>
      </w:r>
      <w:r>
        <w:t>0,05 и 8,8</w:t>
      </w:r>
      <w:r>
        <w:rPr>
          <w:u w:val="single"/>
        </w:rPr>
        <w:t>+</w:t>
      </w:r>
      <w:r>
        <w:t>0,07 баллов. Наилучшие показатели дегидрогеназной активности и р</w:t>
      </w:r>
      <w:r>
        <w:t>е</w:t>
      </w:r>
      <w:r>
        <w:t>зистентности спермиев были отмечены у хряков-производителей породы дюрок (24,2</w:t>
      </w:r>
      <w:r>
        <w:rPr>
          <w:u w:val="single"/>
        </w:rPr>
        <w:t>+</w:t>
      </w:r>
      <w:r>
        <w:t>1,6 мин. и 2616</w:t>
      </w:r>
      <w:r>
        <w:rPr>
          <w:u w:val="single"/>
        </w:rPr>
        <w:t>+</w:t>
      </w:r>
      <w:r>
        <w:t>172), чем у крупной белой породы (26,2</w:t>
      </w:r>
      <w:r>
        <w:rPr>
          <w:u w:val="single"/>
        </w:rPr>
        <w:t>+</w:t>
      </w:r>
      <w:r>
        <w:t>1,3 мин. и 2478</w:t>
      </w:r>
      <w:r>
        <w:rPr>
          <w:u w:val="single"/>
        </w:rPr>
        <w:t>+</w:t>
      </w:r>
      <w:r>
        <w:t xml:space="preserve">97). </w:t>
      </w:r>
    </w:p>
    <w:p w:rsidR="00F4654E" w:rsidRDefault="00F4654E">
      <w:pPr>
        <w:pStyle w:val="a6"/>
      </w:pPr>
      <w:r>
        <w:t>При рассмотрении сезонных изменений параметров качества спермы внутри каждой породы в отдельности установили, что объем эякулята у хряков породы дюрок достигал максимума осенью и зимой (231</w:t>
      </w:r>
      <w:r>
        <w:rPr>
          <w:u w:val="single"/>
        </w:rPr>
        <w:t>+</w:t>
      </w:r>
      <w:r>
        <w:t>23,2 мл и 233</w:t>
      </w:r>
      <w:r>
        <w:rPr>
          <w:u w:val="single"/>
        </w:rPr>
        <w:t>+</w:t>
      </w:r>
      <w:r>
        <w:t>13,3 мл) и минимальным - летом (210</w:t>
      </w:r>
      <w:r>
        <w:rPr>
          <w:u w:val="single"/>
        </w:rPr>
        <w:t>+</w:t>
      </w:r>
      <w:r>
        <w:t>35,3 мл), соответственно у пр</w:t>
      </w:r>
      <w:r>
        <w:t>о</w:t>
      </w:r>
      <w:r>
        <w:t>изводителей крупной белой породы он был высоким летом (244</w:t>
      </w:r>
      <w:r>
        <w:rPr>
          <w:u w:val="single"/>
        </w:rPr>
        <w:t>+</w:t>
      </w:r>
      <w:r>
        <w:t>30,7 мл) и низким зимой и весной (210</w:t>
      </w:r>
      <w:r>
        <w:rPr>
          <w:u w:val="single"/>
        </w:rPr>
        <w:t>+</w:t>
      </w:r>
      <w:r>
        <w:t>16,6мл и  206</w:t>
      </w:r>
      <w:r>
        <w:rPr>
          <w:u w:val="single"/>
        </w:rPr>
        <w:t>+</w:t>
      </w:r>
      <w:r>
        <w:t xml:space="preserve">13,8 мл). </w:t>
      </w:r>
    </w:p>
    <w:p w:rsidR="00F4654E" w:rsidRDefault="00F4654E">
      <w:pPr>
        <w:pStyle w:val="a6"/>
      </w:pPr>
      <w:r>
        <w:t>Активность спермиев у всех пород была высокой во все сезоны года (8,7-9 баллов). Самый низкий показатель активности половых клеток н</w:t>
      </w:r>
      <w:r>
        <w:t>а</w:t>
      </w:r>
      <w:r>
        <w:t>блюдали у хряков крупной белой породы в летний период (8,6</w:t>
      </w:r>
      <w:r>
        <w:rPr>
          <w:u w:val="single"/>
        </w:rPr>
        <w:t>+</w:t>
      </w:r>
      <w:r>
        <w:t>0,25 балла), а у дюрок - весной (8,6</w:t>
      </w:r>
      <w:r>
        <w:rPr>
          <w:u w:val="single"/>
        </w:rPr>
        <w:t>+</w:t>
      </w:r>
      <w:r>
        <w:t xml:space="preserve">0,12 балла). </w:t>
      </w:r>
    </w:p>
    <w:p w:rsidR="00F4654E" w:rsidRDefault="00F4654E">
      <w:pPr>
        <w:pStyle w:val="a6"/>
      </w:pPr>
      <w:r>
        <w:t>Концентрация спермиев в сперме у хряков-производителей обеих п</w:t>
      </w:r>
      <w:r>
        <w:t>о</w:t>
      </w:r>
      <w:r>
        <w:t>род была самой высокой весной (0,301</w:t>
      </w:r>
      <w:r>
        <w:rPr>
          <w:u w:val="single"/>
        </w:rPr>
        <w:t>+</w:t>
      </w:r>
      <w:r>
        <w:t>0,027 и 0,28</w:t>
      </w:r>
      <w:r>
        <w:rPr>
          <w:u w:val="single"/>
        </w:rPr>
        <w:t>+</w:t>
      </w:r>
      <w:r>
        <w:t>0,018 млрд./мл), ни</w:t>
      </w:r>
      <w:r>
        <w:t>з</w:t>
      </w:r>
      <w:r>
        <w:t>кой летом (0,263</w:t>
      </w:r>
      <w:r>
        <w:rPr>
          <w:u w:val="single"/>
        </w:rPr>
        <w:t>+</w:t>
      </w:r>
      <w:r>
        <w:t>0,02 и 0,25</w:t>
      </w:r>
      <w:r>
        <w:rPr>
          <w:u w:val="single"/>
        </w:rPr>
        <w:t>+</w:t>
      </w:r>
      <w:r>
        <w:t>0,02 млрд./мл) которая постепенно увелич</w:t>
      </w:r>
      <w:r>
        <w:t>и</w:t>
      </w:r>
      <w:r>
        <w:t>валась к зиме. Резистентность половых клеток  у хряков-производителей породы дюрок была высокой весной и осенью (3300</w:t>
      </w:r>
      <w:r>
        <w:rPr>
          <w:u w:val="single"/>
        </w:rPr>
        <w:t>+</w:t>
      </w:r>
      <w:r>
        <w:t>488 и 2800</w:t>
      </w:r>
      <w:r>
        <w:rPr>
          <w:u w:val="single"/>
        </w:rPr>
        <w:t>+</w:t>
      </w:r>
      <w:r>
        <w:t>263), а у крупной белой - весной и летом (2723</w:t>
      </w:r>
      <w:r>
        <w:rPr>
          <w:u w:val="single"/>
        </w:rPr>
        <w:t>+</w:t>
      </w:r>
      <w:r>
        <w:t>246 и 2567</w:t>
      </w:r>
      <w:r>
        <w:rPr>
          <w:u w:val="single"/>
        </w:rPr>
        <w:t>+</w:t>
      </w:r>
      <w:r>
        <w:t>207). Абсолютное число спермиев у производителей породы дюрок снижается летом (54388</w:t>
      </w:r>
      <w:r>
        <w:rPr>
          <w:u w:val="single"/>
        </w:rPr>
        <w:t>+</w:t>
      </w:r>
      <w:r>
        <w:t>9788) и возрастает к зиме (66529</w:t>
      </w:r>
      <w:r>
        <w:rPr>
          <w:u w:val="single"/>
        </w:rPr>
        <w:t>+</w:t>
      </w:r>
      <w:r>
        <w:t>11908). У хряков крупной белой породы абс</w:t>
      </w:r>
      <w:r>
        <w:t>о</w:t>
      </w:r>
      <w:r>
        <w:t>лютное число спермиев снижается к осени (53770</w:t>
      </w:r>
      <w:r>
        <w:rPr>
          <w:u w:val="single"/>
        </w:rPr>
        <w:t>+</w:t>
      </w:r>
      <w:r>
        <w:t>5485) и увеличивается с приходом весны и лета (55987-58165).</w:t>
      </w:r>
    </w:p>
    <w:p w:rsidR="00F4654E" w:rsidRDefault="00F4654E">
      <w:pPr>
        <w:pStyle w:val="a6"/>
      </w:pPr>
      <w:r>
        <w:t>Анализируя средние показатели спермы исследуемых хряков выяв</w:t>
      </w:r>
      <w:r>
        <w:t>и</w:t>
      </w:r>
      <w:r>
        <w:t>ли, что самые низкие значения она имела по большинству показателей (а</w:t>
      </w:r>
      <w:r>
        <w:t>к</w:t>
      </w:r>
      <w:r>
        <w:t>тивность, концентрация, резистентность и абсолютное число) в летние м</w:t>
      </w:r>
      <w:r>
        <w:t>е</w:t>
      </w:r>
      <w:r>
        <w:t>сяцы года. В летние и осенние месяцы наблюдали наибольший объем э</w:t>
      </w:r>
      <w:r>
        <w:t>я</w:t>
      </w:r>
      <w:r>
        <w:t>кулята (230</w:t>
      </w:r>
      <w:r>
        <w:rPr>
          <w:u w:val="single"/>
        </w:rPr>
        <w:t>+</w:t>
      </w:r>
      <w:r>
        <w:t>22,8 и 228</w:t>
      </w:r>
      <w:r>
        <w:rPr>
          <w:u w:val="single"/>
        </w:rPr>
        <w:t>+</w:t>
      </w:r>
      <w:r>
        <w:t>16,6 мл), а концентрация спермиев в эти периоды, наоборот, была минимальной (0,258</w:t>
      </w:r>
      <w:r>
        <w:rPr>
          <w:u w:val="single"/>
        </w:rPr>
        <w:t>+</w:t>
      </w:r>
      <w:r>
        <w:t>0,015 и 0,259</w:t>
      </w:r>
      <w:r>
        <w:rPr>
          <w:u w:val="single"/>
        </w:rPr>
        <w:t>+</w:t>
      </w:r>
      <w:r>
        <w:t>0,024 млрд./мл). Соо</w:t>
      </w:r>
      <w:r>
        <w:t>т</w:t>
      </w:r>
      <w:r>
        <w:t>ветственно, абсолютное число сперматозоидов также оставалось на низком уровне летом и осенью (56654</w:t>
      </w:r>
      <w:r>
        <w:rPr>
          <w:u w:val="single"/>
        </w:rPr>
        <w:t>+</w:t>
      </w:r>
      <w:r>
        <w:t>4171 и 56444</w:t>
      </w:r>
      <w:r>
        <w:rPr>
          <w:u w:val="single"/>
        </w:rPr>
        <w:t>+</w:t>
      </w:r>
      <w:r>
        <w:t>4480).  Самую концентрир</w:t>
      </w:r>
      <w:r>
        <w:t>о</w:t>
      </w:r>
      <w:r>
        <w:lastRenderedPageBreak/>
        <w:t>ванную сперму получали весной и зимой (0,288</w:t>
      </w:r>
      <w:r>
        <w:rPr>
          <w:u w:val="single"/>
        </w:rPr>
        <w:t>+</w:t>
      </w:r>
      <w:r>
        <w:t>0,014 и 0,274</w:t>
      </w:r>
      <w:r>
        <w:rPr>
          <w:u w:val="single"/>
        </w:rPr>
        <w:t>+</w:t>
      </w:r>
      <w:r>
        <w:t>0,026 млрд./мл) при наименьшем объеме эякулята в течение года (212</w:t>
      </w:r>
      <w:r>
        <w:rPr>
          <w:u w:val="single"/>
        </w:rPr>
        <w:t>+</w:t>
      </w:r>
      <w:r>
        <w:t>12,6 и 219</w:t>
      </w:r>
      <w:r>
        <w:rPr>
          <w:u w:val="single"/>
        </w:rPr>
        <w:t>+</w:t>
      </w:r>
      <w:r>
        <w:t>11,2 мл), а резистентность имела наивысшие показатели весной (2847</w:t>
      </w:r>
      <w:r>
        <w:rPr>
          <w:u w:val="single"/>
        </w:rPr>
        <w:t>+</w:t>
      </w:r>
      <w:r>
        <w:t>237). Активность свежеп</w:t>
      </w:r>
      <w:r>
        <w:t>о</w:t>
      </w:r>
      <w:r>
        <w:t>лученной спермы оставалась высокой в течение всего периода исследований, однако, она была ниже весной и л</w:t>
      </w:r>
      <w:r>
        <w:t>е</w:t>
      </w:r>
      <w:r>
        <w:t>том (8,7</w:t>
      </w:r>
      <w:r>
        <w:rPr>
          <w:u w:val="single"/>
        </w:rPr>
        <w:t>+</w:t>
      </w:r>
      <w:r>
        <w:t>0,06 и 8,7</w:t>
      </w:r>
      <w:r>
        <w:rPr>
          <w:u w:val="single"/>
        </w:rPr>
        <w:t>+</w:t>
      </w:r>
      <w:r>
        <w:t>0,15), а выше осенью и зимой (8,9</w:t>
      </w:r>
      <w:r>
        <w:rPr>
          <w:u w:val="single"/>
        </w:rPr>
        <w:t>+</w:t>
      </w:r>
      <w:r>
        <w:t>0,06 и 9,0</w:t>
      </w:r>
      <w:r>
        <w:rPr>
          <w:u w:val="single"/>
        </w:rPr>
        <w:t>+</w:t>
      </w:r>
      <w:r>
        <w:t>0,09 ба</w:t>
      </w:r>
      <w:r>
        <w:t>л</w:t>
      </w:r>
      <w:r>
        <w:t>ла).</w:t>
      </w:r>
    </w:p>
    <w:p w:rsidR="00F4654E" w:rsidRDefault="00F4654E">
      <w:pPr>
        <w:pStyle w:val="a6"/>
      </w:pPr>
      <w:r>
        <w:t>Оплодотворяющая способность спермы хряков-производителей имеет различные значения в разные периоды года. При сравнении данных по о</w:t>
      </w:r>
      <w:r>
        <w:t>п</w:t>
      </w:r>
      <w:r>
        <w:t>лодотворяемости свиноматок установили, что самая высокая она была ве</w:t>
      </w:r>
      <w:r>
        <w:t>с</w:t>
      </w:r>
      <w:r>
        <w:t>ной (72,3 %), а самой низкой осенью (62,4 %). Оплодотворяющая спосо</w:t>
      </w:r>
      <w:r>
        <w:t>б</w:t>
      </w:r>
      <w:r>
        <w:t>ность спермы хряков породы дюрок была самой высокой весной (73,1%), а низкой осенью и зимой (60 - 61,9 %). У производителей породы крупная белая соответственно высокой - зимой и весной (69 - 71,4 %), а низкой - летом и осенью (64,7 - 64,9 %). Устойчивое снижение оплодотворения н</w:t>
      </w:r>
      <w:r>
        <w:t>а</w:t>
      </w:r>
      <w:r>
        <w:t>чинается с июля ( 65,6 %) и становится минимальным в августе и сентябре (54,7 - 59,4 %). Подобную динамику снижения оплодотворяемости свин</w:t>
      </w:r>
      <w:r>
        <w:t>о</w:t>
      </w:r>
      <w:r>
        <w:t>маток по-видимому можно связать со снижением качества спермы в этот период года и действием температурного фактора на организм животных.</w:t>
      </w:r>
    </w:p>
    <w:p w:rsidR="00F4654E" w:rsidRDefault="00F4654E">
      <w:pPr>
        <w:pStyle w:val="a6"/>
      </w:pPr>
      <w:r>
        <w:t>Таким образом, качество спермопродукции и оплодотворяющая сп</w:t>
      </w:r>
      <w:r>
        <w:t>о</w:t>
      </w:r>
      <w:r>
        <w:t>собность спермы хряков-производителей подвержена породным и сезо</w:t>
      </w:r>
      <w:r>
        <w:t>н</w:t>
      </w:r>
      <w:r>
        <w:t>ным колебаниям. Наибольшая воспроизводительная способность произв</w:t>
      </w:r>
      <w:r>
        <w:t>о</w:t>
      </w:r>
      <w:r>
        <w:t>дителей в условиях Кировской области установлена весной, а наименьшая в летний период года.</w:t>
      </w:r>
    </w:p>
    <w:p w:rsidR="00F4654E" w:rsidRDefault="00F4654E">
      <w:pPr>
        <w:pStyle w:val="a4"/>
      </w:pPr>
      <w:r>
        <w:t>УДК 619.619.9</w:t>
      </w:r>
    </w:p>
    <w:p w:rsidR="00F4654E" w:rsidRDefault="00F4654E">
      <w:pPr>
        <w:pStyle w:val="1"/>
      </w:pPr>
      <w:bookmarkStart w:id="5754" w:name="_Toc10731628"/>
      <w:bookmarkStart w:id="5755" w:name="_Toc11138111"/>
      <w:bookmarkStart w:id="5756" w:name="_Toc11138529"/>
      <w:bookmarkStart w:id="5757" w:name="_Toc11138947"/>
      <w:bookmarkStart w:id="5758" w:name="_Toc11139365"/>
      <w:bookmarkStart w:id="5759" w:name="_Toc11139783"/>
      <w:bookmarkStart w:id="5760" w:name="_Toc11140201"/>
      <w:bookmarkStart w:id="5761" w:name="_Toc11140619"/>
      <w:bookmarkStart w:id="5762" w:name="_Toc11390713"/>
      <w:bookmarkStart w:id="5763" w:name="_Toc11840398"/>
      <w:bookmarkStart w:id="5764" w:name="_Toc11937934"/>
      <w:r>
        <w:t>ВЛИЯНИЕ ЭКОСТА И МИКСОФЕРОНА НА ПОКАЗАТЕЛИ ИММУННОГО СТАТУСА НОВОРОЖДЕННЫХ ТЕЛЯТ</w:t>
      </w:r>
      <w:bookmarkEnd w:id="5754"/>
      <w:bookmarkEnd w:id="5755"/>
      <w:bookmarkEnd w:id="5756"/>
      <w:bookmarkEnd w:id="5757"/>
      <w:bookmarkEnd w:id="5758"/>
      <w:bookmarkEnd w:id="5759"/>
      <w:bookmarkEnd w:id="5760"/>
      <w:bookmarkEnd w:id="5761"/>
      <w:bookmarkEnd w:id="5762"/>
      <w:bookmarkEnd w:id="5763"/>
      <w:bookmarkEnd w:id="5764"/>
    </w:p>
    <w:p w:rsidR="00F4654E" w:rsidRDefault="00F4654E">
      <w:pPr>
        <w:pStyle w:val="2"/>
      </w:pPr>
      <w:bookmarkStart w:id="5765" w:name="_Toc10731629"/>
      <w:bookmarkStart w:id="5766" w:name="_Toc11032419"/>
      <w:bookmarkStart w:id="5767" w:name="_Toc11138112"/>
      <w:bookmarkStart w:id="5768" w:name="_Toc11138530"/>
      <w:bookmarkStart w:id="5769" w:name="_Toc11138948"/>
      <w:bookmarkStart w:id="5770" w:name="_Toc11139366"/>
      <w:bookmarkStart w:id="5771" w:name="_Toc11139784"/>
      <w:bookmarkStart w:id="5772" w:name="_Toc11140202"/>
      <w:bookmarkStart w:id="5773" w:name="_Toc11140620"/>
      <w:bookmarkStart w:id="5774" w:name="_Toc11390714"/>
      <w:bookmarkStart w:id="5775" w:name="_Toc11937935"/>
      <w:r>
        <w:t>Хайбуллин Р.Р., Исаева А.Г., Пастернак А.А.</w:t>
      </w:r>
      <w:bookmarkEnd w:id="5765"/>
      <w:bookmarkEnd w:id="5766"/>
      <w:bookmarkEnd w:id="5767"/>
      <w:bookmarkEnd w:id="5768"/>
      <w:bookmarkEnd w:id="5769"/>
      <w:bookmarkEnd w:id="5770"/>
      <w:bookmarkEnd w:id="5771"/>
      <w:bookmarkEnd w:id="5772"/>
      <w:bookmarkEnd w:id="5773"/>
      <w:bookmarkEnd w:id="5774"/>
      <w:bookmarkEnd w:id="5775"/>
    </w:p>
    <w:p w:rsidR="00F4654E" w:rsidRDefault="00F4654E">
      <w:pPr>
        <w:pStyle w:val="a5"/>
      </w:pPr>
      <w:r>
        <w:t>Уральская государственная сельскохозяйственная академия</w:t>
      </w:r>
    </w:p>
    <w:p w:rsidR="00F4654E" w:rsidRDefault="00F4654E">
      <w:pPr>
        <w:pStyle w:val="a6"/>
      </w:pPr>
      <w:r>
        <w:t>Проблема получения и сохранения здорового молодняка сельскох</w:t>
      </w:r>
      <w:r>
        <w:t>о</w:t>
      </w:r>
      <w:r>
        <w:t>зяйственных животных рассматривается в настоящее время как комплек</w:t>
      </w:r>
      <w:r>
        <w:t>с</w:t>
      </w:r>
      <w:r>
        <w:t>ная, в которой наряду с такими факторами, как окружающая среда и во</w:t>
      </w:r>
      <w:r>
        <w:t>з</w:t>
      </w:r>
      <w:r>
        <w:t>будитель, важная роль отводится иммунологической реакции организма новорожденного животного и ее зависимости от состояния материнского организма. У новорожденных иммунная  система развита недостаточно, им свойственны  низкая функциональная активность клеточного и неполн</w:t>
      </w:r>
      <w:r>
        <w:t>о</w:t>
      </w:r>
      <w:r>
        <w:t>ценность гуморального звеньев иммунитета. Компенсация возрастных д</w:t>
      </w:r>
      <w:r>
        <w:t>е</w:t>
      </w:r>
      <w:r>
        <w:t>фицитов иммунной системы новорожденных в постнатальный период жизни происходит за счет клеточных и гуморальных факторов молозива. При их недостатке в молозиве иммунодефицит усугубляется.</w:t>
      </w:r>
    </w:p>
    <w:p w:rsidR="00F4654E" w:rsidRDefault="00F4654E">
      <w:pPr>
        <w:pStyle w:val="a6"/>
      </w:pPr>
      <w:r>
        <w:lastRenderedPageBreak/>
        <w:t>Для профилактики болезней молодняка раннего возраста и лечения имеющиеся антибиотические и химиотерапевтические препараты не пр</w:t>
      </w:r>
      <w:r>
        <w:t>и</w:t>
      </w:r>
      <w:r>
        <w:t>носят желаемого успеха. Применение вакцин в этом возрасте мало эффе</w:t>
      </w:r>
      <w:r>
        <w:t>к</w:t>
      </w:r>
      <w:r>
        <w:t>тивно, так как животные еще недостаточно иммунокомпетентны. Из-за низкого качества молозива мал и уровень колострального иммунитета, в то же время часть колостральных антител блокируется антигенами вводимых вакцин, усугубляя инфекционный процесс. Многие антибиотики являются иммунодепрессантами, кумулируются в организме животных.</w:t>
      </w:r>
    </w:p>
    <w:p w:rsidR="00F4654E" w:rsidRDefault="00F4654E">
      <w:pPr>
        <w:pStyle w:val="a6"/>
      </w:pPr>
      <w:r>
        <w:t>В связи с этим большого внимания заслуживают разработки иммун</w:t>
      </w:r>
      <w:r>
        <w:t>о</w:t>
      </w:r>
      <w:r>
        <w:t>модуляторов- биогенных стимуляторов, действие которых направлено на повышение резистентности организма животных и специфическую имм</w:t>
      </w:r>
      <w:r>
        <w:t>у</w:t>
      </w:r>
      <w:r>
        <w:t>ностимуляцию.</w:t>
      </w:r>
    </w:p>
    <w:p w:rsidR="00F4654E" w:rsidRDefault="00F4654E">
      <w:pPr>
        <w:pStyle w:val="a6"/>
      </w:pPr>
      <w:r>
        <w:t>Целью нашей работы являлось обоснование перспективности испол</w:t>
      </w:r>
      <w:r>
        <w:t>ь</w:t>
      </w:r>
      <w:r>
        <w:t>зования иммуностимуляторов для регуляции иммунного статуса телят и сохранения гомеостаза организма животных в условиях адаптации. Осно</w:t>
      </w:r>
      <w:r>
        <w:t>в</w:t>
      </w:r>
      <w:r>
        <w:t>ной  задачей исследования являлось изучение показателей иммунного ст</w:t>
      </w:r>
      <w:r>
        <w:t>а</w:t>
      </w:r>
      <w:r>
        <w:t>туса телят после проведения  иммуностимуляции препаратами экост и миксоферон. Исследования были проведены на базе лаборатории иммун</w:t>
      </w:r>
      <w:r>
        <w:t>о</w:t>
      </w:r>
      <w:r>
        <w:t>логии, онкологии, экологии и инфекционной патологии кафедры инфекц</w:t>
      </w:r>
      <w:r>
        <w:t>и</w:t>
      </w:r>
      <w:r>
        <w:t>онных и инвазионных болезней УрГСХА.</w:t>
      </w:r>
    </w:p>
    <w:p w:rsidR="00F4654E" w:rsidRDefault="00F4654E">
      <w:pPr>
        <w:pStyle w:val="a6"/>
      </w:pPr>
      <w:r>
        <w:t>Исследования проводили в сельскохозяйственных предприятиях  Свердловской области. В хозяйствах были сформированы 3 опытные гру</w:t>
      </w:r>
      <w:r>
        <w:t>п</w:t>
      </w:r>
      <w:r>
        <w:t>пы, в каждой по 8  новорожденных телят по принципу аналогов с учетом породности, физиологического состояния, возраста. На диагностическом этапе диспансеризации учитывали содержание и уровень кормления от</w:t>
      </w:r>
      <w:r>
        <w:t>е</w:t>
      </w:r>
      <w:r>
        <w:t>лившихся коров, уровень их продуктивности и условия содержания нов</w:t>
      </w:r>
      <w:r>
        <w:t>о</w:t>
      </w:r>
      <w:r>
        <w:t>рожденных телят. Кровь для проведения морфологических и иммунолог</w:t>
      </w:r>
      <w:r>
        <w:t>и</w:t>
      </w:r>
      <w:r>
        <w:t>ческих исследований брали по утрам  до кормления. При гематологич</w:t>
      </w:r>
      <w:r>
        <w:t>е</w:t>
      </w:r>
      <w:r>
        <w:t>ском исследовании в пробах проводили подсчет общего количества лейк</w:t>
      </w:r>
      <w:r>
        <w:t>о</w:t>
      </w:r>
      <w:r>
        <w:t>цитов, а</w:t>
      </w:r>
      <w:r>
        <w:t>б</w:t>
      </w:r>
      <w:r>
        <w:t>солютного содержания лимфоцитов, определяли лейкоцитарный профиль по общепринятым методикам с помощью микрокопирования ма</w:t>
      </w:r>
      <w:r>
        <w:t>з</w:t>
      </w:r>
      <w:r>
        <w:t>ков крови в к</w:t>
      </w:r>
      <w:r>
        <w:t>а</w:t>
      </w:r>
      <w:r>
        <w:t>мере Горяева, окрашенных по методу Романовского-Гимзе. Иммунологич</w:t>
      </w:r>
      <w:r>
        <w:t>е</w:t>
      </w:r>
      <w:r>
        <w:t>ские исследования включали: определение  содержания Т- и В-лимфоцитов методом спонтанного розеткообразования, активности ф</w:t>
      </w:r>
      <w:r>
        <w:t>а</w:t>
      </w:r>
      <w:r>
        <w:t>гоцитоза, циркулирующих иммунных комплексов.</w:t>
      </w:r>
    </w:p>
    <w:p w:rsidR="00F4654E" w:rsidRDefault="00F4654E">
      <w:pPr>
        <w:pStyle w:val="a6"/>
      </w:pPr>
      <w:r>
        <w:t>Новорожденным телятам первой группы с первого дня жизни задав</w:t>
      </w:r>
      <w:r>
        <w:t>а</w:t>
      </w:r>
      <w:r>
        <w:t>ли внутрь с молозивом препарат экост в количестве одной дозы (1 г) на г</w:t>
      </w:r>
      <w:r>
        <w:t>о</w:t>
      </w:r>
      <w:r>
        <w:t>лову в течение  7 дней. Животным второй группы в 1-й, 3-й и 5-й день жизни внутримышечно вводили по 5 доз на голову препарата миксоферон. Телята третьей группы были контрольными. Отбор проб крови проводили до начала опыта, а затем через 7 дней после  применения препаратов.</w:t>
      </w:r>
    </w:p>
    <w:p w:rsidR="004D29CD" w:rsidRDefault="004D29CD">
      <w:pPr>
        <w:pStyle w:val="a6"/>
      </w:pPr>
    </w:p>
    <w:p w:rsidR="004D29CD" w:rsidRDefault="004D29CD">
      <w:pPr>
        <w:pStyle w:val="a6"/>
      </w:pPr>
    </w:p>
    <w:p w:rsidR="00F4654E" w:rsidRDefault="00F4654E">
      <w:pPr>
        <w:pStyle w:val="a6"/>
      </w:pPr>
      <w:r>
        <w:lastRenderedPageBreak/>
        <w:t>Исследования показали, что после применения экоста у телят 1-й группы отмечается увеличение количества лимфоцитов в 1,4 раза (4,91 ± 0,29</w:t>
      </w:r>
      <w:r>
        <w:rPr>
          <w:b/>
        </w:rPr>
        <w:t xml:space="preserve"> </w:t>
      </w:r>
      <w:r>
        <w:t xml:space="preserve">тыс./мкл), в том числе количество Т лимфоцитов возрастает в 2 раза (45%), а абсолютное количество В - лимфоцитов в 1,5 раза и составляет соответственно 1,75  ± 0,45 тыс./мкл.                    </w:t>
      </w:r>
    </w:p>
    <w:p w:rsidR="00F4654E" w:rsidRDefault="00F4654E">
      <w:pPr>
        <w:pStyle w:val="a6"/>
      </w:pPr>
      <w:r>
        <w:t>У телят из 2 опытной группы после применения миксоферона отмеч</w:t>
      </w:r>
      <w:r>
        <w:t>а</w:t>
      </w:r>
      <w:r>
        <w:t>лось незначительное увеличение количества лимфоцитов, в том числе к</w:t>
      </w:r>
      <w:r>
        <w:t>о</w:t>
      </w:r>
      <w:r>
        <w:t>личество Т - лимфоцитов возрастало в 1,4 раза и составляло 40% , а  кол</w:t>
      </w:r>
      <w:r>
        <w:t>и</w:t>
      </w:r>
      <w:r>
        <w:t xml:space="preserve">чество В -  лимфоцитов в 1,2 раза (36%). У животных контрольной группы отмечено недостоверное снижение данных показателей. </w:t>
      </w:r>
    </w:p>
    <w:p w:rsidR="00F4654E" w:rsidRDefault="00F4654E">
      <w:pPr>
        <w:pStyle w:val="a6"/>
      </w:pPr>
      <w:r>
        <w:t>Одновременно с определением количества Т - и В - лимфоцитов, х</w:t>
      </w:r>
      <w:r>
        <w:t>а</w:t>
      </w:r>
      <w:r>
        <w:t>рактеризующих специфический иммунитет, был определен уровень фаг</w:t>
      </w:r>
      <w:r>
        <w:t>о</w:t>
      </w:r>
      <w:r>
        <w:t xml:space="preserve">цитарной активности нейтрофилов, характеризующий неспецифическое звено иммунитета.  </w:t>
      </w:r>
    </w:p>
    <w:p w:rsidR="00F4654E" w:rsidRDefault="00F4654E">
      <w:pPr>
        <w:pStyle w:val="a6"/>
      </w:pPr>
      <w:r>
        <w:t>Уровень фагоцитарной активности у контрольной группы и животных 1-й группы был в 2 раза меньше, чем у телят 2-й группы с применением миксоферона и составлял соответственно 24,2% и 48,4%. То есть можно предположить, что для стимуляции неспецифического звена иммунитета целесообразным является применение миксоферона.</w:t>
      </w:r>
    </w:p>
    <w:p w:rsidR="00F4654E" w:rsidRDefault="00F4654E">
      <w:pPr>
        <w:pStyle w:val="a6"/>
      </w:pPr>
      <w:r>
        <w:t>Анализ полученных данных позволяет сделать вывод о положител</w:t>
      </w:r>
      <w:r>
        <w:t>ь</w:t>
      </w:r>
      <w:r>
        <w:t>ном влияние экоста на количественный состав иммунокомпетентных кл</w:t>
      </w:r>
      <w:r>
        <w:t>е</w:t>
      </w:r>
      <w:r>
        <w:t>ток и их функциональную активность, что подтверждает механизм дейс</w:t>
      </w:r>
      <w:r>
        <w:t>т</w:t>
      </w:r>
      <w:r>
        <w:t>вия экоста на иммунную систему при использовании его в качестве ада</w:t>
      </w:r>
      <w:r>
        <w:t>п</w:t>
      </w:r>
      <w:r>
        <w:t>тогена, способствующего повышению резистентности организма новоро</w:t>
      </w:r>
      <w:r>
        <w:t>ж</w:t>
      </w:r>
      <w:r>
        <w:t>денных телят.</w:t>
      </w:r>
    </w:p>
    <w:p w:rsidR="00F4654E" w:rsidRDefault="00F4654E">
      <w:pPr>
        <w:pStyle w:val="a4"/>
      </w:pPr>
      <w:r>
        <w:t>УДК 619.611.573:3:539.616:092.613.3</w:t>
      </w:r>
    </w:p>
    <w:p w:rsidR="00F4654E" w:rsidRDefault="00F4654E">
      <w:pPr>
        <w:pStyle w:val="1"/>
      </w:pPr>
      <w:bookmarkStart w:id="5776" w:name="_Toc10731630"/>
      <w:bookmarkStart w:id="5777" w:name="_Toc11138113"/>
      <w:bookmarkStart w:id="5778" w:name="_Toc11138531"/>
      <w:bookmarkStart w:id="5779" w:name="_Toc11138949"/>
      <w:bookmarkStart w:id="5780" w:name="_Toc11139367"/>
      <w:bookmarkStart w:id="5781" w:name="_Toc11139785"/>
      <w:bookmarkStart w:id="5782" w:name="_Toc11140203"/>
      <w:bookmarkStart w:id="5783" w:name="_Toc11140621"/>
      <w:bookmarkStart w:id="5784" w:name="_Toc11390715"/>
      <w:bookmarkStart w:id="5785" w:name="_Toc11840400"/>
      <w:bookmarkStart w:id="5786" w:name="_Toc11937936"/>
      <w:r>
        <w:t>ПАТУЛИНОТОКСИКОЗ У СВИНЕЙ</w:t>
      </w:r>
      <w:bookmarkEnd w:id="5776"/>
      <w:bookmarkEnd w:id="5777"/>
      <w:bookmarkEnd w:id="5778"/>
      <w:bookmarkEnd w:id="5779"/>
      <w:bookmarkEnd w:id="5780"/>
      <w:bookmarkEnd w:id="5781"/>
      <w:bookmarkEnd w:id="5782"/>
      <w:bookmarkEnd w:id="5783"/>
      <w:bookmarkEnd w:id="5784"/>
      <w:bookmarkEnd w:id="5785"/>
      <w:bookmarkEnd w:id="5786"/>
    </w:p>
    <w:p w:rsidR="00F4654E" w:rsidRDefault="00F4654E">
      <w:pPr>
        <w:pStyle w:val="2"/>
      </w:pPr>
      <w:bookmarkStart w:id="5787" w:name="_Toc10731631"/>
      <w:bookmarkStart w:id="5788" w:name="_Toc11032420"/>
      <w:bookmarkStart w:id="5789" w:name="_Toc11138114"/>
      <w:bookmarkStart w:id="5790" w:name="_Toc11138532"/>
      <w:bookmarkStart w:id="5791" w:name="_Toc11138950"/>
      <w:bookmarkStart w:id="5792" w:name="_Toc11139368"/>
      <w:bookmarkStart w:id="5793" w:name="_Toc11139786"/>
      <w:bookmarkStart w:id="5794" w:name="_Toc11140204"/>
      <w:bookmarkStart w:id="5795" w:name="_Toc11140622"/>
      <w:bookmarkStart w:id="5796" w:name="_Toc11390716"/>
      <w:bookmarkStart w:id="5797" w:name="_Toc11937937"/>
      <w:r>
        <w:t>Халикова К.Ф., Садыкова В.Н., Павлов В.П., Тремасов М.Я.</w:t>
      </w:r>
      <w:bookmarkEnd w:id="5787"/>
      <w:bookmarkEnd w:id="5788"/>
      <w:bookmarkEnd w:id="5789"/>
      <w:bookmarkEnd w:id="5790"/>
      <w:bookmarkEnd w:id="5791"/>
      <w:bookmarkEnd w:id="5792"/>
      <w:bookmarkEnd w:id="5793"/>
      <w:bookmarkEnd w:id="5794"/>
      <w:bookmarkEnd w:id="5795"/>
      <w:bookmarkEnd w:id="5796"/>
      <w:bookmarkEnd w:id="5797"/>
    </w:p>
    <w:p w:rsidR="00F4654E" w:rsidRDefault="00F4654E">
      <w:pPr>
        <w:pStyle w:val="a5"/>
      </w:pPr>
      <w:r>
        <w:t>Всероссийский научно-исследовательский ветеринарный институт</w:t>
      </w:r>
    </w:p>
    <w:p w:rsidR="00F4654E" w:rsidRDefault="00F4654E">
      <w:pPr>
        <w:pStyle w:val="a6"/>
      </w:pPr>
      <w:r>
        <w:t>Патулин – канцерогенный лактон, вторичный метаболит многих в</w:t>
      </w:r>
      <w:r>
        <w:t>и</w:t>
      </w:r>
      <w:r>
        <w:t>дов микроскопических грибов рода Пеннициллиум и Аспергиллюс, одн</w:t>
      </w:r>
      <w:r>
        <w:t>а</w:t>
      </w:r>
      <w:r>
        <w:t>ко, наиболее часто в качестве продуцента патулина выявляют P. expansum.</w:t>
      </w:r>
    </w:p>
    <w:p w:rsidR="00F4654E" w:rsidRDefault="00F4654E">
      <w:pPr>
        <w:pStyle w:val="a6"/>
      </w:pPr>
      <w:r>
        <w:t>В естественных условиях патулин в основном встречается в ягодах, фруктах в продуктах их переработки – соках, пюре. Имеются сообщения об обнаружении  микотоксина в зерновых и силосе (А.Ф. Ображей, 1987). Наиболее чувствительны к отравлению патулином свиньи всех возрастных групп. Случаи массового отравления свиней с характерными признаками патулинотоксикоза: посинение пятачка и нижней части живота, саливация, шаткость походки, крупозно-геморрагический гастроэнтерит и отек ле</w:t>
      </w:r>
      <w:r>
        <w:t>г</w:t>
      </w:r>
      <w:r>
        <w:t>ких, наблюдали при скармливании им силоса, комбикорма, травяной муки и жома, в которых был обнаружен микотоксин.</w:t>
      </w:r>
    </w:p>
    <w:p w:rsidR="00F4654E" w:rsidRDefault="00F4654E">
      <w:pPr>
        <w:pStyle w:val="a6"/>
      </w:pPr>
      <w:r>
        <w:lastRenderedPageBreak/>
        <w:t>Вопросы токсикокинетики патулина изучены недостаточно, что и о</w:t>
      </w:r>
      <w:r>
        <w:t>п</w:t>
      </w:r>
      <w:r>
        <w:t>ределило цель наших исследований.</w:t>
      </w:r>
    </w:p>
    <w:p w:rsidR="00F4654E" w:rsidRDefault="00F4654E">
      <w:pPr>
        <w:pStyle w:val="a6"/>
      </w:pPr>
      <w:r>
        <w:t>Эксперименты проведены на 16 поросятах живой массой 20-30 кг. В опытах использовали патулин, полученный в лаборатории микотоксинов ВНИВИ, по физико-химическим показателям соответствующий стандар</w:t>
      </w:r>
      <w:r>
        <w:t>т</w:t>
      </w:r>
      <w:r>
        <w:t>ным образцам микотоксина. Животным токсин задавали внутрь в болюсах в различных дозах. Расчеты среднесмертельных концентраций (ЛД</w:t>
      </w:r>
      <w:r>
        <w:rPr>
          <w:vertAlign w:val="subscript"/>
        </w:rPr>
        <w:t>50</w:t>
      </w:r>
      <w:r>
        <w:t>) м</w:t>
      </w:r>
      <w:r>
        <w:t>и</w:t>
      </w:r>
      <w:r>
        <w:t>котоксина проводили методом Кербера.</w:t>
      </w:r>
    </w:p>
    <w:p w:rsidR="00F4654E" w:rsidRDefault="00F4654E">
      <w:pPr>
        <w:pStyle w:val="a6"/>
      </w:pPr>
      <w:r>
        <w:t>Перед опытом животных в течение 10-15 дней обсервировали в усл</w:t>
      </w:r>
      <w:r>
        <w:t>о</w:t>
      </w:r>
      <w:r>
        <w:t>виях вивария и подвергали трехкратному клиническому исследованию (общее состояние, температура, пульс, дыхание, состояние тактильной и болевой чувствительности). Определяли количество эритроцитов, лейк</w:t>
      </w:r>
      <w:r>
        <w:t>о</w:t>
      </w:r>
      <w:r>
        <w:t>цитов, гемоглобина, скорость оседания эритроцитов (СОЭ) и выводили лейкоцитарную формулу по общепринятым методикам.</w:t>
      </w:r>
    </w:p>
    <w:p w:rsidR="00F4654E" w:rsidRDefault="00F4654E">
      <w:pPr>
        <w:pStyle w:val="a6"/>
      </w:pPr>
      <w:r>
        <w:t>Введение поросятам патулина в первые 1-2 ч не сопровождалось з</w:t>
      </w:r>
      <w:r>
        <w:t>а</w:t>
      </w:r>
      <w:r>
        <w:t>метными изменениями со стороны общего их состояния. В дальнейшем отмечалось беспокойство, пищевая возбудимость ослабевала, болевая и тактильная чувствительность усиливались.</w:t>
      </w:r>
    </w:p>
    <w:p w:rsidR="00F4654E" w:rsidRDefault="00F4654E">
      <w:pPr>
        <w:pStyle w:val="a6"/>
      </w:pPr>
      <w:r>
        <w:t>Температура тела в динамике интоксикации существенно не измен</w:t>
      </w:r>
      <w:r>
        <w:t>я</w:t>
      </w:r>
      <w:r>
        <w:t>лась. Частота пульса и дыхания повышались соответственно через 12 ч опыта  на 20,5; 9,6%, спустя 24 ч - на 16,5; 21,0%, через 48 ч - на 6,4; 31,3%.</w:t>
      </w:r>
    </w:p>
    <w:p w:rsidR="00F4654E" w:rsidRDefault="00F4654E">
      <w:pPr>
        <w:pStyle w:val="a6"/>
      </w:pPr>
      <w:r>
        <w:t>Клиническая картина отравления характеризовалась одышкой, циан</w:t>
      </w:r>
      <w:r>
        <w:t>о</w:t>
      </w:r>
      <w:r>
        <w:t>зом слизистых оболочек, диареей. У трех животных кал был с примесью крови. Количество эритроцитов и гемоглобина у животных несколько снижалось. Максимальные изменения зарегистрированы спустя 48 ч: на 18,0, и 17,0% соответственно (Р&lt;0,01). Уровень лейкоцитов у свиней через 12 ч после введения им патулина увеличивался на 26,0%, спустя 24 ч - на 40,0%, через 48 ч - на 38,1%. СОЭ у отравленных животных имела тенде</w:t>
      </w:r>
      <w:r>
        <w:t>н</w:t>
      </w:r>
      <w:r>
        <w:t>цию к постепенному увеличению и спустя 48 ч она достигла достоверных величин (Р&lt;0,01).</w:t>
      </w:r>
    </w:p>
    <w:p w:rsidR="00F4654E" w:rsidRDefault="00F4654E">
      <w:pPr>
        <w:pStyle w:val="a6"/>
      </w:pPr>
      <w:r>
        <w:t>Через 18 и 26 ч после внутрижелудочного введения патулина четыре поросенка пали. При патологоанатомическом вскрытии у них отмечены значительные изменения в желудочно-кишечном тракте: катарально-геморрагический гастроэнтерит, полнокровие печени, почек. Печень о</w:t>
      </w:r>
      <w:r>
        <w:t>к</w:t>
      </w:r>
      <w:r>
        <w:t>рашена неравномерно, несколько увеличена в размере, под капсулой - т</w:t>
      </w:r>
      <w:r>
        <w:t>о</w:t>
      </w:r>
      <w:r>
        <w:t>чечные и полосатые кровоизлияния. Сердце несколько увеличено в разм</w:t>
      </w:r>
      <w:r>
        <w:t>е</w:t>
      </w:r>
      <w:r>
        <w:t>ре, в полостях – несвернувшаяся кровь.</w:t>
      </w:r>
    </w:p>
    <w:p w:rsidR="00F4654E" w:rsidRDefault="00F4654E">
      <w:pPr>
        <w:pStyle w:val="a6"/>
      </w:pPr>
      <w:r>
        <w:t>Таким образом, доза патулина 5 мг/кг массы тела вызывает патулин</w:t>
      </w:r>
      <w:r>
        <w:t>о</w:t>
      </w:r>
      <w:r>
        <w:t xml:space="preserve">токсикоз, который сопровождается нарушением деятельности желудочно-кишечного тракта, органов дыхания и гематологических показателей, что важно учитывать при разработке лечебно-профилактических мероприятий при этом микотоксикозе.         </w:t>
      </w:r>
    </w:p>
    <w:p w:rsidR="00F4654E" w:rsidRDefault="00F4654E">
      <w:pPr>
        <w:pStyle w:val="a4"/>
      </w:pPr>
      <w:r>
        <w:lastRenderedPageBreak/>
        <w:t>УДК 618.25:612.636:3</w:t>
      </w:r>
    </w:p>
    <w:p w:rsidR="00F4654E" w:rsidRDefault="00F4654E">
      <w:pPr>
        <w:pStyle w:val="1"/>
      </w:pPr>
      <w:bookmarkStart w:id="5798" w:name="_Toc10731632"/>
      <w:bookmarkStart w:id="5799" w:name="_Toc11138115"/>
      <w:bookmarkStart w:id="5800" w:name="_Toc11138533"/>
      <w:bookmarkStart w:id="5801" w:name="_Toc11138951"/>
      <w:bookmarkStart w:id="5802" w:name="_Toc11139369"/>
      <w:bookmarkStart w:id="5803" w:name="_Toc11139787"/>
      <w:bookmarkStart w:id="5804" w:name="_Toc11140205"/>
      <w:bookmarkStart w:id="5805" w:name="_Toc11140623"/>
      <w:bookmarkStart w:id="5806" w:name="_Toc11390717"/>
      <w:bookmarkStart w:id="5807" w:name="_Toc11937938"/>
      <w:r>
        <w:t>ДИАГНОСТИКА МНОГОПЛОДИЯ У ОВЕЦ  ПО ИССЛЕДОВАНИЯМ ПРОГЕСТЕРОНА В КРОВИ</w:t>
      </w:r>
      <w:bookmarkEnd w:id="5798"/>
      <w:bookmarkEnd w:id="5799"/>
      <w:bookmarkEnd w:id="5800"/>
      <w:bookmarkEnd w:id="5801"/>
      <w:bookmarkEnd w:id="5802"/>
      <w:bookmarkEnd w:id="5803"/>
      <w:bookmarkEnd w:id="5804"/>
      <w:bookmarkEnd w:id="5805"/>
      <w:bookmarkEnd w:id="5806"/>
      <w:bookmarkEnd w:id="5807"/>
    </w:p>
    <w:p w:rsidR="00F4654E" w:rsidRDefault="00F4654E">
      <w:pPr>
        <w:pStyle w:val="2"/>
      </w:pPr>
      <w:bookmarkStart w:id="5808" w:name="_Toc10731633"/>
      <w:bookmarkStart w:id="5809" w:name="_Toc11032421"/>
      <w:bookmarkStart w:id="5810" w:name="_Toc11138116"/>
      <w:bookmarkStart w:id="5811" w:name="_Toc11138534"/>
      <w:bookmarkStart w:id="5812" w:name="_Toc11138952"/>
      <w:bookmarkStart w:id="5813" w:name="_Toc11139370"/>
      <w:bookmarkStart w:id="5814" w:name="_Toc11139788"/>
      <w:bookmarkStart w:id="5815" w:name="_Toc11140206"/>
      <w:bookmarkStart w:id="5816" w:name="_Toc11140624"/>
      <w:bookmarkStart w:id="5817" w:name="_Toc11390718"/>
      <w:bookmarkStart w:id="5818" w:name="_Toc11937939"/>
      <w:r>
        <w:t>Халипаев М.Г.</w:t>
      </w:r>
      <w:bookmarkEnd w:id="5808"/>
      <w:bookmarkEnd w:id="5809"/>
      <w:bookmarkEnd w:id="5810"/>
      <w:bookmarkEnd w:id="5811"/>
      <w:bookmarkEnd w:id="5812"/>
      <w:bookmarkEnd w:id="5813"/>
      <w:bookmarkEnd w:id="5814"/>
      <w:bookmarkEnd w:id="5815"/>
      <w:bookmarkEnd w:id="5816"/>
      <w:bookmarkEnd w:id="5817"/>
      <w:bookmarkEnd w:id="5818"/>
    </w:p>
    <w:p w:rsidR="00F4654E" w:rsidRDefault="00F4654E">
      <w:pPr>
        <w:pStyle w:val="a5"/>
      </w:pPr>
      <w:r>
        <w:t>Дагестанская государственная сельскохозяйственная академия</w:t>
      </w:r>
    </w:p>
    <w:p w:rsidR="00F4654E" w:rsidRDefault="00F4654E">
      <w:pPr>
        <w:pStyle w:val="a6"/>
      </w:pPr>
      <w:r>
        <w:t>Для роста численности овец, повышения их продуктивных качеств, важное значение имеет рациональное использование маточного поголовья. В хозяйствах нашей республики по завершении сезона осеменения (с25.10 по 5.12) создаются отары, где матки остаются до начала окота и формир</w:t>
      </w:r>
      <w:r>
        <w:t>о</w:t>
      </w:r>
      <w:r>
        <w:t>вания сакманов (25.03-5.05). В одинаковых условиях кормления и соде</w:t>
      </w:r>
      <w:r>
        <w:t>р</w:t>
      </w:r>
      <w:r>
        <w:t>жания находятся матки с различной продуктивностью и физиологическим состоянием их организма – бесплодные, по нашим многолетним исслед</w:t>
      </w:r>
      <w:r>
        <w:t>о</w:t>
      </w:r>
      <w:r>
        <w:t>ваниям, - до 10-14%, с одноплодной – 78-81%, и многоплодной (в осно</w:t>
      </w:r>
      <w:r>
        <w:t>в</w:t>
      </w:r>
      <w:r>
        <w:t>ном двойни) – 7-9%, суягностью. Это связано с традиционной технологией ведения овцеводства в нашем регионе и трудностями в ранней диагностике бесплодия и суягности у овец, которому зооветспециалисты и хозяйстве</w:t>
      </w:r>
      <w:r>
        <w:t>н</w:t>
      </w:r>
      <w:r>
        <w:t>ники не придают должного внимания.</w:t>
      </w:r>
    </w:p>
    <w:p w:rsidR="00F4654E" w:rsidRDefault="00F4654E">
      <w:pPr>
        <w:pStyle w:val="a6"/>
      </w:pPr>
      <w:r>
        <w:t>Так как репродуктивная функция животных на всех этапах цикла во</w:t>
      </w:r>
      <w:r>
        <w:t>с</w:t>
      </w:r>
      <w:r>
        <w:t>произведения является одной из наиболее эндокринозависимой, при кот</w:t>
      </w:r>
      <w:r>
        <w:t>о</w:t>
      </w:r>
      <w:r>
        <w:t>рой главную роль играют гормональные факторы, меняющиеся в завис</w:t>
      </w:r>
      <w:r>
        <w:t>и</w:t>
      </w:r>
      <w:r>
        <w:t>мости от сроков плодоношения, состояния беременности - мы поставили задачу изучить изменения содержания гормона прогестерона в крови у овец при одноплодной и многоплодной суягности по мере увеличения ее срока.</w:t>
      </w:r>
    </w:p>
    <w:p w:rsidR="00F4654E" w:rsidRDefault="00F4654E">
      <w:pPr>
        <w:pStyle w:val="a6"/>
      </w:pPr>
      <w:r>
        <w:t>В доступной научной литературе очень мало сообщений об исслед</w:t>
      </w:r>
      <w:r>
        <w:t>о</w:t>
      </w:r>
      <w:r>
        <w:t>ваниях, с целью прогнозирования количества плодов, при суягности у овец по обнаружению прогестерона в крови и изменениям его количества, сч</w:t>
      </w:r>
      <w:r>
        <w:t>и</w:t>
      </w:r>
      <w:r>
        <w:t>таем, что эта проблема имеет важное значение для науки и практики.</w:t>
      </w:r>
    </w:p>
    <w:p w:rsidR="00F4654E" w:rsidRDefault="00F4654E">
      <w:pPr>
        <w:pStyle w:val="a6"/>
      </w:pPr>
      <w:r>
        <w:t>Мы проводили исследование сыворотки крови от одних и тех же овец на содержание гормона прогестерона радиоиммунологическим методом по мере нарастания срока плодоношения в динамике – 30, 60, 90 и 120 дней после осеменения. По полученным результатам сделали сравнительный анализ с данными от маток, родивших во время окота одного или двух я</w:t>
      </w:r>
      <w:r>
        <w:t>г</w:t>
      </w:r>
      <w:r>
        <w:t>нят. Под опытом находились овцематки дагестанской горной породы 2-3 окотов, с нормальными предыдущими родами, с межокотным периодом 372-384 дня. Исследования были проведены в течение трех лет в разных хозяйствах, всего исследовано 368 проб крови от 92 голов овцематок. Ве</w:t>
      </w:r>
      <w:r>
        <w:t>с</w:t>
      </w:r>
      <w:r>
        <w:t>ной во время окота проводили учет родившихся ягнят индивидуально ка</w:t>
      </w:r>
      <w:r>
        <w:t>ж</w:t>
      </w:r>
      <w:r>
        <w:t>дой маткой.</w:t>
      </w:r>
    </w:p>
    <w:p w:rsidR="00F4654E" w:rsidRDefault="00F4654E">
      <w:pPr>
        <w:pStyle w:val="a6"/>
      </w:pPr>
      <w:r>
        <w:t>Нами отмечено, что у овцематок к концу первого месяца суягности (30 дней) при одинцовом и двойневом плодоношении уровень гормона прогестерона в сыворотке крови имеет незначительное различие с пред</w:t>
      </w:r>
      <w:r>
        <w:t>е</w:t>
      </w:r>
      <w:r>
        <w:lastRenderedPageBreak/>
        <w:t>лом колебаний показателей 6,1-8,2 нг/мл. Это вероятно можно объяснить тем, что в начале суягности у маток начинается и налаживается перестро</w:t>
      </w:r>
      <w:r>
        <w:t>й</w:t>
      </w:r>
      <w:r>
        <w:t>ка гормонального статуса их организма, и вероятно наличие одного или двух зародышей не приводит к заметному увеличению прогестерона и а</w:t>
      </w:r>
      <w:r>
        <w:t>к</w:t>
      </w:r>
      <w:r>
        <w:t>тивности образовавшихся желтых тел.</w:t>
      </w:r>
    </w:p>
    <w:p w:rsidR="00F4654E" w:rsidRDefault="00F4654E">
      <w:pPr>
        <w:pStyle w:val="a6"/>
      </w:pPr>
      <w:r>
        <w:t>Анализ результатов исследований в два месяца суягности (60 дней), показал заметное увеличение уровня прогестерона в крови у маток с дво</w:t>
      </w:r>
      <w:r>
        <w:t>й</w:t>
      </w:r>
      <w:r>
        <w:t>нями 1,68-2,08 раза по сравнению с одинцами, предел колебаний показат</w:t>
      </w:r>
      <w:r>
        <w:t>е</w:t>
      </w:r>
      <w:r>
        <w:t>лей соответственно 24,6-29,1 нг/мл и 11,8-16,4 нг/мл. Это, по-видимому, можно оценить, как диагностический тест на многоплодную суягность у овец, когда при двойнях происходит стабильное увеличение гормона бер</w:t>
      </w:r>
      <w:r>
        <w:t>е</w:t>
      </w:r>
      <w:r>
        <w:t>менности прогестерона к двухмесячному сроку плодоношения повышается секреция его сформировавшимися в яичнике двумя желтыми телами и плацентой. Двойное плодоношение должно предъявлять определенные требования для нормального течения беременности, для чего необходимо достаточное количество прогестерона, содержание которого повышается при этом.</w:t>
      </w:r>
    </w:p>
    <w:p w:rsidR="00F4654E" w:rsidRDefault="00F4654E">
      <w:pPr>
        <w:pStyle w:val="a6"/>
      </w:pPr>
      <w:r>
        <w:t>К трехмесячной суягности (90 дней) уровень прогестерона в крови у маток с двойнями был выше в 2,2-2,6 раза по сравнению с одинцами, и с</w:t>
      </w:r>
      <w:r>
        <w:t>о</w:t>
      </w:r>
      <w:r>
        <w:t>ставлял соответственно по показателям 30,3-32,9 нг/мл и 14,1-18,6 нг/мл. По сравнению с данными в два месяца суягности, уровень прогестерона в крови у маток к сроку в 90 дней увеличился при двойнях на 13,07-23,27%, при одинцах – на 6,89-19,49%. Это показывает, что уже к 60-дневному сроку суягности у овец происходит заметное увеличение уровня гормона прогестерона в крови, что подтверждается и остается на этом уровне и в дальнейшем.</w:t>
      </w:r>
    </w:p>
    <w:p w:rsidR="00F4654E" w:rsidRDefault="00F4654E">
      <w:pPr>
        <w:pStyle w:val="a6"/>
      </w:pPr>
      <w:r>
        <w:t>По достижению суягности 120 дней уровень прогестерона в крови у маток при двойнях увеличился до 56,2-58,4 нг/мл, при  одинцах до 24,2-26,3 нг/мл, т.е. содержание прогестерона у первых было больше в 2,2-2,3 раза. При одновременном увеличении содержания прогестерона в крови у овец при суягности одинцами, двойное плодоношение отличается пов</w:t>
      </w:r>
      <w:r>
        <w:t>ы</w:t>
      </w:r>
      <w:r>
        <w:t>шением его уровня по сравнению с одинцовыми в 2,2-2,3 раза.</w:t>
      </w:r>
    </w:p>
    <w:p w:rsidR="00F4654E" w:rsidRDefault="00F4654E">
      <w:pPr>
        <w:pStyle w:val="a6"/>
      </w:pPr>
      <w:r>
        <w:t>Таким образом, считаем, что содержание гормона прогестерона в кр</w:t>
      </w:r>
      <w:r>
        <w:t>о</w:t>
      </w:r>
      <w:r>
        <w:t>ви у овец имеет тенденции к постепенному росту по мере увеличения ср</w:t>
      </w:r>
      <w:r>
        <w:t>о</w:t>
      </w:r>
      <w:r>
        <w:t>ка суягности (от 30 до 120 дней) независимо от количества плодов, однако двойнями его уровень повышается 1,6-2,1, 2-2,2 им 2,2-2,3 раза соответс</w:t>
      </w:r>
      <w:r>
        <w:t>т</w:t>
      </w:r>
      <w:r>
        <w:t>венно к 60, 90 и 120 дням срока беременности по сравнению с показател</w:t>
      </w:r>
      <w:r>
        <w:t>я</w:t>
      </w:r>
      <w:r>
        <w:t>ми маток с одинцами. Рост уровня прогестерона в крови у овец при суя</w:t>
      </w:r>
      <w:r>
        <w:t>г</w:t>
      </w:r>
      <w:r>
        <w:t>ности двойнями в два месяца в 2 и более раза, по сравнению с одинцами может служить тестом для ранней диагностики многоплодия у овец, это дает возможность создать для животных соответствующие по ожидаемой продуктивности условия кормления и содержания с целью получения и с</w:t>
      </w:r>
      <w:r>
        <w:t>о</w:t>
      </w:r>
      <w:r>
        <w:lastRenderedPageBreak/>
        <w:t>хранения от них здорового приплода и принятия мер для сохранения их здоровья.</w:t>
      </w:r>
    </w:p>
    <w:p w:rsidR="00F4654E" w:rsidRDefault="00F4654E">
      <w:pPr>
        <w:pStyle w:val="a4"/>
      </w:pPr>
      <w:r>
        <w:t>УДК 619:618.1.619:618.177:636:3</w:t>
      </w:r>
    </w:p>
    <w:p w:rsidR="00F4654E" w:rsidRDefault="00F4654E">
      <w:pPr>
        <w:pStyle w:val="1"/>
      </w:pPr>
      <w:bookmarkStart w:id="5819" w:name="_Toc10731634"/>
      <w:bookmarkStart w:id="5820" w:name="_Toc11138117"/>
      <w:bookmarkStart w:id="5821" w:name="_Toc11138535"/>
      <w:bookmarkStart w:id="5822" w:name="_Toc11138953"/>
      <w:bookmarkStart w:id="5823" w:name="_Toc11139371"/>
      <w:bookmarkStart w:id="5824" w:name="_Toc11139789"/>
      <w:bookmarkStart w:id="5825" w:name="_Toc11140207"/>
      <w:bookmarkStart w:id="5826" w:name="_Toc11140625"/>
      <w:bookmarkStart w:id="5827" w:name="_Toc11390719"/>
      <w:bookmarkStart w:id="5828" w:name="_Toc11840404"/>
      <w:bookmarkStart w:id="5829" w:name="_Toc11937940"/>
      <w:r>
        <w:t>О СИМПТОМАТИЧЕСКОМ БЕСПЛОДИИ У ОВЕЦ</w:t>
      </w:r>
      <w:bookmarkEnd w:id="5819"/>
      <w:bookmarkEnd w:id="5820"/>
      <w:bookmarkEnd w:id="5821"/>
      <w:bookmarkEnd w:id="5822"/>
      <w:bookmarkEnd w:id="5823"/>
      <w:bookmarkEnd w:id="5824"/>
      <w:bookmarkEnd w:id="5825"/>
      <w:bookmarkEnd w:id="5826"/>
      <w:bookmarkEnd w:id="5827"/>
      <w:bookmarkEnd w:id="5828"/>
      <w:bookmarkEnd w:id="5829"/>
    </w:p>
    <w:p w:rsidR="00F4654E" w:rsidRDefault="00F4654E">
      <w:pPr>
        <w:pStyle w:val="2"/>
      </w:pPr>
      <w:bookmarkStart w:id="5830" w:name="_Toc10731635"/>
      <w:bookmarkStart w:id="5831" w:name="_Toc11032422"/>
      <w:bookmarkStart w:id="5832" w:name="_Toc11138118"/>
      <w:bookmarkStart w:id="5833" w:name="_Toc11138536"/>
      <w:bookmarkStart w:id="5834" w:name="_Toc11138954"/>
      <w:bookmarkStart w:id="5835" w:name="_Toc11139372"/>
      <w:bookmarkStart w:id="5836" w:name="_Toc11139790"/>
      <w:bookmarkStart w:id="5837" w:name="_Toc11140208"/>
      <w:bookmarkStart w:id="5838" w:name="_Toc11140626"/>
      <w:bookmarkStart w:id="5839" w:name="_Toc11390720"/>
      <w:bookmarkStart w:id="5840" w:name="_Toc11937941"/>
      <w:r>
        <w:t>Халипаев М.Г.</w:t>
      </w:r>
      <w:bookmarkEnd w:id="5830"/>
      <w:bookmarkEnd w:id="5831"/>
      <w:bookmarkEnd w:id="5832"/>
      <w:bookmarkEnd w:id="5833"/>
      <w:bookmarkEnd w:id="5834"/>
      <w:bookmarkEnd w:id="5835"/>
      <w:bookmarkEnd w:id="5836"/>
      <w:bookmarkEnd w:id="5837"/>
      <w:bookmarkEnd w:id="5838"/>
      <w:bookmarkEnd w:id="5839"/>
      <w:bookmarkEnd w:id="5840"/>
    </w:p>
    <w:p w:rsidR="00F4654E" w:rsidRDefault="00F4654E">
      <w:pPr>
        <w:pStyle w:val="a5"/>
      </w:pPr>
      <w:r>
        <w:t>Дагестанская государственная сельскохозяйственная академия</w:t>
      </w:r>
    </w:p>
    <w:p w:rsidR="00F4654E" w:rsidRDefault="00F4654E">
      <w:pPr>
        <w:pStyle w:val="a6"/>
      </w:pPr>
      <w:r>
        <w:t>Наши исследования и анализ отчетов специалистов показывают, что в хозяйствах нашей республики до 10-14% овцематок к весне выявляются бесплодными. Это приводит к низкому выходу ягнят, сдерживанию роста поголовья, преждевременной выбраковке маток, снижающей их удельный вес в структуре стада. Общеизвестно, что бесплодие животных – это нар</w:t>
      </w:r>
      <w:r>
        <w:t>у</w:t>
      </w:r>
      <w:r>
        <w:t>шение репродуктивной функции на основе многих причинных факторов. Необходимо отметить, что проявление репродуктивной функции у овец имеет свои специфические особенности, связанные с сезонностью ее поя</w:t>
      </w:r>
      <w:r>
        <w:t>в</w:t>
      </w:r>
      <w:r>
        <w:t>ления, ограниченностью во времени, влиянием внешних и внутренних факторов и др.</w:t>
      </w:r>
    </w:p>
    <w:p w:rsidR="00F4654E" w:rsidRDefault="00F4654E">
      <w:pPr>
        <w:pStyle w:val="a6"/>
      </w:pPr>
      <w:r>
        <w:t>Согласно квалификации А.П. Студенцова, симптоматическое беспл</w:t>
      </w:r>
      <w:r>
        <w:t>о</w:t>
      </w:r>
      <w:r>
        <w:t>дие у животных – это результат перенесенного заболевания половых орг</w:t>
      </w:r>
      <w:r>
        <w:t>а</w:t>
      </w:r>
      <w:r>
        <w:t>нов. В связи с этим, наша задача – изучить значение болезней родов и п</w:t>
      </w:r>
      <w:r>
        <w:t>о</w:t>
      </w:r>
      <w:r>
        <w:t>ловых органов у овец в проявлении у них симптоматического бесплодия, а также апробировать метод введения лекарственных веществ непосредс</w:t>
      </w:r>
      <w:r>
        <w:t>т</w:t>
      </w:r>
      <w:r>
        <w:t>венно в матку и сделать сравнительный анализ его эффективности.</w:t>
      </w:r>
    </w:p>
    <w:p w:rsidR="00F4654E" w:rsidRDefault="00F4654E">
      <w:pPr>
        <w:pStyle w:val="a6"/>
      </w:pPr>
      <w:r>
        <w:t>Задержка последа – данная патология родов встречается среди маток до 3-5%. Основными причинами ее на наш взгляд являются пред- и  посл</w:t>
      </w:r>
      <w:r>
        <w:t>е</w:t>
      </w:r>
      <w:r>
        <w:t>родовые залеживания, рождение двоен, затрудненные роды, недостаточное и неполноценное кормление животных в период плодоношения, общая слабость роженицы и др.</w:t>
      </w:r>
    </w:p>
    <w:p w:rsidR="00F4654E" w:rsidRDefault="00F4654E">
      <w:pPr>
        <w:pStyle w:val="a6"/>
      </w:pPr>
      <w:r>
        <w:t>В тех случаях, когда через 4-5 часов после родов у овец послед не о</w:t>
      </w:r>
      <w:r>
        <w:t>т</w:t>
      </w:r>
      <w:r>
        <w:t>делился, мы считаем его задержанным и при этом необходимо вмешател</w:t>
      </w:r>
      <w:r>
        <w:t>ь</w:t>
      </w:r>
      <w:r>
        <w:t>ство ветеринарного персонала. У маток при задержании последа наблюд</w:t>
      </w:r>
      <w:r>
        <w:t>а</w:t>
      </w:r>
      <w:r>
        <w:t>ли угнетенное общее состояние, снижение аппетита и функции молокоо</w:t>
      </w:r>
      <w:r>
        <w:t>б</w:t>
      </w:r>
      <w:r>
        <w:t>разования в вымени, животные подолгу лежат, потуги слабые, из вульвы свисает послед, слизистая оболочка влагалища покрасневшая. Спустя 18-24 часа появляются первые маточные выделения. Просвет канала шейки матки приоткрытый, у отдельных животных имеет место его сужение.</w:t>
      </w:r>
    </w:p>
    <w:p w:rsidR="00F4654E" w:rsidRDefault="00F4654E">
      <w:pPr>
        <w:pStyle w:val="a6"/>
      </w:pPr>
      <w:r>
        <w:t xml:space="preserve">Для оказания помощи мы вводили маткам подкожно синестрол 2%-ный маслянный раствор 2 мл и окситоцин – 2 мл, внутривенно 2 раза по 40-50 мл – 40% раствор глюкозы, задавали внутрь с концентратами или с теплой водой до 100 г сахара-песка. В основном у маток на следующий день послед отделялся, животным вводили указанные лекарства повторно через 8-10 часов. После отделения последа мы вводили в полость матки </w:t>
      </w:r>
      <w:r>
        <w:lastRenderedPageBreak/>
        <w:t>карцангом 2-3 таблетки окситетрациклина, спустя 10-12 часов специал</w:t>
      </w:r>
      <w:r>
        <w:t>ь</w:t>
      </w:r>
      <w:r>
        <w:t>ным катетером 4% раствор гентамицина сульфата, 2г – трициллина с 20 мл рыбьего жира двукратно с интервалом 10-12 часов, затем внутримышечно бициллин-3 1000000 ЕД с 10 мл стерильного 0,9% раствора хлорида н</w:t>
      </w:r>
      <w:r>
        <w:t>а</w:t>
      </w:r>
      <w:r>
        <w:t>трия. Общее состояние животных постепенно улучшалось, выделения из матки не имели неприятного запаха, к 8-12 дню становились светлыми и густыми, инволюция половых органов завершилась к 22-24 дню.</w:t>
      </w:r>
    </w:p>
    <w:p w:rsidR="00F4654E" w:rsidRDefault="00F4654E">
      <w:pPr>
        <w:pStyle w:val="a6"/>
      </w:pPr>
      <w:r>
        <w:t>Контролем служила группа (6 голов) овцематок, которым кроме дачи с концентратами и с теплой водой сахара-песка лечение не проводили. У этих животных послед отделился лишь на 2-3 сутки, выделения из матки были жидкими с неприятным запахом. Клиническое состояние их характ</w:t>
      </w:r>
      <w:r>
        <w:t>е</w:t>
      </w:r>
      <w:r>
        <w:t>ризовалось повышением температуры тела до 40-41</w:t>
      </w:r>
      <w:r>
        <w:rPr>
          <w:vertAlign w:val="superscript"/>
        </w:rPr>
        <w:t>0</w:t>
      </w:r>
      <w:r>
        <w:t>С, прекращением м</w:t>
      </w:r>
      <w:r>
        <w:t>о</w:t>
      </w:r>
      <w:r>
        <w:t>локовыделения, отсутствием аппетита, животные долго лежат. Бактери</w:t>
      </w:r>
      <w:r>
        <w:t>о</w:t>
      </w:r>
      <w:r>
        <w:t>логическое исследование выделений из матки показало наличие в них микрофлоры – стафилококки, стрептококки, синегнойная и кишечная п</w:t>
      </w:r>
      <w:r>
        <w:t>а</w:t>
      </w:r>
      <w:r>
        <w:t>лочки. Мы поставили диагноз – послеродовой эндометрит.</w:t>
      </w:r>
    </w:p>
    <w:p w:rsidR="00F4654E" w:rsidRDefault="00F4654E">
      <w:pPr>
        <w:pStyle w:val="a6"/>
      </w:pPr>
      <w:r>
        <w:t>В овцеводстве, учитывая его особенности желательно сократить до минимума кратность вмешательства ветеринарного персонала, добиваться при этом эффективного лечения, для чего необходимо изыскивать новые методы и средства воздействия непосредственно на патологический очаг. С этой целью мы решили больных животных (6 голов) предварительно с целью стимулирования сокращения матки и удаления содержимого, ввести подкожно 2% раствор синестрола 2 мл и окситоцин – 2 мл двукратно с и</w:t>
      </w:r>
      <w:r>
        <w:t>н</w:t>
      </w:r>
      <w:r>
        <w:t>тервалом 8-10 часов, затем вводили в полость матки специальным катет</w:t>
      </w:r>
      <w:r>
        <w:t>е</w:t>
      </w:r>
      <w:r>
        <w:t>ром нашей конструкции 6 мл 4% раствора гентамицина сульфата и 20 мл рыбьего жира с ампициллином 1000000 ЕД. Данный метод лечения мы п</w:t>
      </w:r>
      <w:r>
        <w:t>о</w:t>
      </w:r>
      <w:r>
        <w:t>вторяли 2-3 раза (без синестрола и окситоцина) в течение 2-3 дней. В з</w:t>
      </w:r>
      <w:r>
        <w:t>а</w:t>
      </w:r>
      <w:r>
        <w:t xml:space="preserve">вершении всем животным вводили внутримышечно пенициллин по 500000 ЕД с 0,25% раствором новокаина 2 раза – утром и вечером. </w:t>
      </w:r>
    </w:p>
    <w:p w:rsidR="00F4654E" w:rsidRDefault="00F4654E">
      <w:pPr>
        <w:pStyle w:val="a6"/>
      </w:pPr>
      <w:r>
        <w:t>У овцематок постепенно снижалась температура тела, появилась по</w:t>
      </w:r>
      <w:r>
        <w:t>д</w:t>
      </w:r>
      <w:r>
        <w:t>вижность, аппетит, выделения из половых органов без гнилостного запаха, густоватой консистенции, инволюция половых органов завершилась к 24-25 дню.</w:t>
      </w:r>
    </w:p>
    <w:p w:rsidR="00F4654E" w:rsidRDefault="00F4654E">
      <w:pPr>
        <w:pStyle w:val="a6"/>
      </w:pPr>
      <w:r>
        <w:t>Контролем служила группа маток, которым вводили ежедневно по 500000 ЕД пенициллина внутримышечно 2 раза в день. Осенью во время сезона осеменения матки приходили в половую охоту, были осеменены, однако остались бесплодными. При исследовании гистосрезов из разли</w:t>
      </w:r>
      <w:r>
        <w:t>ч</w:t>
      </w:r>
      <w:r>
        <w:t>ных участков половых органов после их забоя, у маток нами отмечены и</w:t>
      </w:r>
      <w:r>
        <w:t>з</w:t>
      </w:r>
      <w:r>
        <w:t xml:space="preserve">менения характерные для хронического эндометрита. </w:t>
      </w:r>
    </w:p>
    <w:p w:rsidR="00F4654E" w:rsidRDefault="00F4654E">
      <w:pPr>
        <w:pStyle w:val="a6"/>
      </w:pPr>
      <w:r>
        <w:t>Решили, что во время родов и в послеродовом периоде в половых о</w:t>
      </w:r>
      <w:r>
        <w:t>р</w:t>
      </w:r>
      <w:r>
        <w:t>ганах у маток происходят определенные изменения, которые могут быть причиной симптоматического бесплодия.</w:t>
      </w:r>
    </w:p>
    <w:p w:rsidR="00F4654E" w:rsidRDefault="00F4654E">
      <w:pPr>
        <w:pStyle w:val="a6"/>
      </w:pPr>
      <w:r>
        <w:lastRenderedPageBreak/>
        <w:t>Таким образом, считаем, что среди овец при несвоевременном прин</w:t>
      </w:r>
      <w:r>
        <w:t>я</w:t>
      </w:r>
      <w:r>
        <w:t>тии мер после родов задержание последа осложняется послеродовыми э</w:t>
      </w:r>
      <w:r>
        <w:t>н</w:t>
      </w:r>
      <w:r>
        <w:t>дометритами, переходящими в акушерский сепсис и хронические эндоме</w:t>
      </w:r>
      <w:r>
        <w:t>т</w:t>
      </w:r>
      <w:r>
        <w:t>риты, которые являются причиной симптоматического бесплодия. Введ</w:t>
      </w:r>
      <w:r>
        <w:t>е</w:t>
      </w:r>
      <w:r>
        <w:t xml:space="preserve">ние активных лекарственных веществ непосредственно в полость матки специальным катетером показало хорошую эффективность.  </w:t>
      </w:r>
    </w:p>
    <w:p w:rsidR="00F4654E" w:rsidRDefault="00F4654E">
      <w:pPr>
        <w:pStyle w:val="a4"/>
      </w:pPr>
      <w:r>
        <w:t>УДК 619:616.-0532:636.3.</w:t>
      </w:r>
    </w:p>
    <w:p w:rsidR="00F4654E" w:rsidRDefault="00F4654E">
      <w:pPr>
        <w:pStyle w:val="1"/>
      </w:pPr>
      <w:bookmarkStart w:id="5841" w:name="_Toc10731636"/>
      <w:bookmarkStart w:id="5842" w:name="_Toc11138119"/>
      <w:bookmarkStart w:id="5843" w:name="_Toc11138537"/>
      <w:bookmarkStart w:id="5844" w:name="_Toc11138955"/>
      <w:bookmarkStart w:id="5845" w:name="_Toc11139373"/>
      <w:bookmarkStart w:id="5846" w:name="_Toc11139791"/>
      <w:bookmarkStart w:id="5847" w:name="_Toc11140209"/>
      <w:bookmarkStart w:id="5848" w:name="_Toc11140627"/>
      <w:bookmarkStart w:id="5849" w:name="_Toc11390721"/>
      <w:bookmarkStart w:id="5850" w:name="_Toc11840406"/>
      <w:bookmarkStart w:id="5851" w:name="_Toc11937942"/>
      <w:r>
        <w:t>ФАКТОРЫ, ВЛИЯЮЩИЕ НА СОХРАННОСТЬ МОЛОДНЯКА ОВЕЦ</w:t>
      </w:r>
      <w:bookmarkEnd w:id="5841"/>
      <w:bookmarkEnd w:id="5842"/>
      <w:bookmarkEnd w:id="5843"/>
      <w:bookmarkEnd w:id="5844"/>
      <w:bookmarkEnd w:id="5845"/>
      <w:bookmarkEnd w:id="5846"/>
      <w:bookmarkEnd w:id="5847"/>
      <w:bookmarkEnd w:id="5848"/>
      <w:bookmarkEnd w:id="5849"/>
      <w:bookmarkEnd w:id="5850"/>
      <w:bookmarkEnd w:id="5851"/>
    </w:p>
    <w:p w:rsidR="00F4654E" w:rsidRDefault="00F4654E">
      <w:pPr>
        <w:pStyle w:val="2"/>
      </w:pPr>
      <w:bookmarkStart w:id="5852" w:name="_Toc10731637"/>
      <w:bookmarkStart w:id="5853" w:name="_Toc11032423"/>
      <w:bookmarkStart w:id="5854" w:name="_Toc11138120"/>
      <w:bookmarkStart w:id="5855" w:name="_Toc11138538"/>
      <w:bookmarkStart w:id="5856" w:name="_Toc11138956"/>
      <w:bookmarkStart w:id="5857" w:name="_Toc11139374"/>
      <w:bookmarkStart w:id="5858" w:name="_Toc11139792"/>
      <w:bookmarkStart w:id="5859" w:name="_Toc11140210"/>
      <w:bookmarkStart w:id="5860" w:name="_Toc11140628"/>
      <w:bookmarkStart w:id="5861" w:name="_Toc11390722"/>
      <w:bookmarkStart w:id="5862" w:name="_Toc11937943"/>
      <w:r>
        <w:t>Халипаев М.Г.</w:t>
      </w:r>
      <w:bookmarkEnd w:id="5852"/>
      <w:bookmarkEnd w:id="5853"/>
      <w:bookmarkEnd w:id="5854"/>
      <w:bookmarkEnd w:id="5855"/>
      <w:bookmarkEnd w:id="5856"/>
      <w:bookmarkEnd w:id="5857"/>
      <w:bookmarkEnd w:id="5858"/>
      <w:bookmarkEnd w:id="5859"/>
      <w:bookmarkEnd w:id="5860"/>
      <w:bookmarkEnd w:id="5861"/>
      <w:bookmarkEnd w:id="5862"/>
    </w:p>
    <w:p w:rsidR="00F4654E" w:rsidRDefault="00F4654E">
      <w:pPr>
        <w:pStyle w:val="a5"/>
      </w:pPr>
      <w:r>
        <w:t>Дагестанская государственная сельскохозяйственная академия</w:t>
      </w:r>
    </w:p>
    <w:p w:rsidR="00F4654E" w:rsidRDefault="00F4654E">
      <w:pPr>
        <w:pStyle w:val="a6"/>
      </w:pPr>
      <w:r>
        <w:t>Во многих хозяйствах нашей республики к отбивке удается сохранить до 76-80 голов ягнят на 100 овец. В Республике Дагестан технология вед</w:t>
      </w:r>
      <w:r>
        <w:t>е</w:t>
      </w:r>
      <w:r>
        <w:t>ния овцеводства отгонно-пастбищная, т.е. все овцепоголовье два раза в г</w:t>
      </w:r>
      <w:r>
        <w:t>о</w:t>
      </w:r>
      <w:r>
        <w:t>ду перегоняют на летние (май-июнь) и обратно на зимние (сентябрь-октябрь) пастбища. От рождения до отбивки (01.08.-05.08.), потери моло</w:t>
      </w:r>
      <w:r>
        <w:t>д</w:t>
      </w:r>
      <w:r>
        <w:t>няка по разным причинам все еще значительные. Хороший успех в овц</w:t>
      </w:r>
      <w:r>
        <w:t>е</w:t>
      </w:r>
      <w:r>
        <w:t>водстве достигнут в тех хозяйствах, где соотношение процента выжива</w:t>
      </w:r>
      <w:r>
        <w:t>е</w:t>
      </w:r>
      <w:r>
        <w:t>мости ягнят к рождаемости приближается к единице и более. В чем же причины низкой сохранности ягнят?</w:t>
      </w:r>
    </w:p>
    <w:p w:rsidR="00F4654E" w:rsidRDefault="00F4654E">
      <w:pPr>
        <w:pStyle w:val="a6"/>
      </w:pPr>
      <w:r>
        <w:t>На получение приплода оказывает заметное влияние бесплодие маток – которое составляет до 10-14% и определяется обычно по результатами окота. Рождение отдельными матками двоен, хотя и стабилизирует нед</w:t>
      </w:r>
      <w:r>
        <w:t>о</w:t>
      </w:r>
      <w:r>
        <w:t>получение ягнят, но не может решать проблему снижения их выхода и с</w:t>
      </w:r>
      <w:r>
        <w:t>о</w:t>
      </w:r>
      <w:r>
        <w:t>хранения.</w:t>
      </w:r>
    </w:p>
    <w:p w:rsidR="00F4654E" w:rsidRDefault="00F4654E">
      <w:pPr>
        <w:pStyle w:val="a6"/>
      </w:pPr>
      <w:r>
        <w:t>На выживаемость ягнят оказывает влияние так же нарушение при осеменении маток. В большинстве хозяйств бараны допускаемые для ест</w:t>
      </w:r>
      <w:r>
        <w:t>е</w:t>
      </w:r>
      <w:r>
        <w:t>ственного осеменения самок, часто имеют близко родственное происхо</w:t>
      </w:r>
      <w:r>
        <w:t>ж</w:t>
      </w:r>
      <w:r>
        <w:t>дение. Рождаются ягнята при этом с общей слабостью, не жизнеспосо</w:t>
      </w:r>
      <w:r>
        <w:t>б</w:t>
      </w:r>
      <w:r>
        <w:t>ные, с низкой живой массой тела до 2,4-2,6 кг, для сравнения в хозяйствах где проводят искусственное осеменение она составляет 3,2-3,6 и более кг.</w:t>
      </w:r>
    </w:p>
    <w:p w:rsidR="00F4654E" w:rsidRDefault="00F4654E">
      <w:pPr>
        <w:pStyle w:val="a6"/>
      </w:pPr>
      <w:r>
        <w:t>Неудовлетворительная подготовка маток к окотной компании. Суя</w:t>
      </w:r>
      <w:r>
        <w:t>г</w:t>
      </w:r>
      <w:r>
        <w:t>ные матки не получают подкормку концентратами до окота, это сказывае</w:t>
      </w:r>
      <w:r>
        <w:t>т</w:t>
      </w:r>
      <w:r>
        <w:t>ся на подготовке у них вымени к родам и молокообразовании. Отсутствие материнского инстинкта облизывания плода у многих маток приводит к ослаблению ягнят, они остаются мокрыми, не получают молозиво не тол</w:t>
      </w:r>
      <w:r>
        <w:t>ь</w:t>
      </w:r>
      <w:r>
        <w:t>ко в первые два часа жизни но и больше. Овцематки с маломолочностью, атрофированными долями вымени способны к рождению хороших ягнят, но их приходится подсаживать к другим или подкармливать и здесь не удается всех сохранить, что так же ведет к   потере приплода.</w:t>
      </w:r>
    </w:p>
    <w:p w:rsidR="00F4654E" w:rsidRDefault="00F4654E">
      <w:pPr>
        <w:pStyle w:val="a6"/>
      </w:pPr>
      <w:r>
        <w:t>В наших условиях ведения овцеводства большинство ягнят, роди</w:t>
      </w:r>
      <w:r>
        <w:t>в</w:t>
      </w:r>
      <w:r>
        <w:t>шиеся после 01-05 мая так же погибают, они не выдерживают условий в</w:t>
      </w:r>
      <w:r>
        <w:t>е</w:t>
      </w:r>
      <w:r>
        <w:lastRenderedPageBreak/>
        <w:t>сеннего перегона, поэтому завершение осеменения маток к 1-5 декабря в наших условиях вынужденная и правильная ориентация в сроках его пр</w:t>
      </w:r>
      <w:r>
        <w:t>о</w:t>
      </w:r>
      <w:r>
        <w:t>ведения. Наблюдения показывают, что ягнята раннего окота более выно</w:t>
      </w:r>
      <w:r>
        <w:t>с</w:t>
      </w:r>
      <w:r>
        <w:t>ливые и хорошо развиваются, среди них меньше потерь.</w:t>
      </w:r>
    </w:p>
    <w:p w:rsidR="00F4654E" w:rsidRDefault="00F4654E">
      <w:pPr>
        <w:pStyle w:val="a6"/>
      </w:pPr>
      <w:r>
        <w:t>Много ягнят погибают в первые часы (6-8 ч.) и дни (3-4 дня) после родов от белого поноса. Выделения при этом очень жидкие, ягнята из зд</w:t>
      </w:r>
      <w:r>
        <w:t>о</w:t>
      </w:r>
      <w:r>
        <w:t xml:space="preserve">ровых и бодрых быстро становятся вялыми, больными, обезвоженными, слабыми часто с летальным исходом. </w:t>
      </w:r>
    </w:p>
    <w:p w:rsidR="00F4654E" w:rsidRDefault="00F4654E">
      <w:pPr>
        <w:pStyle w:val="a6"/>
      </w:pPr>
      <w:r>
        <w:t>Для лечения больных ягнят мы использовали активные антибиотики внутрь, в сочетании с дачей с ними так же 0,9% раствора хлорида натрия, в 4-5 приемов за 1 день. Внутрь задавали на 1 прием 30-40 мл физиологич</w:t>
      </w:r>
      <w:r>
        <w:t>е</w:t>
      </w:r>
      <w:r>
        <w:t>ского раствора с измельченными до порошкообразной формы 0,5-1,0 та</w:t>
      </w:r>
      <w:r>
        <w:t>б</w:t>
      </w:r>
      <w:r>
        <w:t>леток левомицетина, гентамицина, пенициллина. Желательно провести тест чувствительности, определяя какой антибиотик наиболее эффективен в конкретной ситуации. Больных ягнят необходимо изолировать, остал</w:t>
      </w:r>
      <w:r>
        <w:t>ь</w:t>
      </w:r>
      <w:r>
        <w:t>ным провести лечение активными антибиотиками пока у них не начался понос. На лечение ягнят обычно потребуется до 3-5 дней.</w:t>
      </w:r>
    </w:p>
    <w:p w:rsidR="00F4654E" w:rsidRDefault="00F4654E">
      <w:pPr>
        <w:pStyle w:val="a6"/>
      </w:pPr>
      <w:r>
        <w:t>На наш взгляд рождение и сохранность молодняка напрямую связаны с состоянием организма овцематок, их качественной подготовкой к осем</w:t>
      </w:r>
      <w:r>
        <w:t>е</w:t>
      </w:r>
      <w:r>
        <w:t>нению, родами и их проведением; исключением фактора возможного бли</w:t>
      </w:r>
      <w:r>
        <w:t>з</w:t>
      </w:r>
      <w:r>
        <w:t>кородственного спаривания во время осеменения.</w:t>
      </w:r>
    </w:p>
    <w:p w:rsidR="00F4654E" w:rsidRDefault="00F4654E">
      <w:pPr>
        <w:pStyle w:val="a6"/>
      </w:pPr>
      <w:r>
        <w:t>Для слабых и больных ягнят в первые дни после рождения необход</w:t>
      </w:r>
      <w:r>
        <w:t>и</w:t>
      </w:r>
      <w:r>
        <w:t>мо организовать своевременное кормление и лечение с использованием а</w:t>
      </w:r>
      <w:r>
        <w:t>к</w:t>
      </w:r>
      <w:r>
        <w:t>тивных антибиотиков и физиологического раствора.</w:t>
      </w:r>
    </w:p>
    <w:p w:rsidR="00F4654E" w:rsidRDefault="00F4654E">
      <w:pPr>
        <w:pStyle w:val="1"/>
      </w:pPr>
      <w:bookmarkStart w:id="5863" w:name="_Toc11840408"/>
      <w:bookmarkStart w:id="5864" w:name="_Toc11937944"/>
      <w:r>
        <w:t>Профилактика заболеваний органов дыхания и пищеварения телят с использованием вакцины Комбовак в хозяйствах промышленного типа</w:t>
      </w:r>
      <w:bookmarkEnd w:id="5863"/>
      <w:bookmarkEnd w:id="5864"/>
    </w:p>
    <w:p w:rsidR="00F4654E" w:rsidRDefault="00F4654E">
      <w:pPr>
        <w:pStyle w:val="2"/>
      </w:pPr>
      <w:bookmarkStart w:id="5865" w:name="_Toc11937945"/>
      <w:r>
        <w:t>Хитрова А.Е., Швыдкова М.И.</w:t>
      </w:r>
      <w:bookmarkEnd w:id="5865"/>
    </w:p>
    <w:p w:rsidR="00F4654E" w:rsidRDefault="00F4654E">
      <w:pPr>
        <w:pStyle w:val="a5"/>
      </w:pPr>
      <w:r>
        <w:t xml:space="preserve">НПО «Нарвак» </w:t>
      </w:r>
    </w:p>
    <w:p w:rsidR="00F4654E" w:rsidRDefault="00F4654E">
      <w:pPr>
        <w:pStyle w:val="a6"/>
      </w:pPr>
      <w:r>
        <w:t>В крупных хозяйствах промышленного типа широко распространены массовые заболевания молодняка крупного рогатого скота с признаками поражения органов дыхания и желудочно-кишечного тракта. Наиболее часто причиной заболевания являются вирусы инфекционного ринотр</w:t>
      </w:r>
      <w:r>
        <w:t>а</w:t>
      </w:r>
      <w:r>
        <w:t>хеита, парагриппа типа 3, вирусной диареи, респираторно-синцитиальный, рота- и коронавирусы.  Эти вирусы, как правило, циркулируют в стаде в различных ассоциациях, любой из них может играть ведущую роль в заб</w:t>
      </w:r>
      <w:r>
        <w:t>о</w:t>
      </w:r>
      <w:r>
        <w:t xml:space="preserve">левании. Потери телят от этих болезней могут составлять 15-50%. </w:t>
      </w:r>
    </w:p>
    <w:p w:rsidR="00F4654E" w:rsidRDefault="00F4654E">
      <w:pPr>
        <w:pStyle w:val="a6"/>
      </w:pPr>
      <w:r>
        <w:t>Так, в КП ОКХ «Рассвет» Тюлячинского района Республики Тата</w:t>
      </w:r>
      <w:r>
        <w:t>р</w:t>
      </w:r>
      <w:r>
        <w:t>стан до 1999 года наблюдалась массовая диарея приблизительно у 50% н</w:t>
      </w:r>
      <w:r>
        <w:t>о</w:t>
      </w:r>
      <w:r>
        <w:t>ворожденных телят. Смертность от диареи составляла 26%. Заболева</w:t>
      </w:r>
      <w:r>
        <w:t>е</w:t>
      </w:r>
      <w:r>
        <w:t xml:space="preserve">мость респираторными болезнями составляла 31%, смертность – 6%. В совхозе «Истринский» Истринского района Московской области выбытие </w:t>
      </w:r>
      <w:r>
        <w:lastRenderedPageBreak/>
        <w:t>молодняка на одной из ферм достигало 95%. В НЭХ «Снегири» Истри</w:t>
      </w:r>
      <w:r>
        <w:t>н</w:t>
      </w:r>
      <w:r>
        <w:t>ского района Московской области наблюдался значительный отход телят с 1-месячного возраста с поражением органов дыхания. Отход телят соста</w:t>
      </w:r>
      <w:r>
        <w:t>в</w:t>
      </w:r>
      <w:r>
        <w:t>лял 32,9-38,2% от числа родившихся. В СЗАО «Сергиевское» Коломенск</w:t>
      </w:r>
      <w:r>
        <w:t>о</w:t>
      </w:r>
      <w:r>
        <w:t>го района Московской области отход телят на разных отделениях колеба</w:t>
      </w:r>
      <w:r>
        <w:t>л</w:t>
      </w:r>
      <w:r>
        <w:t>ся от 29,6 до 51,6%. Родившиеся телята часто были недоразвитыми и пог</w:t>
      </w:r>
      <w:r>
        <w:t>и</w:t>
      </w:r>
      <w:r>
        <w:t>бали в первые дни после рождения.</w:t>
      </w:r>
      <w:r w:rsidR="004D29CD">
        <w:t xml:space="preserve"> </w:t>
      </w:r>
      <w:r>
        <w:t>В этих и других хозяйствах мы пров</w:t>
      </w:r>
      <w:r>
        <w:t>е</w:t>
      </w:r>
      <w:r>
        <w:t>ли исследование эффективности применения инактивированной комбин</w:t>
      </w:r>
      <w:r>
        <w:t>и</w:t>
      </w:r>
      <w:r>
        <w:t xml:space="preserve">рованной вакцины </w:t>
      </w:r>
      <w:r>
        <w:rPr>
          <w:caps/>
        </w:rPr>
        <w:t>Комбовак</w:t>
      </w:r>
      <w:r>
        <w:t xml:space="preserve"> (Сергеев В.А., Непоклонов Е.А., Алипер Т.И., 1996), содержащей антигены шести вирусов: инфекционного рино</w:t>
      </w:r>
      <w:r>
        <w:t>т</w:t>
      </w:r>
      <w:r>
        <w:t>рахеита, парагриппа-3, вирусной диареи, респираторно-синцитиальный, рота- и коронавирусы.  Вакцину применяли согласно наставления для и</w:t>
      </w:r>
      <w:r>
        <w:t>м</w:t>
      </w:r>
      <w:r>
        <w:t>мунизации глубокостельных коров и нетелей в дозе 2 мл подкожно дв</w:t>
      </w:r>
      <w:r>
        <w:t>у</w:t>
      </w:r>
      <w:r>
        <w:t>кратно за 50-40 и 15-21 день до отела и телят в дозе 1 мл подкожно в во</w:t>
      </w:r>
      <w:r>
        <w:t>з</w:t>
      </w:r>
      <w:r>
        <w:t>расте 30-40 дней двукратно с интервалом 20-25 дней. Вакцинация не с</w:t>
      </w:r>
      <w:r>
        <w:t>о</w:t>
      </w:r>
      <w:r>
        <w:t>провождалась какими либо осложнениями.</w:t>
      </w:r>
    </w:p>
    <w:p w:rsidR="00F4654E" w:rsidRDefault="00F4654E">
      <w:pPr>
        <w:pStyle w:val="a6"/>
      </w:pPr>
      <w:r>
        <w:t>В результате применения вакцины КОМБОВАК в течение 1-2 лет о</w:t>
      </w:r>
      <w:r>
        <w:t>т</w:t>
      </w:r>
      <w:r>
        <w:t>ход молодняка сократился в 2-4 раза, в частности в ОКХ Рассвет выбытие молодняка снизилась с 26 до 9%, в СЗАО «Сергиевское» – с 29 до 6%.</w:t>
      </w:r>
      <w:r w:rsidR="004D29CD">
        <w:t xml:space="preserve"> </w:t>
      </w:r>
      <w:r>
        <w:t>Р</w:t>
      </w:r>
      <w:r>
        <w:t>е</w:t>
      </w:r>
      <w:r>
        <w:t>зультаты применения вакцины К</w:t>
      </w:r>
      <w:r>
        <w:rPr>
          <w:caps/>
        </w:rPr>
        <w:t>омбовак</w:t>
      </w:r>
      <w:r>
        <w:t xml:space="preserve"> показали ее безвре</w:t>
      </w:r>
      <w:r>
        <w:t>д</w:t>
      </w:r>
      <w:r>
        <w:t>ность для стельных коров и новорожденных телят и высокую эффективность в бор</w:t>
      </w:r>
      <w:r>
        <w:t>ь</w:t>
      </w:r>
      <w:r>
        <w:t>бе с массовыми вирусными болезнями молодняка крупного рогатого скота.</w:t>
      </w:r>
    </w:p>
    <w:p w:rsidR="00F4654E" w:rsidRDefault="00F4654E">
      <w:pPr>
        <w:pStyle w:val="a4"/>
      </w:pPr>
      <w:r>
        <w:t>УДК 619:616-006:576.3:616-07:636.7</w:t>
      </w:r>
    </w:p>
    <w:p w:rsidR="00F4654E" w:rsidRDefault="00F4654E">
      <w:pPr>
        <w:pStyle w:val="1"/>
      </w:pPr>
      <w:bookmarkStart w:id="5866" w:name="_Toc10731638"/>
      <w:bookmarkStart w:id="5867" w:name="_Toc11138121"/>
      <w:bookmarkStart w:id="5868" w:name="_Toc11138539"/>
      <w:bookmarkStart w:id="5869" w:name="_Toc11138957"/>
      <w:bookmarkStart w:id="5870" w:name="_Toc11139375"/>
      <w:bookmarkStart w:id="5871" w:name="_Toc11139793"/>
      <w:bookmarkStart w:id="5872" w:name="_Toc11140211"/>
      <w:bookmarkStart w:id="5873" w:name="_Toc11140629"/>
      <w:bookmarkStart w:id="5874" w:name="_Toc11390723"/>
      <w:bookmarkStart w:id="5875" w:name="_Toc11840410"/>
      <w:bookmarkStart w:id="5876" w:name="_Toc11937946"/>
      <w:r>
        <w:t>ЭФФЕКТИВНОСТЬ ЦИТОЛОГИЧЕСКОГО МЕТОДА ДИАГНОСТИКИ НОВООБРАЗОВАНИЙ У СОБАК</w:t>
      </w:r>
      <w:bookmarkEnd w:id="5866"/>
      <w:bookmarkEnd w:id="5867"/>
      <w:bookmarkEnd w:id="5868"/>
      <w:bookmarkEnd w:id="5869"/>
      <w:bookmarkEnd w:id="5870"/>
      <w:bookmarkEnd w:id="5871"/>
      <w:bookmarkEnd w:id="5872"/>
      <w:bookmarkEnd w:id="5873"/>
      <w:bookmarkEnd w:id="5874"/>
      <w:bookmarkEnd w:id="5875"/>
      <w:bookmarkEnd w:id="5876"/>
    </w:p>
    <w:p w:rsidR="00F4654E" w:rsidRDefault="00F4654E">
      <w:pPr>
        <w:pStyle w:val="2"/>
      </w:pPr>
      <w:bookmarkStart w:id="5877" w:name="_Toc10731639"/>
      <w:bookmarkStart w:id="5878" w:name="_Toc11032424"/>
      <w:bookmarkStart w:id="5879" w:name="_Toc11138122"/>
      <w:bookmarkStart w:id="5880" w:name="_Toc11138540"/>
      <w:bookmarkStart w:id="5881" w:name="_Toc11138958"/>
      <w:bookmarkStart w:id="5882" w:name="_Toc11139376"/>
      <w:bookmarkStart w:id="5883" w:name="_Toc11139794"/>
      <w:bookmarkStart w:id="5884" w:name="_Toc11140212"/>
      <w:bookmarkStart w:id="5885" w:name="_Toc11140630"/>
      <w:bookmarkStart w:id="5886" w:name="_Toc11390724"/>
      <w:bookmarkStart w:id="5887" w:name="_Toc11937947"/>
      <w:r>
        <w:t>Цепковская С.Н., Гладков Б.А., Трояновская Л.П.</w:t>
      </w:r>
      <w:bookmarkEnd w:id="5877"/>
      <w:bookmarkEnd w:id="5878"/>
      <w:bookmarkEnd w:id="5879"/>
      <w:bookmarkEnd w:id="5880"/>
      <w:bookmarkEnd w:id="5881"/>
      <w:bookmarkEnd w:id="5882"/>
      <w:bookmarkEnd w:id="5883"/>
      <w:bookmarkEnd w:id="5884"/>
      <w:bookmarkEnd w:id="5885"/>
      <w:bookmarkEnd w:id="5886"/>
      <w:bookmarkEnd w:id="5887"/>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В клинической онкологической практике, не располагая данными морфологического исследования, невозможно установить точный и ранний диагноз опухоли, назначить соответствующее лечение, определить опт</w:t>
      </w:r>
      <w:r>
        <w:t>и</w:t>
      </w:r>
      <w:r>
        <w:t>мальные границы объёма и степени радикальности операций, учесть теч</w:t>
      </w:r>
      <w:r>
        <w:t>е</w:t>
      </w:r>
      <w:r>
        <w:t>ние и прогноз заболевания.</w:t>
      </w:r>
      <w:r w:rsidR="004D29CD">
        <w:t xml:space="preserve"> </w:t>
      </w:r>
      <w:r>
        <w:t>Знание цитологических особенностей опухолей и опухолевидных образований, быстрота приготовления препаратов и м</w:t>
      </w:r>
      <w:r>
        <w:t>и</w:t>
      </w:r>
      <w:r>
        <w:t>нимальное число н</w:t>
      </w:r>
      <w:r>
        <w:t>е</w:t>
      </w:r>
      <w:r>
        <w:t>благоприятных воздействий, оказываемых на организм выполнением диагностических процедур позволяют применять цитолог</w:t>
      </w:r>
      <w:r>
        <w:t>и</w:t>
      </w:r>
      <w:r>
        <w:t>ческий метод в срочной диагностике различных новообразований у собак.</w:t>
      </w:r>
    </w:p>
    <w:p w:rsidR="00F4654E" w:rsidRDefault="00F4654E">
      <w:pPr>
        <w:pStyle w:val="a6"/>
      </w:pPr>
      <w:r>
        <w:t>Анализ результатов цитологической диагностики поражений моло</w:t>
      </w:r>
      <w:r>
        <w:t>ч</w:t>
      </w:r>
      <w:r>
        <w:t>ных желёз позволил выявить высокую точность и эффективность метода. Доброкачественные процессы при тщательном исследовании цитологич</w:t>
      </w:r>
      <w:r>
        <w:t>е</w:t>
      </w:r>
      <w:r>
        <w:t>ского препарата чётко дифференцируются от рака молочной железы, кот</w:t>
      </w:r>
      <w:r>
        <w:t>о</w:t>
      </w:r>
      <w:r>
        <w:lastRenderedPageBreak/>
        <w:t>рый характеризуется клеточными элементами, имеющими ярко выраже</w:t>
      </w:r>
      <w:r>
        <w:t>н</w:t>
      </w:r>
      <w:r>
        <w:t xml:space="preserve">ные критерии злокачественности. </w:t>
      </w:r>
    </w:p>
    <w:p w:rsidR="00F4654E" w:rsidRDefault="00F4654E">
      <w:pPr>
        <w:pStyle w:val="a6"/>
      </w:pPr>
      <w:r>
        <w:t>Возможности цитологического метода в определении гистологич</w:t>
      </w:r>
      <w:r>
        <w:t>е</w:t>
      </w:r>
      <w:r>
        <w:t>ской формы опухоли ограничены, так как при большинстве доброкачес</w:t>
      </w:r>
      <w:r>
        <w:t>т</w:t>
      </w:r>
      <w:r>
        <w:t>венных процессов не удаётся указать гистологическую форму опухоли. Тип рака молочной железы удаётся определить достоверно при наличии цитологических критериев, свидетельствующих об особенностях гистог</w:t>
      </w:r>
      <w:r>
        <w:t>е</w:t>
      </w:r>
      <w:r>
        <w:t>неза опухоли (рак Педжета, рак с хондроидной метаплазией) и при нал</w:t>
      </w:r>
      <w:r>
        <w:t>и</w:t>
      </w:r>
      <w:r>
        <w:t>чии определённых межклеточных связей (аденокарцинома).</w:t>
      </w:r>
    </w:p>
    <w:p w:rsidR="00F4654E" w:rsidRDefault="00F4654E">
      <w:pPr>
        <w:pStyle w:val="a6"/>
      </w:pPr>
      <w:r>
        <w:t>Цитологические исследования опухолей наружных половых органов (трансмиссивные саркомы, круглоклеточные саркомы) дали положител</w:t>
      </w:r>
      <w:r>
        <w:t>ь</w:t>
      </w:r>
      <w:r>
        <w:t>ные результаты. Однако тонкая верификация этих новообразований во</w:t>
      </w:r>
      <w:r>
        <w:t>з</w:t>
      </w:r>
      <w:r>
        <w:t>можна только с учётом клинических проявлений, макроскопического вида опухолей и результатов гистологических исследований, так как цитолог</w:t>
      </w:r>
      <w:r>
        <w:t>и</w:t>
      </w:r>
      <w:r>
        <w:t>ческие и морфологические критерии трансмиссивных и круглоклеточных сарком весьма сходны.</w:t>
      </w:r>
      <w:r w:rsidR="004D29CD">
        <w:t xml:space="preserve"> </w:t>
      </w:r>
      <w:r>
        <w:t>Эффективность цитологической диагностики при новообразованиях перианальных желёз оказалась высокой: данные гист</w:t>
      </w:r>
      <w:r>
        <w:t>о</w:t>
      </w:r>
      <w:r>
        <w:t>логических исследований полностью совпадают с результатом исследов</w:t>
      </w:r>
      <w:r>
        <w:t>а</w:t>
      </w:r>
      <w:r>
        <w:t>ния цитограмм.</w:t>
      </w:r>
      <w:r w:rsidR="004D29CD">
        <w:t xml:space="preserve"> </w:t>
      </w:r>
      <w:r>
        <w:t>В диагностике опухолей кожи оправдано применение ц</w:t>
      </w:r>
      <w:r>
        <w:t>и</w:t>
      </w:r>
      <w:r>
        <w:t>тологических исследований, ценность которых возрастает в случаях, и</w:t>
      </w:r>
      <w:r>
        <w:t>с</w:t>
      </w:r>
      <w:r>
        <w:t>ключающих во</w:t>
      </w:r>
      <w:r>
        <w:t>з</w:t>
      </w:r>
      <w:r>
        <w:t xml:space="preserve">можность проведения биопсии до начала лечения (малый размер опухоли, подозрение на меланому). </w:t>
      </w:r>
    </w:p>
    <w:p w:rsidR="00F4654E" w:rsidRDefault="00F4654E">
      <w:pPr>
        <w:pStyle w:val="a6"/>
      </w:pPr>
      <w:r>
        <w:t>Цитологические картины базалиомы, плоскоклеточного ороговева</w:t>
      </w:r>
      <w:r>
        <w:t>ю</w:t>
      </w:r>
      <w:r>
        <w:t>щего и неороговевающего рака позволяют ставить точный диагноз с ук</w:t>
      </w:r>
      <w:r>
        <w:t>а</w:t>
      </w:r>
      <w:r>
        <w:t>занием гистологической формы опухоли. Злокачественные опухоли пот</w:t>
      </w:r>
      <w:r>
        <w:t>о</w:t>
      </w:r>
      <w:r>
        <w:t>вых, серных и сальных желёз в цитограммах имеют выраженные признаки железистого рака, однако уточнение гистологической формы опухоли з</w:t>
      </w:r>
      <w:r>
        <w:t>а</w:t>
      </w:r>
      <w:r>
        <w:t>труднительно. При большинстве доброкачественных опухолей и опухол</w:t>
      </w:r>
      <w:r>
        <w:t>е</w:t>
      </w:r>
      <w:r>
        <w:t>подобных процессов кожи в цитологических препаратах выявляются кл</w:t>
      </w:r>
      <w:r>
        <w:t>е</w:t>
      </w:r>
      <w:r>
        <w:t>точные элементы эпидермиса всех слоёв, что делает невозможным опред</w:t>
      </w:r>
      <w:r>
        <w:t>е</w:t>
      </w:r>
      <w:r>
        <w:t>ление гистологической формы новообразования.</w:t>
      </w:r>
    </w:p>
    <w:p w:rsidR="00F4654E" w:rsidRDefault="00F4654E">
      <w:pPr>
        <w:pStyle w:val="a6"/>
      </w:pPr>
      <w:r>
        <w:t>Сопоставление данных гистологического и цитологического исслед</w:t>
      </w:r>
      <w:r>
        <w:t>о</w:t>
      </w:r>
      <w:r>
        <w:t>вания расширяет возможности использования цитологического метода в правильной и ранней диагностике различных новообразований у собак.</w:t>
      </w:r>
    </w:p>
    <w:p w:rsidR="00F4654E" w:rsidRDefault="00F4654E">
      <w:pPr>
        <w:pStyle w:val="a4"/>
      </w:pPr>
      <w:r>
        <w:t>УДК 619.615.9.616.097</w:t>
      </w:r>
    </w:p>
    <w:p w:rsidR="00F4654E" w:rsidRDefault="00F4654E">
      <w:pPr>
        <w:pStyle w:val="1"/>
      </w:pPr>
      <w:bookmarkStart w:id="5888" w:name="_Toc10731640"/>
      <w:bookmarkStart w:id="5889" w:name="_Toc11138123"/>
      <w:bookmarkStart w:id="5890" w:name="_Toc11138541"/>
      <w:bookmarkStart w:id="5891" w:name="_Toc11138959"/>
      <w:bookmarkStart w:id="5892" w:name="_Toc11139377"/>
      <w:bookmarkStart w:id="5893" w:name="_Toc11139795"/>
      <w:bookmarkStart w:id="5894" w:name="_Toc11140213"/>
      <w:bookmarkStart w:id="5895" w:name="_Toc11140631"/>
      <w:bookmarkStart w:id="5896" w:name="_Toc11390725"/>
      <w:bookmarkStart w:id="5897" w:name="_Toc11840412"/>
      <w:bookmarkStart w:id="5898" w:name="_Toc11937948"/>
      <w:r>
        <w:t>ИММУННЫЙ СТАТУС ЖИВОТНЫХ ПРИ ПРОТИВОПАРАЗИТАРНОЙ ОБРАБОТКЕ ХЛОРОФОСОМ</w:t>
      </w:r>
      <w:bookmarkEnd w:id="5888"/>
      <w:bookmarkEnd w:id="5889"/>
      <w:bookmarkEnd w:id="5890"/>
      <w:bookmarkEnd w:id="5891"/>
      <w:bookmarkEnd w:id="5892"/>
      <w:bookmarkEnd w:id="5893"/>
      <w:bookmarkEnd w:id="5894"/>
      <w:bookmarkEnd w:id="5895"/>
      <w:bookmarkEnd w:id="5896"/>
      <w:bookmarkEnd w:id="5897"/>
      <w:bookmarkEnd w:id="5898"/>
    </w:p>
    <w:p w:rsidR="00F4654E" w:rsidRDefault="00F4654E">
      <w:pPr>
        <w:pStyle w:val="2"/>
      </w:pPr>
      <w:bookmarkStart w:id="5899" w:name="_Toc10731641"/>
      <w:bookmarkStart w:id="5900" w:name="_Toc11032425"/>
      <w:bookmarkStart w:id="5901" w:name="_Toc11138124"/>
      <w:bookmarkStart w:id="5902" w:name="_Toc11138542"/>
      <w:bookmarkStart w:id="5903" w:name="_Toc11138960"/>
      <w:bookmarkStart w:id="5904" w:name="_Toc11139378"/>
      <w:bookmarkStart w:id="5905" w:name="_Toc11139796"/>
      <w:bookmarkStart w:id="5906" w:name="_Toc11140214"/>
      <w:bookmarkStart w:id="5907" w:name="_Toc11140632"/>
      <w:bookmarkStart w:id="5908" w:name="_Toc11390726"/>
      <w:bookmarkStart w:id="5909" w:name="_Toc11937949"/>
      <w:r>
        <w:t>Цыремпилов П.Б.</w:t>
      </w:r>
      <w:bookmarkEnd w:id="5899"/>
      <w:bookmarkEnd w:id="5900"/>
      <w:bookmarkEnd w:id="5901"/>
      <w:bookmarkEnd w:id="5902"/>
      <w:bookmarkEnd w:id="5903"/>
      <w:bookmarkEnd w:id="5904"/>
      <w:bookmarkEnd w:id="5905"/>
      <w:bookmarkEnd w:id="5906"/>
      <w:bookmarkEnd w:id="5907"/>
      <w:bookmarkEnd w:id="5908"/>
      <w:bookmarkEnd w:id="5909"/>
    </w:p>
    <w:p w:rsidR="00F4654E" w:rsidRDefault="00F4654E">
      <w:pPr>
        <w:pStyle w:val="a5"/>
      </w:pPr>
      <w:r>
        <w:t>Бурятская государственная сельскохозяйственная академия им. В.Р. Филиппова</w:t>
      </w:r>
    </w:p>
    <w:p w:rsidR="00F4654E" w:rsidRDefault="00F4654E">
      <w:pPr>
        <w:pStyle w:val="a6"/>
      </w:pPr>
      <w:r>
        <w:t xml:space="preserve">Экологический кризис, обусловленный научно-техническим прогрес-сом в промышленности и сельском хозяйстве, определяет необходимость </w:t>
      </w:r>
      <w:r>
        <w:lastRenderedPageBreak/>
        <w:t>изучения влияния многих химических веществ антропогенного происхо</w:t>
      </w:r>
      <w:r>
        <w:t>ж</w:t>
      </w:r>
      <w:r>
        <w:t>дения на организм животных и людей, в частности на иммунологическую реактивность, в связи частыми проявлениями иммунодепрессивного э</w:t>
      </w:r>
      <w:r>
        <w:t>ф</w:t>
      </w:r>
      <w:r>
        <w:t>фекта при поступлении в организм этих соединений  в составе загрязне</w:t>
      </w:r>
      <w:r>
        <w:t>н</w:t>
      </w:r>
      <w:r>
        <w:t>ного корма, воды и воздуха. Пестициды могут проникать в организм ж</w:t>
      </w:r>
      <w:r>
        <w:t>и</w:t>
      </w:r>
      <w:r>
        <w:t>вотных также непосредственно при обработке их, так как многие из них широко используются в ветеринарной практике в качестве инсекто - ак</w:t>
      </w:r>
      <w:r>
        <w:t>а</w:t>
      </w:r>
      <w:r>
        <w:t>рицидных средств. В этой связи, задача исследований заключалась в оце</w:t>
      </w:r>
      <w:r>
        <w:t>н</w:t>
      </w:r>
      <w:r>
        <w:t>ке иммунотропной активности хлорофоса при противопаразитарной обр</w:t>
      </w:r>
      <w:r>
        <w:t>а</w:t>
      </w:r>
      <w:r>
        <w:t>ботке животных.</w:t>
      </w:r>
    </w:p>
    <w:p w:rsidR="00F4654E" w:rsidRDefault="00F4654E">
      <w:pPr>
        <w:pStyle w:val="a6"/>
      </w:pPr>
      <w:r>
        <w:t>У животных, обработанных гиподермин - хлорофосом, некоторые г</w:t>
      </w:r>
      <w:r>
        <w:t>е</w:t>
      </w:r>
      <w:r>
        <w:t>матологические и иммунологические показатели значительно отличаются от контрольных. Уровень гемоглобина и количество эритроцитов через 3 суток после обработки были достоверно ниже, чем у контрольных живо</w:t>
      </w:r>
      <w:r>
        <w:t>т</w:t>
      </w:r>
      <w:r>
        <w:t>ных, а количество лейкоцитов достоверно выше. Количественный анализ отдельных линий лейкоцитарных клеток в циркуляции выявил повышение общего числа лейкоцитов у подопытных животных за счет увеличения к</w:t>
      </w:r>
      <w:r>
        <w:t>о</w:t>
      </w:r>
      <w:r>
        <w:t>личества палочко- и сегментоядерных нейтрофилов, эозинофилов. Пов</w:t>
      </w:r>
      <w:r>
        <w:t>ы</w:t>
      </w:r>
      <w:r>
        <w:t>шение в лейкограмме числа молодых форм нейтрофилов свойственно и</w:t>
      </w:r>
      <w:r>
        <w:t>н</w:t>
      </w:r>
      <w:r>
        <w:t>токсикации организма. Увеличение числа эозинофилов свидетельствует о стрессовом состоянии организма в результате обработки. Обработка ж</w:t>
      </w:r>
      <w:r>
        <w:t>и</w:t>
      </w:r>
      <w:r>
        <w:t>вотных гиподермин - хлорофосом, также подавляла активность гуморал</w:t>
      </w:r>
      <w:r>
        <w:t>ь</w:t>
      </w:r>
      <w:r>
        <w:t>ных и клеточных факторов естественной резистентности. Максимальное снижение этих показателей приходилось на 3-е сутки после обработки и составляло в среднем 1,6 – 1,7 раза. При исследовании уровня Т- и В - лимфоцитов в периферической крови животных, обработанных гиподе</w:t>
      </w:r>
      <w:r>
        <w:t>р</w:t>
      </w:r>
      <w:r>
        <w:t>мин - хлорофосом, было выявлено снижение Е- и ЕАС- розеткообразу</w:t>
      </w:r>
      <w:r>
        <w:t>ю</w:t>
      </w:r>
      <w:r>
        <w:t>щей способности лимфоцитов. Минимальное количество этих клеток  в</w:t>
      </w:r>
      <w:r>
        <w:t>ы</w:t>
      </w:r>
      <w:r>
        <w:t>явлено на 3-е сутки и достоверно отличался от показателей контроля.</w:t>
      </w:r>
    </w:p>
    <w:p w:rsidR="00F4654E" w:rsidRDefault="00F4654E">
      <w:pPr>
        <w:pStyle w:val="a6"/>
      </w:pPr>
      <w:r>
        <w:t>Анализ данных, полученных на 10-е сутки после обработки, свиде-тельствовали о процессе восстановления показателей иммунологической    реактивности у подопытных животных, хотя активность гуморальных фа</w:t>
      </w:r>
      <w:r>
        <w:t>к</w:t>
      </w:r>
      <w:r>
        <w:t>торов естественной резистентности и уровни иммунокомпетентных клеток оставались ещё достоверно низкими по сравнению с контрольным показ</w:t>
      </w:r>
      <w:r>
        <w:t>а</w:t>
      </w:r>
      <w:r>
        <w:t>телями.</w:t>
      </w:r>
    </w:p>
    <w:p w:rsidR="00F4654E" w:rsidRDefault="00F4654E">
      <w:pPr>
        <w:pStyle w:val="a6"/>
      </w:pPr>
      <w:r>
        <w:t>Показатели иммунологической реактивности у подопытных животных на 20-е сутки после обработки практически не отличались от контрольных.</w:t>
      </w:r>
    </w:p>
    <w:p w:rsidR="00F4654E" w:rsidRDefault="00F4654E">
      <w:pPr>
        <w:pStyle w:val="a6"/>
      </w:pPr>
      <w:r>
        <w:t>Таким образом, при применении гиподермин - хлорофоса животным в противопаразитарных целях, приводит к изменению иммунологической реактивности организма, выражающееся в угнетении активности её кл</w:t>
      </w:r>
      <w:r>
        <w:t>е</w:t>
      </w:r>
      <w:r>
        <w:t>точных и гуморальных факторов, особенно в первые 3-е суток.</w:t>
      </w:r>
    </w:p>
    <w:p w:rsidR="004D29CD" w:rsidRDefault="004D29CD">
      <w:pPr>
        <w:pStyle w:val="a4"/>
      </w:pPr>
    </w:p>
    <w:p w:rsidR="00F4654E" w:rsidRDefault="00F4654E">
      <w:pPr>
        <w:pStyle w:val="a4"/>
      </w:pPr>
      <w:r>
        <w:lastRenderedPageBreak/>
        <w:t>УДК 619:615.9:619:616-092:619:615</w:t>
      </w:r>
    </w:p>
    <w:p w:rsidR="00F4654E" w:rsidRDefault="00F4654E">
      <w:pPr>
        <w:pStyle w:val="1"/>
      </w:pPr>
      <w:bookmarkStart w:id="5910" w:name="_Toc10731642"/>
      <w:bookmarkStart w:id="5911" w:name="_Toc11138125"/>
      <w:bookmarkStart w:id="5912" w:name="_Toc11138543"/>
      <w:bookmarkStart w:id="5913" w:name="_Toc11138961"/>
      <w:bookmarkStart w:id="5914" w:name="_Toc11139379"/>
      <w:bookmarkStart w:id="5915" w:name="_Toc11139797"/>
      <w:bookmarkStart w:id="5916" w:name="_Toc11140215"/>
      <w:bookmarkStart w:id="5917" w:name="_Toc11140633"/>
      <w:bookmarkStart w:id="5918" w:name="_Toc11390727"/>
      <w:bookmarkStart w:id="5919" w:name="_Toc11840414"/>
      <w:bookmarkStart w:id="5920" w:name="_Toc11937950"/>
      <w:r>
        <w:t>КЛЕТОЧНЫЕ И ГУМОРАЛЬНЫЕ ФАКТОРЫ ЕСТЕСТВЕННОЙ РЕЗИСТЕНТНОСТИ ЖИВОТНЫХ ПРИ ВОЗДЕЙСТВИИ ПЕСТИЦИДОВ</w:t>
      </w:r>
      <w:bookmarkEnd w:id="5910"/>
      <w:bookmarkEnd w:id="5911"/>
      <w:bookmarkEnd w:id="5912"/>
      <w:bookmarkEnd w:id="5913"/>
      <w:bookmarkEnd w:id="5914"/>
      <w:bookmarkEnd w:id="5915"/>
      <w:bookmarkEnd w:id="5916"/>
      <w:bookmarkEnd w:id="5917"/>
      <w:bookmarkEnd w:id="5918"/>
      <w:bookmarkEnd w:id="5919"/>
      <w:bookmarkEnd w:id="5920"/>
    </w:p>
    <w:p w:rsidR="00F4654E" w:rsidRDefault="00F4654E">
      <w:pPr>
        <w:pStyle w:val="2"/>
      </w:pPr>
      <w:bookmarkStart w:id="5921" w:name="_Toc10731643"/>
      <w:bookmarkStart w:id="5922" w:name="_Toc11032426"/>
      <w:bookmarkStart w:id="5923" w:name="_Toc11138126"/>
      <w:bookmarkStart w:id="5924" w:name="_Toc11138544"/>
      <w:bookmarkStart w:id="5925" w:name="_Toc11138962"/>
      <w:bookmarkStart w:id="5926" w:name="_Toc11139380"/>
      <w:bookmarkStart w:id="5927" w:name="_Toc11139798"/>
      <w:bookmarkStart w:id="5928" w:name="_Toc11140216"/>
      <w:bookmarkStart w:id="5929" w:name="_Toc11140634"/>
      <w:bookmarkStart w:id="5930" w:name="_Toc11390728"/>
      <w:bookmarkStart w:id="5931" w:name="_Toc11937951"/>
      <w:r>
        <w:t>Цыремпилов П.Б.</w:t>
      </w:r>
      <w:bookmarkEnd w:id="5921"/>
      <w:bookmarkEnd w:id="5922"/>
      <w:bookmarkEnd w:id="5923"/>
      <w:bookmarkEnd w:id="5924"/>
      <w:bookmarkEnd w:id="5925"/>
      <w:bookmarkEnd w:id="5926"/>
      <w:bookmarkEnd w:id="5927"/>
      <w:bookmarkEnd w:id="5928"/>
      <w:bookmarkEnd w:id="5929"/>
      <w:bookmarkEnd w:id="5930"/>
      <w:bookmarkEnd w:id="5931"/>
    </w:p>
    <w:p w:rsidR="00F4654E" w:rsidRDefault="00F4654E">
      <w:pPr>
        <w:pStyle w:val="a5"/>
      </w:pPr>
      <w:r>
        <w:t>Бурятская государственная сельскохозяйственная академия им. В.Р. Филиппова</w:t>
      </w:r>
    </w:p>
    <w:p w:rsidR="00F4654E" w:rsidRDefault="00F4654E">
      <w:pPr>
        <w:pStyle w:val="a6"/>
      </w:pPr>
      <w:r>
        <w:t>В настоящее время проблема пестицидной опасности приобретает все большую остроту в связи с возрастающими масштабами их использования. Острое и хроническое воздействие пестицидов на организм человека и ж</w:t>
      </w:r>
      <w:r>
        <w:t>и</w:t>
      </w:r>
      <w:r>
        <w:t>вотных приводит возникновению целого ряда хронических заболеваний, в том числе обменного, онкологического и иммунного характера.</w:t>
      </w:r>
    </w:p>
    <w:p w:rsidR="00F4654E" w:rsidRDefault="00F4654E">
      <w:pPr>
        <w:pStyle w:val="a6"/>
      </w:pPr>
      <w:r>
        <w:t>В этой связи, в эксперименте на кроликах изучено воздействие пести-цидов: хлорофоса, гексахлорциклогексана (ГХЦГ) и диметиламмониевой соли 2,4- дихлорфеноксиуксусной кислоты (2,4 – ДДМА) на факторы ест</w:t>
      </w:r>
      <w:r>
        <w:t>е</w:t>
      </w:r>
      <w:r>
        <w:t xml:space="preserve">ственной резистентности, при ежедневном введении внутрь в </w:t>
      </w:r>
    </w:p>
    <w:p w:rsidR="00F4654E" w:rsidRDefault="00F4654E">
      <w:pPr>
        <w:pStyle w:val="a6"/>
      </w:pPr>
      <w:r>
        <w:t>При введении кроликам хлорофоса в дозе 32 мг/кг бактерицидная а</w:t>
      </w:r>
      <w:r>
        <w:t>к</w:t>
      </w:r>
      <w:r>
        <w:t>тивность сыворотки крови (БАСК) в первые 2 недели опыта не отличалась от активности сыворотки крови животных контрольной группы. Через 4 недели БАСК резко снизилась и оставалась на низком уровне до конца опыта. При введении хлорофоса в дозе 3,2 мг/кг снижение БАСК началось уже через 2 недели (до 50% контрольного уровня). В последующие сроки сохранялись низкие значения БАСК, а через 8 недель после начала введ</w:t>
      </w:r>
      <w:r>
        <w:t>е</w:t>
      </w:r>
      <w:r>
        <w:t>ния хлорофоса БАСК вообще не определялась.</w:t>
      </w:r>
    </w:p>
    <w:p w:rsidR="00F4654E" w:rsidRDefault="00F4654E">
      <w:pPr>
        <w:pStyle w:val="a6"/>
      </w:pPr>
      <w:r>
        <w:t>Под действием 2,4-ДДМА в дозе 40 мг/кг БАСК снизилась через 4 н</w:t>
      </w:r>
      <w:r>
        <w:t>е</w:t>
      </w:r>
      <w:r>
        <w:t>дели до нулевых значений у всех подопытных кроликов. В дальнейшем наблюдалось некоторое восстановление активности, и к концу опыта вел</w:t>
      </w:r>
      <w:r>
        <w:t>и</w:t>
      </w:r>
      <w:r>
        <w:t>чина БАСК была в 11,2 раза ниже уровня контрольной группы. При введ</w:t>
      </w:r>
      <w:r>
        <w:t>е</w:t>
      </w:r>
      <w:r>
        <w:t>нии 2,4-ДДМА в дозе 4 мг/кг максимальное снижение БАСК наступило позже (через 8 недель) и было менее выраженным, чем при использовании 2,4-ДДМА в дозе 40 мг/кг.</w:t>
      </w:r>
    </w:p>
    <w:p w:rsidR="00F4654E" w:rsidRDefault="00F4654E">
      <w:pPr>
        <w:pStyle w:val="a6"/>
      </w:pPr>
      <w:r>
        <w:t>При введении кроликам ГХЦГ в дозе 9,4 мг/кг, БАСК снизилась в 4 раза через 4 недели после начала введения, а затем вообще не определ</w:t>
      </w:r>
      <w:r>
        <w:t>я</w:t>
      </w:r>
      <w:r>
        <w:t>лась. ГХЦГ в дозе 4,7 мг/кг вызывал более плавное снижение БАСК, одн</w:t>
      </w:r>
      <w:r>
        <w:t>а</w:t>
      </w:r>
      <w:r>
        <w:t>ко, как и у животных предыдущей группы, через 6 и 8 недель определить бактерицидную активность сывороток не удавалось.</w:t>
      </w:r>
    </w:p>
    <w:p w:rsidR="00F4654E" w:rsidRDefault="00F4654E">
      <w:pPr>
        <w:pStyle w:val="a6"/>
      </w:pPr>
      <w:r>
        <w:t>Под действием хлорофоса в дозе 32 мг/кг концентрация лизоцима в сыворотке крови кроликов начала снижаться через 4 недели, и дошла до нулевых значений через 8 недель. При введении хлорофоса в дозе 3,2 мг/кг концентрация лизоцима также снизилась через 4 недели, однако, это сн</w:t>
      </w:r>
      <w:r>
        <w:t>и</w:t>
      </w:r>
      <w:r>
        <w:t>жение было значительно менее выраженным, чем в предыдущей группе. Через 6 и 8 недель сыворотки крови вообще не лизировали тест - объект.</w:t>
      </w:r>
    </w:p>
    <w:p w:rsidR="00F4654E" w:rsidRDefault="00F4654E">
      <w:pPr>
        <w:pStyle w:val="a6"/>
      </w:pPr>
      <w:r>
        <w:t>В течение первого месяца введения 2,4-ДДМА в дозе 40 мг/кг сущес</w:t>
      </w:r>
      <w:r>
        <w:t>т</w:t>
      </w:r>
      <w:r>
        <w:t>венных отличий в концентрации лизоцима в сыворотках крови подопы</w:t>
      </w:r>
      <w:r>
        <w:t>т</w:t>
      </w:r>
      <w:r>
        <w:lastRenderedPageBreak/>
        <w:t>ных и контрольных животных не было. Через 6 недель концентрация лиз</w:t>
      </w:r>
      <w:r>
        <w:t>о</w:t>
      </w:r>
      <w:r>
        <w:t>цима в сыворотке крови подопытных кроликов превышала контрольный уровень в 1,37 раза, а через 8 недель снизилась в 6,5 раза, относительно контроля. У кроликов, при введении 2,4-ДДМА в дозе 4 мг/кг, наблюд</w:t>
      </w:r>
      <w:r>
        <w:t>а</w:t>
      </w:r>
      <w:r>
        <w:t>лось стойкое повышение концентрации лизоцима, которое лишь через 8 недель сменилось снижением в 1,5 раза.</w:t>
      </w:r>
    </w:p>
    <w:p w:rsidR="00F4654E" w:rsidRDefault="00F4654E">
      <w:pPr>
        <w:pStyle w:val="a6"/>
      </w:pPr>
      <w:r>
        <w:t>При введении кроликам ГХЦГ изменение концентрации лизоцима в сыворотке крови характеризовалось двухфазностью. Длительность и в</w:t>
      </w:r>
      <w:r>
        <w:t>ы</w:t>
      </w:r>
      <w:r>
        <w:t>раженность пика первой фазы повышения концентрации лизоцима нах</w:t>
      </w:r>
      <w:r>
        <w:t>о</w:t>
      </w:r>
      <w:r>
        <w:t>дилась в обратной зависимости от примененной дозы ГХЦГ. Вторая фаза снижения концентрации независимо от дозы препарата завершалась по</w:t>
      </w:r>
      <w:r>
        <w:t>л</w:t>
      </w:r>
      <w:r>
        <w:t>ным отсутствием лизоцима в сыворотке крови. Регрессионный анализ не выявил существенных различий между линиями регрессии опыта и ко</w:t>
      </w:r>
      <w:r>
        <w:t>н</w:t>
      </w:r>
      <w:r>
        <w:t xml:space="preserve">троля. В отдельно взятые сроки исследования различия между группами оказались достоверными (Р </w:t>
      </w:r>
      <w:r>
        <w:sym w:font="Symbol" w:char="F0A3"/>
      </w:r>
      <w:r>
        <w:t>0,05 – 0,001).</w:t>
      </w:r>
    </w:p>
    <w:p w:rsidR="00F4654E" w:rsidRDefault="00F4654E">
      <w:pPr>
        <w:pStyle w:val="a6"/>
        <w:rPr>
          <w:b/>
        </w:rPr>
      </w:pPr>
      <w:r>
        <w:t>Изменения активности бета - лизинов в сыворотке крови кроликов были однотипными и заключались в снижении активности через 2 недели после начала введения препаратов с последующим восстановлением к 4 неделе до контрольного уровня. Исключение составляла группа кроликов, получавших ГХЦГ в дозе 4,7 мг/кг, у которых активность бета - лизинов в сыворотке кр</w:t>
      </w:r>
      <w:r>
        <w:t>о</w:t>
      </w:r>
      <w:r>
        <w:t>ви в течение опыта не отличалась от значений контрольной группы</w:t>
      </w:r>
      <w:r>
        <w:rPr>
          <w:b/>
        </w:rPr>
        <w:t>.</w:t>
      </w:r>
    </w:p>
    <w:p w:rsidR="00D75866" w:rsidRDefault="00F4654E">
      <w:pPr>
        <w:pStyle w:val="a6"/>
        <w:rPr>
          <w:spacing w:val="-2"/>
        </w:rPr>
      </w:pPr>
      <w:r w:rsidRPr="004D29CD">
        <w:rPr>
          <w:spacing w:val="-2"/>
        </w:rPr>
        <w:t>В течение опыта у контрольных животных фагоцитарное число и фаг</w:t>
      </w:r>
      <w:r w:rsidRPr="004D29CD">
        <w:rPr>
          <w:spacing w:val="-2"/>
        </w:rPr>
        <w:t>о</w:t>
      </w:r>
      <w:r w:rsidRPr="004D29CD">
        <w:rPr>
          <w:spacing w:val="-2"/>
        </w:rPr>
        <w:t>цитарный индекс существенно не изменялись. При введении хлорофоса в дозе 3,2 мг/кг, фагоцитарное число через 2 недели снизилось на 22,5%, а ф</w:t>
      </w:r>
      <w:r w:rsidRPr="004D29CD">
        <w:rPr>
          <w:spacing w:val="-2"/>
        </w:rPr>
        <w:t>а</w:t>
      </w:r>
      <w:r w:rsidRPr="004D29CD">
        <w:rPr>
          <w:spacing w:val="-2"/>
        </w:rPr>
        <w:t>гоцитарный индекс на 39% по отношению к контролю. В конце опыта сн</w:t>
      </w:r>
      <w:r w:rsidRPr="004D29CD">
        <w:rPr>
          <w:spacing w:val="-2"/>
        </w:rPr>
        <w:t>и</w:t>
      </w:r>
      <w:r w:rsidRPr="004D29CD">
        <w:rPr>
          <w:spacing w:val="-2"/>
        </w:rPr>
        <w:t>жение составляло 42 и 49%. Введение кроликам хлорофоса в дозе 32 мг/кг пр</w:t>
      </w:r>
      <w:r w:rsidRPr="004D29CD">
        <w:rPr>
          <w:spacing w:val="-2"/>
        </w:rPr>
        <w:t>и</w:t>
      </w:r>
      <w:r w:rsidRPr="004D29CD">
        <w:rPr>
          <w:spacing w:val="-2"/>
        </w:rPr>
        <w:t>вело к более выраженному угнетению показателей фагоцитоза через 2 нед</w:t>
      </w:r>
      <w:r w:rsidRPr="004D29CD">
        <w:rPr>
          <w:spacing w:val="-2"/>
        </w:rPr>
        <w:t>е</w:t>
      </w:r>
      <w:r w:rsidRPr="004D29CD">
        <w:rPr>
          <w:spacing w:val="-2"/>
        </w:rPr>
        <w:t xml:space="preserve">ли, по сравнению с показателями у животных, получавшими меньшую дозу препарата. </w:t>
      </w:r>
    </w:p>
    <w:p w:rsidR="00F4654E" w:rsidRPr="004D29CD" w:rsidRDefault="00F4654E">
      <w:pPr>
        <w:pStyle w:val="a6"/>
        <w:rPr>
          <w:spacing w:val="-2"/>
        </w:rPr>
      </w:pPr>
      <w:r w:rsidRPr="004D29CD">
        <w:rPr>
          <w:spacing w:val="-2"/>
        </w:rPr>
        <w:t>Через 4 недели фагоцитарное число несколько увеличилось, но остав</w:t>
      </w:r>
      <w:r w:rsidRPr="004D29CD">
        <w:rPr>
          <w:spacing w:val="-2"/>
        </w:rPr>
        <w:t>а</w:t>
      </w:r>
      <w:r w:rsidRPr="004D29CD">
        <w:rPr>
          <w:spacing w:val="-2"/>
        </w:rPr>
        <w:t>лось ниже контрольного уровня на 20%. В последующие сроки исследов</w:t>
      </w:r>
      <w:r w:rsidRPr="004D29CD">
        <w:rPr>
          <w:spacing w:val="-2"/>
        </w:rPr>
        <w:t>а</w:t>
      </w:r>
      <w:r w:rsidRPr="004D29CD">
        <w:rPr>
          <w:spacing w:val="-2"/>
        </w:rPr>
        <w:t>ния этот показатель вновь снизился, и через 8 недель его величина соста</w:t>
      </w:r>
      <w:r w:rsidRPr="004D29CD">
        <w:rPr>
          <w:spacing w:val="-2"/>
        </w:rPr>
        <w:t>в</w:t>
      </w:r>
      <w:r w:rsidRPr="004D29CD">
        <w:rPr>
          <w:spacing w:val="-2"/>
        </w:rPr>
        <w:t>ляла 57% контрольного значения. Фагоцитарный индекс через 2 недели сн</w:t>
      </w:r>
      <w:r w:rsidRPr="004D29CD">
        <w:rPr>
          <w:spacing w:val="-2"/>
        </w:rPr>
        <w:t>и</w:t>
      </w:r>
      <w:r w:rsidRPr="004D29CD">
        <w:rPr>
          <w:spacing w:val="-2"/>
        </w:rPr>
        <w:t>зился более чем в 2 раза. Через 4 недели степень снижения показателя ост</w:t>
      </w:r>
      <w:r w:rsidRPr="004D29CD">
        <w:rPr>
          <w:spacing w:val="-2"/>
        </w:rPr>
        <w:t>а</w:t>
      </w:r>
      <w:r w:rsidRPr="004D29CD">
        <w:rPr>
          <w:spacing w:val="-2"/>
        </w:rPr>
        <w:t>валась на прежнем уровне, но через 6 недель значение индекса возросло до 70% контрольного уровня. Однако через 8 недель вновь произошло сниж</w:t>
      </w:r>
      <w:r w:rsidRPr="004D29CD">
        <w:rPr>
          <w:spacing w:val="-2"/>
        </w:rPr>
        <w:t>е</w:t>
      </w:r>
      <w:r w:rsidRPr="004D29CD">
        <w:rPr>
          <w:spacing w:val="-2"/>
        </w:rPr>
        <w:t>ние показателя до 57% контрольного зн</w:t>
      </w:r>
      <w:r w:rsidRPr="004D29CD">
        <w:rPr>
          <w:spacing w:val="-2"/>
        </w:rPr>
        <w:t>а</w:t>
      </w:r>
      <w:r w:rsidRPr="004D29CD">
        <w:rPr>
          <w:spacing w:val="-2"/>
        </w:rPr>
        <w:t>чения.</w:t>
      </w:r>
    </w:p>
    <w:p w:rsidR="00F4654E" w:rsidRDefault="00F4654E">
      <w:pPr>
        <w:pStyle w:val="a6"/>
      </w:pPr>
      <w:r>
        <w:t>Введение кроликам 2,4-ДДМА в дозе 4 мг/кг снизило фагоцитарное число через 2 недели с 70 до 45,5. Через 4 недели значение показателя по</w:t>
      </w:r>
      <w:r>
        <w:t>ч</w:t>
      </w:r>
      <w:r>
        <w:t>ти не изменилось, в последующем наблюдалось уменьшение, и к концу опыта фагоцитарное число было почти в 2 раза ниже, чем у кроликов ко</w:t>
      </w:r>
      <w:r>
        <w:t>н</w:t>
      </w:r>
      <w:r>
        <w:t xml:space="preserve">трольной группы. Фагоцитарный индекс снизился через 2 недели на 54%, а </w:t>
      </w:r>
      <w:r>
        <w:lastRenderedPageBreak/>
        <w:t>через 4 и 6 недель наблюдалась тенденция к его увеличению, хотя и сохр</w:t>
      </w:r>
      <w:r>
        <w:t>а</w:t>
      </w:r>
      <w:r>
        <w:t>нялось угнетение на 44-36%. Через 8 недель величина фагоцитарного и</w:t>
      </w:r>
      <w:r>
        <w:t>н</w:t>
      </w:r>
      <w:r>
        <w:t>декса вновь уменьшилась до 43,6% контрольного уровня.</w:t>
      </w:r>
    </w:p>
    <w:p w:rsidR="00F4654E" w:rsidRDefault="00F4654E">
      <w:pPr>
        <w:pStyle w:val="a6"/>
        <w:rPr>
          <w:sz w:val="24"/>
        </w:rPr>
      </w:pPr>
      <w:r>
        <w:t>2,4 - ДДМА в дозе 40 мг/кг привела к более сильному снижению ф</w:t>
      </w:r>
      <w:r>
        <w:t>а</w:t>
      </w:r>
      <w:r>
        <w:t>гоцитарного числа в течение первого месяца опыта. Однако, и при этой д</w:t>
      </w:r>
      <w:r>
        <w:t>о</w:t>
      </w:r>
      <w:r>
        <w:t>зе 2,4 - ДДМА сохранялась та же закономерность изменений показателя, характеризующаяся выраженным снижением величины фагоцитарного числа через 2 недели с последующим повышением, сменившимся сниж</w:t>
      </w:r>
      <w:r>
        <w:t>е</w:t>
      </w:r>
      <w:r>
        <w:t>нием через 8 недель до 50% контрольного уровня. Сходный характер им</w:t>
      </w:r>
      <w:r>
        <w:t>е</w:t>
      </w:r>
      <w:r>
        <w:t>ли изменения и другого показателя – фагоцитарного индекса, который в различные сроки опыта был ниже соответствующих контрольных знач</w:t>
      </w:r>
      <w:r>
        <w:t>е</w:t>
      </w:r>
      <w:r>
        <w:t>ний в 1,7 – 2,2 раза.</w:t>
      </w:r>
    </w:p>
    <w:p w:rsidR="00F4654E" w:rsidRDefault="00F4654E">
      <w:pPr>
        <w:pStyle w:val="a6"/>
      </w:pPr>
      <w:r>
        <w:t>Через 2 недели после начала введения кроликам ГХЦГ в дозе 4,7 мг/кг фагоцитарное число снизилось в 1,5 раза, а через 6 и 8 недель – в 1,8 – 1,9 раза. Фагоцитарный индекс у животных этой группы снизился через 2 н</w:t>
      </w:r>
      <w:r>
        <w:t>е</w:t>
      </w:r>
      <w:r>
        <w:t>дели почти в 2,5 раза. Через 8 недель сохранялась примерно такая же ст</w:t>
      </w:r>
      <w:r>
        <w:t>е</w:t>
      </w:r>
      <w:r>
        <w:t>пень снижения показателя, несмотря на некоторую тенденцию к увелич</w:t>
      </w:r>
      <w:r>
        <w:t>е</w:t>
      </w:r>
      <w:r>
        <w:t>нию индекса через 4 и 6 недель. ГХЦГ в дозе 9,4 мг/кг вызывал стойкое уменьшение фагоцитарного числа, выраженное</w:t>
      </w:r>
      <w:r>
        <w:rPr>
          <w:sz w:val="24"/>
        </w:rPr>
        <w:t xml:space="preserve"> </w:t>
      </w:r>
      <w:r>
        <w:t>в большей степени, чем при дозе 4,7 мг/кг. Фагоцитарный индекс у кроликов, при дозе ГХЦГ 9,4 мг/кг через 2 недели от начала опыта был  более низким по сравнению с показателями у животных, подвергавшихся воздействию других препар</w:t>
      </w:r>
      <w:r>
        <w:t>а</w:t>
      </w:r>
      <w:r>
        <w:t>тов, и составлял лишь 38,5% контрольного значения. Через 4 и 6 недель степень угнетения несколько уменьшилась, однако, через 8 недель фагоц</w:t>
      </w:r>
      <w:r>
        <w:t>и</w:t>
      </w:r>
      <w:r>
        <w:t>тарный индекс вновь снизился почти до уровня, зарегистрированного ч</w:t>
      </w:r>
      <w:r>
        <w:t>е</w:t>
      </w:r>
      <w:r>
        <w:t>рез 2 недели.</w:t>
      </w:r>
    </w:p>
    <w:p w:rsidR="00F4654E" w:rsidRDefault="00F4654E">
      <w:pPr>
        <w:pStyle w:val="a6"/>
      </w:pPr>
      <w:r>
        <w:t>Следует отметить, что качественные изменения фагоцитарной акти</w:t>
      </w:r>
      <w:r>
        <w:t>в</w:t>
      </w:r>
      <w:r>
        <w:t>ности лейкоцитов у кроликов опытных групп однотипны – все использ</w:t>
      </w:r>
      <w:r>
        <w:t>о</w:t>
      </w:r>
      <w:r>
        <w:t>ванные дозы пестицидов достоверно снижают показатели фагоцитоза. Ре</w:t>
      </w:r>
      <w:r>
        <w:t>г</w:t>
      </w:r>
      <w:r>
        <w:t>рессионный анализ, полученных данных, показал высокую степень дост</w:t>
      </w:r>
      <w:r>
        <w:t>о</w:t>
      </w:r>
      <w:r>
        <w:t xml:space="preserve">верности угнетения фагоцитарной активности лейкоцитов при воздействии пестицидов.  </w:t>
      </w:r>
    </w:p>
    <w:p w:rsidR="004D29CD" w:rsidRDefault="00F4654E">
      <w:pPr>
        <w:pStyle w:val="a6"/>
      </w:pPr>
      <w:r>
        <w:t>Приведенные результаты показывают, что введение кроликам относ</w:t>
      </w:r>
      <w:r>
        <w:t>и</w:t>
      </w:r>
      <w:r>
        <w:t xml:space="preserve">тельно небольших доз пестицидов в течение двух месяцев приводит к серьезным нарушениям клеточных и гуморальных факторов естественной резистентности. </w:t>
      </w:r>
    </w:p>
    <w:p w:rsidR="00F4654E" w:rsidRDefault="00F4654E">
      <w:pPr>
        <w:pStyle w:val="a6"/>
        <w:rPr>
          <w:vertAlign w:val="subscript"/>
        </w:rPr>
      </w:pPr>
      <w:r>
        <w:t>Сходство изменений механизмов естественной резистентности под влиянием различных по химической структуре пестицидов свидетельств</w:t>
      </w:r>
      <w:r>
        <w:t>у</w:t>
      </w:r>
      <w:r>
        <w:t>ет о неспецифическом их характере и может расцениваться как проявление одного из видов общетоксического воздействия этих ядов на организм. По всей вероятности действие пестицидов объясняется общими метаболич</w:t>
      </w:r>
      <w:r>
        <w:t>е</w:t>
      </w:r>
      <w:r>
        <w:t>скими сдвигами в организме.</w:t>
      </w:r>
    </w:p>
    <w:p w:rsidR="00F4654E" w:rsidRDefault="00F4654E">
      <w:pPr>
        <w:pStyle w:val="a4"/>
      </w:pPr>
      <w:r>
        <w:lastRenderedPageBreak/>
        <w:t xml:space="preserve">УДК 619:616-099-02:615.91   </w:t>
      </w:r>
    </w:p>
    <w:p w:rsidR="00F4654E" w:rsidRDefault="00F4654E">
      <w:pPr>
        <w:pStyle w:val="1"/>
      </w:pPr>
      <w:bookmarkStart w:id="5932" w:name="_Toc10731644"/>
      <w:bookmarkStart w:id="5933" w:name="_Toc11138127"/>
      <w:bookmarkStart w:id="5934" w:name="_Toc11138545"/>
      <w:bookmarkStart w:id="5935" w:name="_Toc11138963"/>
      <w:bookmarkStart w:id="5936" w:name="_Toc11139381"/>
      <w:bookmarkStart w:id="5937" w:name="_Toc11139799"/>
      <w:bookmarkStart w:id="5938" w:name="_Toc11140217"/>
      <w:bookmarkStart w:id="5939" w:name="_Toc11140635"/>
      <w:bookmarkStart w:id="5940" w:name="_Toc11390729"/>
      <w:bookmarkStart w:id="5941" w:name="_Toc11840416"/>
      <w:bookmarkStart w:id="5942" w:name="_Toc11937952"/>
      <w:r>
        <w:t>БИОХИМИЧЕСКИЕ ПОКАЗАТЕЛИ КРОВИ БЕЛЫХ КРЫС ПРИ ЭКСПЕРИМЕНТАЛЬНОМ ОСТРОМ ОТРАВЛЕНИИ ФУРАДАНОМ</w:t>
      </w:r>
      <w:bookmarkEnd w:id="5932"/>
      <w:bookmarkEnd w:id="5933"/>
      <w:bookmarkEnd w:id="5934"/>
      <w:bookmarkEnd w:id="5935"/>
      <w:bookmarkEnd w:id="5936"/>
      <w:bookmarkEnd w:id="5937"/>
      <w:bookmarkEnd w:id="5938"/>
      <w:bookmarkEnd w:id="5939"/>
      <w:bookmarkEnd w:id="5940"/>
      <w:bookmarkEnd w:id="5941"/>
      <w:bookmarkEnd w:id="5942"/>
    </w:p>
    <w:p w:rsidR="00F4654E" w:rsidRDefault="00F4654E">
      <w:pPr>
        <w:pStyle w:val="2"/>
      </w:pPr>
      <w:bookmarkStart w:id="5943" w:name="_Toc10731645"/>
      <w:bookmarkStart w:id="5944" w:name="_Toc11032427"/>
      <w:bookmarkStart w:id="5945" w:name="_Toc11138128"/>
      <w:bookmarkStart w:id="5946" w:name="_Toc11138546"/>
      <w:bookmarkStart w:id="5947" w:name="_Toc11138964"/>
      <w:bookmarkStart w:id="5948" w:name="_Toc11139382"/>
      <w:bookmarkStart w:id="5949" w:name="_Toc11139800"/>
      <w:bookmarkStart w:id="5950" w:name="_Toc11140218"/>
      <w:bookmarkStart w:id="5951" w:name="_Toc11140636"/>
      <w:bookmarkStart w:id="5952" w:name="_Toc11390730"/>
      <w:bookmarkStart w:id="5953" w:name="_Toc11937953"/>
      <w:r>
        <w:t>Часовников М.В.</w:t>
      </w:r>
      <w:bookmarkEnd w:id="5943"/>
      <w:bookmarkEnd w:id="5944"/>
      <w:bookmarkEnd w:id="5945"/>
      <w:bookmarkEnd w:id="5946"/>
      <w:bookmarkEnd w:id="5947"/>
      <w:bookmarkEnd w:id="5948"/>
      <w:bookmarkEnd w:id="5949"/>
      <w:bookmarkEnd w:id="5950"/>
      <w:bookmarkEnd w:id="5951"/>
      <w:bookmarkEnd w:id="5952"/>
      <w:bookmarkEnd w:id="5953"/>
    </w:p>
    <w:p w:rsidR="00F4654E" w:rsidRDefault="00F4654E">
      <w:pPr>
        <w:pStyle w:val="a5"/>
      </w:pPr>
      <w:r>
        <w:t>Всероссийский НИВИ патологии, фармакологии и терапии</w:t>
      </w:r>
    </w:p>
    <w:p w:rsidR="00F4654E" w:rsidRDefault="00F4654E">
      <w:pPr>
        <w:pStyle w:val="a6"/>
      </w:pPr>
      <w:r>
        <w:t>Фурадан – о-(2,3-дигидро-2,2-диметилбензофуранил-7)-N-метил-карба-мат относится к группе ариловых эфиров карбаминовой кислоты и широко применяется в сельском хозяйстве как инсектицид системного действия.</w:t>
      </w:r>
    </w:p>
    <w:p w:rsidR="00F4654E" w:rsidRDefault="00F4654E">
      <w:pPr>
        <w:pStyle w:val="a6"/>
      </w:pPr>
      <w:r>
        <w:t>Для выявления ранних показателей интоксикации фураданом было проведено изучение активности холинэстеразы, гамма-глутамилтрансфе-разы, а также, ряда биохимических показателей крови и сыворотки при остром отравлении белых крыс указанным препаратом в дозе 3,5 мг/кг массы тела. Изменения биохимических показателей изучали через 3 часа и на 18-й день, после внутрижелудочного введения фурадана.</w:t>
      </w:r>
    </w:p>
    <w:p w:rsidR="00F4654E" w:rsidRDefault="00F4654E">
      <w:pPr>
        <w:pStyle w:val="a6"/>
      </w:pPr>
      <w:r>
        <w:t>Активность холинэстеразы через 3 часа после введения пестицида опытным животным превышала активность данного фермента у контрол</w:t>
      </w:r>
      <w:r>
        <w:t>ь</w:t>
      </w:r>
      <w:r>
        <w:t>ных на 55%. Активность гамма-глутамилтрансферазы спустя 3 часа после введения была выше по сравнению с контролем в 2,2 раза. Эти данные подтверждают гепатотоксическое  действие фурадана, выражающееся в повышении проницаемости мембран гепатоцитов и нарушении внутрикл</w:t>
      </w:r>
      <w:r>
        <w:t>е</w:t>
      </w:r>
      <w:r>
        <w:t>точной организации ферментов, что приводило к выходу из гепатоцитов клеточных ферментов и повышению их активности в сыворотке крови.</w:t>
      </w:r>
    </w:p>
    <w:p w:rsidR="00F4654E" w:rsidRDefault="00F4654E">
      <w:pPr>
        <w:pStyle w:val="a6"/>
      </w:pPr>
      <w:r>
        <w:t>В сыворотке крови опытных животных, по сравнению с контролем, наблюдали повышение активности АсАТ  на 18% через 3 часа после вв</w:t>
      </w:r>
      <w:r>
        <w:t>е</w:t>
      </w:r>
      <w:r>
        <w:t>дения токсиканта и повышение активности АлАТ на 14% на 18-й день опыта. Повышение уровня мочевины в сыворотке крови опытных живо</w:t>
      </w:r>
      <w:r>
        <w:t>т</w:t>
      </w:r>
      <w:r>
        <w:t>ных по сравнению с контролем на 47,7% наблюдали через 3 часа после о</w:t>
      </w:r>
      <w:r>
        <w:t>т</w:t>
      </w:r>
      <w:r>
        <w:t>равл</w:t>
      </w:r>
      <w:r>
        <w:t>е</w:t>
      </w:r>
      <w:r>
        <w:t>ния. К 18-му дню опыта происходило снижение данного показателя у опытных животных. Уровень липидов в сыворотке крови опытных живо</w:t>
      </w:r>
      <w:r>
        <w:t>т</w:t>
      </w:r>
      <w:r>
        <w:t>ных превышал контроль на 5% через 3 часа после интоксикации и был н</w:t>
      </w:r>
      <w:r>
        <w:t>и</w:t>
      </w:r>
      <w:r>
        <w:t>же на 12,5% на 18-й день опыта. Содержание общего белка в сыворотке крови опытных и контрольных животных не имела существенных разл</w:t>
      </w:r>
      <w:r>
        <w:t>и</w:t>
      </w:r>
      <w:r>
        <w:t>чий и колебалось от 76,8 г/л в контроле до 76,3 г/л в опыте. В крови опы</w:t>
      </w:r>
      <w:r>
        <w:t>т</w:t>
      </w:r>
      <w:r>
        <w:t>ных животных, через 3 часа после интоксикации, обнаруживали гипергл</w:t>
      </w:r>
      <w:r>
        <w:t>и</w:t>
      </w:r>
      <w:r>
        <w:t>кемию. Уровень глюкозы у опытных животных был выше на 46,6% по сравнению с таковым у  контрольных животных. На 18-й день содержание глюкозы в крови опытных животных снизилось и превышало контроль на 8,3%.  Количество эритроцитов у опытных животных по сравнению с ко</w:t>
      </w:r>
      <w:r>
        <w:t>н</w:t>
      </w:r>
      <w:r>
        <w:t>тролем, через 3 часа после затравки понижалось на 13%, на 18-й день оп</w:t>
      </w:r>
      <w:r>
        <w:t>ы</w:t>
      </w:r>
      <w:r>
        <w:t>та, данный показатель в опыте превышал контроль на 5,2%. Через 3 часа после введения токсиканта регистрировали снижение количества лейкоц</w:t>
      </w:r>
      <w:r>
        <w:t>и</w:t>
      </w:r>
      <w:r>
        <w:lastRenderedPageBreak/>
        <w:t>тов у опытных животных по сравнению с контрольными на 43%, на 18-й день интоксикации различий в данном показателе не выявляли.</w:t>
      </w:r>
    </w:p>
    <w:p w:rsidR="00F4654E" w:rsidRDefault="00F4654E">
      <w:pPr>
        <w:pStyle w:val="a6"/>
      </w:pPr>
      <w:r>
        <w:t xml:space="preserve"> Вышеописанные нами изменения биохимических показателей крови и сыворотки белых крыс, при остром отравлении фураданом, отображают картину токсического действия данного пестицида на организм живо</w:t>
      </w:r>
      <w:r>
        <w:t>т</w:t>
      </w:r>
      <w:r>
        <w:t>ных, имеют важное значение для дифференциальной диагностики интоксик</w:t>
      </w:r>
      <w:r>
        <w:t>а</w:t>
      </w:r>
      <w:r>
        <w:t>ций, а также для разработки эф</w:t>
      </w:r>
      <w:r w:rsidR="00D75866">
        <w:t>фективных лечебно-профилактичес</w:t>
      </w:r>
      <w:r>
        <w:t>ких м</w:t>
      </w:r>
      <w:r>
        <w:t>е</w:t>
      </w:r>
      <w:r>
        <w:t>роприятий.</w:t>
      </w:r>
    </w:p>
    <w:p w:rsidR="00F4654E" w:rsidRDefault="00F4654E">
      <w:pPr>
        <w:pStyle w:val="a4"/>
      </w:pPr>
      <w:r>
        <w:t xml:space="preserve">УДК 619:616-099-02:615.91 </w:t>
      </w:r>
    </w:p>
    <w:p w:rsidR="00F4654E" w:rsidRDefault="00F4654E">
      <w:pPr>
        <w:pStyle w:val="1"/>
      </w:pPr>
      <w:bookmarkStart w:id="5954" w:name="_Toc10731646"/>
      <w:bookmarkStart w:id="5955" w:name="_Toc11138129"/>
      <w:bookmarkStart w:id="5956" w:name="_Toc11138547"/>
      <w:bookmarkStart w:id="5957" w:name="_Toc11138965"/>
      <w:bookmarkStart w:id="5958" w:name="_Toc11139383"/>
      <w:bookmarkStart w:id="5959" w:name="_Toc11139801"/>
      <w:bookmarkStart w:id="5960" w:name="_Toc11140219"/>
      <w:bookmarkStart w:id="5961" w:name="_Toc11140637"/>
      <w:bookmarkStart w:id="5962" w:name="_Toc11390731"/>
      <w:bookmarkStart w:id="5963" w:name="_Toc11840418"/>
      <w:bookmarkStart w:id="5964" w:name="_Toc11937954"/>
      <w:r>
        <w:t>Распространение, клинические и патанатомические признаки отравления животных фураданом</w:t>
      </w:r>
      <w:bookmarkEnd w:id="5954"/>
      <w:bookmarkEnd w:id="5955"/>
      <w:bookmarkEnd w:id="5956"/>
      <w:bookmarkEnd w:id="5957"/>
      <w:bookmarkEnd w:id="5958"/>
      <w:bookmarkEnd w:id="5959"/>
      <w:bookmarkEnd w:id="5960"/>
      <w:bookmarkEnd w:id="5961"/>
      <w:bookmarkEnd w:id="5962"/>
      <w:bookmarkEnd w:id="5963"/>
      <w:bookmarkEnd w:id="5964"/>
    </w:p>
    <w:p w:rsidR="00F4654E" w:rsidRDefault="00F4654E">
      <w:pPr>
        <w:pStyle w:val="2"/>
      </w:pPr>
      <w:bookmarkStart w:id="5965" w:name="_Toc10731647"/>
      <w:bookmarkStart w:id="5966" w:name="_Toc11032428"/>
      <w:bookmarkStart w:id="5967" w:name="_Toc11138130"/>
      <w:bookmarkStart w:id="5968" w:name="_Toc11138548"/>
      <w:bookmarkStart w:id="5969" w:name="_Toc11138966"/>
      <w:bookmarkStart w:id="5970" w:name="_Toc11139384"/>
      <w:bookmarkStart w:id="5971" w:name="_Toc11139802"/>
      <w:bookmarkStart w:id="5972" w:name="_Toc11140220"/>
      <w:bookmarkStart w:id="5973" w:name="_Toc11140638"/>
      <w:bookmarkStart w:id="5974" w:name="_Toc11390732"/>
      <w:bookmarkStart w:id="5975" w:name="_Toc11937955"/>
      <w:r>
        <w:t>Часовников М. В.</w:t>
      </w:r>
      <w:bookmarkEnd w:id="5965"/>
      <w:bookmarkEnd w:id="5966"/>
      <w:bookmarkEnd w:id="5967"/>
      <w:bookmarkEnd w:id="5968"/>
      <w:bookmarkEnd w:id="5969"/>
      <w:bookmarkEnd w:id="5970"/>
      <w:bookmarkEnd w:id="5971"/>
      <w:bookmarkEnd w:id="5972"/>
      <w:bookmarkEnd w:id="5973"/>
      <w:bookmarkEnd w:id="5974"/>
      <w:bookmarkEnd w:id="5975"/>
    </w:p>
    <w:p w:rsidR="00F4654E" w:rsidRDefault="00F4654E">
      <w:pPr>
        <w:pStyle w:val="a5"/>
      </w:pPr>
      <w:r>
        <w:t xml:space="preserve">Всероссийский НИВИ патологии, фармакологии и терапии </w:t>
      </w:r>
    </w:p>
    <w:p w:rsidR="00F4654E" w:rsidRDefault="00F4654E">
      <w:pPr>
        <w:pStyle w:val="a6"/>
      </w:pPr>
      <w:r>
        <w:t>Ежегодно в мире регистрируется около 500 тыс. случаев отравления пестицидами и минеральными удобрениями. Предельно допустимые ко</w:t>
      </w:r>
      <w:r>
        <w:t>н</w:t>
      </w:r>
      <w:r>
        <w:t>центрации по большинству химических веществ в почве, воде, кормах, продуктах превышаются многократно.</w:t>
      </w:r>
      <w:r w:rsidR="00D75866">
        <w:t xml:space="preserve"> </w:t>
      </w:r>
      <w:r>
        <w:t>Многие токсиканты, в том числе и пестициды, угнетают иммунную систему, усугубляют тяжесть пневмоний, язвы желудка, ослабляют выработку иммунитета при вакцинации, терапе</w:t>
      </w:r>
      <w:r>
        <w:t>в</w:t>
      </w:r>
      <w:r>
        <w:t>тическую и профилактическую эффективность лекарственных средств. В России основным источником интоксикации фураданом являются  семена сахарной свеклы, которые обрабатываются данным пестицидом.</w:t>
      </w:r>
    </w:p>
    <w:p w:rsidR="00F4654E" w:rsidRDefault="00F4654E">
      <w:pPr>
        <w:pStyle w:val="a6"/>
      </w:pPr>
      <w:r>
        <w:t>Нами изучена степень распространения и частота отравлений  живо</w:t>
      </w:r>
      <w:r>
        <w:t>т</w:t>
      </w:r>
      <w:r>
        <w:t>ных фураданом на территории Воронежской области с апреля 1999г. по ноябрь 2001г. За данный период зарегистрировано 17 случаев в 11-ти ра</w:t>
      </w:r>
      <w:r>
        <w:t>й</w:t>
      </w:r>
      <w:r>
        <w:t xml:space="preserve">онах, среди которых четырнадцать случаев отравления крупного рогатого скота, два   случая отравления птицы и одно отравление щенка. </w:t>
      </w:r>
    </w:p>
    <w:p w:rsidR="00F4654E" w:rsidRDefault="00F4654E">
      <w:pPr>
        <w:pStyle w:val="a6"/>
      </w:pPr>
      <w:r>
        <w:t>В большинстве случаев причиной интоксикации являлось попадание в корм животных и птиц семян сахарной свеклы обработанных фураданом. При этом семена, содержащие токсикант  обнаруживались в желудочном и зобном содержимом. Также, отравление возникало  при употреблении в</w:t>
      </w:r>
      <w:r>
        <w:t>о</w:t>
      </w:r>
      <w:r>
        <w:t>ды и зелёной массы растений, содержащих фурадан.</w:t>
      </w:r>
      <w:r w:rsidR="00D75866">
        <w:t xml:space="preserve"> </w:t>
      </w:r>
      <w:r>
        <w:t>Острое отравление сопровождалось отдышкой, беспокойством, тр</w:t>
      </w:r>
      <w:r>
        <w:t>е</w:t>
      </w:r>
      <w:r>
        <w:t>мором жевательных мышц, а затем тремором всего тела, гиперсаливацией и диареей. В первые минуты интоксикации животные находились в стадии возбуждения, наблюдалось учащенное  дыхание и тахикардия, а затем угнетение и животные как пр</w:t>
      </w:r>
      <w:r>
        <w:t>а</w:t>
      </w:r>
      <w:r>
        <w:t>вило погибали в первые часы интоксикации.</w:t>
      </w:r>
      <w:r w:rsidR="00D75866">
        <w:t xml:space="preserve"> </w:t>
      </w:r>
      <w:r>
        <w:t>При вскрытии павших живо</w:t>
      </w:r>
      <w:r>
        <w:t>т</w:t>
      </w:r>
      <w:r>
        <w:t>ных наблюдали гиперемию внутренних органов, отек легких, увеличение печени, кровоизлияния на слизистой м</w:t>
      </w:r>
      <w:r>
        <w:t>о</w:t>
      </w:r>
      <w:r>
        <w:t>чевого пузыря, отечность мозговых оболочек. На основании анализа отравлений животных фураданом  в В</w:t>
      </w:r>
      <w:r>
        <w:t>о</w:t>
      </w:r>
      <w:r>
        <w:t>ронежской области можно сделать вывод, что наиболее часто случаи о</w:t>
      </w:r>
      <w:r>
        <w:t>т</w:t>
      </w:r>
      <w:r>
        <w:lastRenderedPageBreak/>
        <w:t>равления  наблюдались в хозяйствах  районов, близко расположенных к заводам занимающихся  обработкой с</w:t>
      </w:r>
      <w:r>
        <w:t>е</w:t>
      </w:r>
      <w:r>
        <w:t>мян сахарной свеклы фураданом.</w:t>
      </w:r>
    </w:p>
    <w:p w:rsidR="00F4654E" w:rsidRDefault="00F4654E">
      <w:pPr>
        <w:pStyle w:val="a6"/>
      </w:pPr>
      <w:r>
        <w:t>Для уточнения токсических свойств пестицида фурадана  нами пров</w:t>
      </w:r>
      <w:r>
        <w:t>о</w:t>
      </w:r>
      <w:r>
        <w:t>дили опыты на 60 белых крысах, живой массой 200 г.</w:t>
      </w:r>
      <w:r w:rsidR="00D75866">
        <w:t xml:space="preserve"> </w:t>
      </w:r>
      <w:r>
        <w:t>Затравка лаборато</w:t>
      </w:r>
      <w:r>
        <w:t>р</w:t>
      </w:r>
      <w:r>
        <w:t>ных животных производили водной вытяжкой ф</w:t>
      </w:r>
      <w:r>
        <w:t>у</w:t>
      </w:r>
      <w:r>
        <w:t>радана из  измельченных протравленных семян сахарной свеклы. Вытяжку готовили из расчета с</w:t>
      </w:r>
      <w:r>
        <w:t>о</w:t>
      </w:r>
      <w:r>
        <w:t>держания в ней действующего вещества  фурадана в количестве 0,7мг на 1 мл и вводилась  внутрижелудочно.</w:t>
      </w:r>
    </w:p>
    <w:p w:rsidR="00F4654E" w:rsidRDefault="00F4654E">
      <w:pPr>
        <w:pStyle w:val="a6"/>
      </w:pPr>
      <w:r>
        <w:t>При введении  вытяжки в дозе  3,5 мг/кг  массы тела животных первые  признаки интоксикации начинали проявляться через 4-6 минут после вв</w:t>
      </w:r>
      <w:r>
        <w:t>е</w:t>
      </w:r>
      <w:r>
        <w:t>дения токсиканта. Наблюдали судороги и тремор всего тела, взъероше</w:t>
      </w:r>
      <w:r>
        <w:t>н</w:t>
      </w:r>
      <w:r>
        <w:t>ность шерстного покрова, саливация, слезотечение, затрудненное и прер</w:t>
      </w:r>
      <w:r>
        <w:t>ы</w:t>
      </w:r>
      <w:r>
        <w:t>вистое дыхание.</w:t>
      </w:r>
      <w:r w:rsidR="00D75866">
        <w:t xml:space="preserve"> </w:t>
      </w:r>
      <w:r>
        <w:t>По истечении 1-1,5 часов после введения вытяжки проя</w:t>
      </w:r>
      <w:r>
        <w:t>в</w:t>
      </w:r>
      <w:r>
        <w:t>ление клинических признаков угасало. Наступал период угнетения, в кот</w:t>
      </w:r>
      <w:r>
        <w:t>о</w:t>
      </w:r>
      <w:r>
        <w:t>рый регистрировали гиподинамию, нарушение координации движений, о</w:t>
      </w:r>
      <w:r>
        <w:t>т</w:t>
      </w:r>
      <w:r>
        <w:t>каз животных от корма. Уже через несколько часов после введения яда, общее состояние животных постепенно нормализовывалось. Крысы проя</w:t>
      </w:r>
      <w:r>
        <w:t>в</w:t>
      </w:r>
      <w:r>
        <w:t>ляли активность, принимали корм. При вскрытии вынужденно убитых ж</w:t>
      </w:r>
      <w:r>
        <w:t>и</w:t>
      </w:r>
      <w:r>
        <w:t>вотных на 14-й день опыта, взвешиванием обнаруживали увеличение ма</w:t>
      </w:r>
      <w:r>
        <w:t>с</w:t>
      </w:r>
      <w:r>
        <w:t>сы печ</w:t>
      </w:r>
      <w:r>
        <w:t>е</w:t>
      </w:r>
      <w:r>
        <w:t xml:space="preserve">ни опытных животных на 8,5% по сравнению с контролем. </w:t>
      </w:r>
    </w:p>
    <w:p w:rsidR="00F4654E" w:rsidRPr="00D75866" w:rsidRDefault="00F4654E">
      <w:pPr>
        <w:pStyle w:val="a6"/>
        <w:rPr>
          <w:spacing w:val="-2"/>
        </w:rPr>
      </w:pPr>
      <w:r w:rsidRPr="00D75866">
        <w:rPr>
          <w:spacing w:val="-2"/>
        </w:rPr>
        <w:t>Другой опытной группе крыс вводили вытяжку фурадана в дозе 17,5 мг/кг массы тела животных. Клинические признаки интоксикации проявл</w:t>
      </w:r>
      <w:r w:rsidRPr="00D75866">
        <w:rPr>
          <w:spacing w:val="-2"/>
        </w:rPr>
        <w:t>я</w:t>
      </w:r>
      <w:r w:rsidRPr="00D75866">
        <w:rPr>
          <w:spacing w:val="-2"/>
        </w:rPr>
        <w:t>лись уже через 4 минуты после введения и были более значительны, чем в предыдущем опыте. При этом отмечен тремор всего тела, фибрилляция о</w:t>
      </w:r>
      <w:r w:rsidRPr="00D75866">
        <w:rPr>
          <w:spacing w:val="-2"/>
        </w:rPr>
        <w:t>т</w:t>
      </w:r>
      <w:r w:rsidRPr="00D75866">
        <w:rPr>
          <w:spacing w:val="-2"/>
        </w:rPr>
        <w:t>дельных групп мышц, пульсация глазных яблок, нарушение координ</w:t>
      </w:r>
      <w:r w:rsidRPr="00D75866">
        <w:rPr>
          <w:spacing w:val="-2"/>
        </w:rPr>
        <w:t>а</w:t>
      </w:r>
      <w:r w:rsidRPr="00D75866">
        <w:rPr>
          <w:spacing w:val="-2"/>
        </w:rPr>
        <w:t>ции движения, обильная саливация, слезотечение и истечения из носа, затру</w:t>
      </w:r>
      <w:r w:rsidRPr="00D75866">
        <w:rPr>
          <w:spacing w:val="-2"/>
        </w:rPr>
        <w:t>д</w:t>
      </w:r>
      <w:r w:rsidRPr="00D75866">
        <w:rPr>
          <w:spacing w:val="-2"/>
        </w:rPr>
        <w:t>ненное дыхание.</w:t>
      </w:r>
      <w:r w:rsidR="00D75866" w:rsidRPr="00D75866">
        <w:rPr>
          <w:spacing w:val="-2"/>
        </w:rPr>
        <w:t xml:space="preserve"> </w:t>
      </w:r>
      <w:r w:rsidRPr="00D75866">
        <w:rPr>
          <w:spacing w:val="-2"/>
        </w:rPr>
        <w:t>Через 8 минут после введения яда регистрировали летал</w:t>
      </w:r>
      <w:r w:rsidRPr="00D75866">
        <w:rPr>
          <w:spacing w:val="-2"/>
        </w:rPr>
        <w:t>ь</w:t>
      </w:r>
      <w:r w:rsidRPr="00D75866">
        <w:rPr>
          <w:spacing w:val="-2"/>
        </w:rPr>
        <w:t>ный исход. При вскрытии павших животных обнаруживали гиперемию с</w:t>
      </w:r>
      <w:r w:rsidRPr="00D75866">
        <w:rPr>
          <w:spacing w:val="-2"/>
        </w:rPr>
        <w:t>о</w:t>
      </w:r>
      <w:r w:rsidRPr="00D75866">
        <w:rPr>
          <w:spacing w:val="-2"/>
        </w:rPr>
        <w:t>судов внутренних органов. Легкие спавшиеся, с очагами кровоизлияний, печень увеличена, полнокровная, в отдельных участках окрашена в серов</w:t>
      </w:r>
      <w:r w:rsidRPr="00D75866">
        <w:rPr>
          <w:spacing w:val="-2"/>
        </w:rPr>
        <w:t>а</w:t>
      </w:r>
      <w:r w:rsidRPr="00D75866">
        <w:rPr>
          <w:spacing w:val="-2"/>
        </w:rPr>
        <w:t>тый или глинистый цвет, отечность и гиперемия мозговых обол</w:t>
      </w:r>
      <w:r w:rsidRPr="00D75866">
        <w:rPr>
          <w:spacing w:val="-2"/>
        </w:rPr>
        <w:t>о</w:t>
      </w:r>
      <w:r w:rsidRPr="00D75866">
        <w:rPr>
          <w:spacing w:val="-2"/>
        </w:rPr>
        <w:t>чек.</w:t>
      </w:r>
    </w:p>
    <w:p w:rsidR="00F4654E" w:rsidRDefault="00F4654E">
      <w:pPr>
        <w:pStyle w:val="a6"/>
      </w:pPr>
      <w:r>
        <w:t>На основании изложенного можно сделать вывод, что проблема о</w:t>
      </w:r>
      <w:r>
        <w:t>т</w:t>
      </w:r>
      <w:r>
        <w:t>равлений животных пестицидом фураданом имеет широкое распростран</w:t>
      </w:r>
      <w:r>
        <w:t>е</w:t>
      </w:r>
      <w:r>
        <w:t xml:space="preserve">ние и требует дальнейшего изучения фармакотоксикологии пестицида и разработки лечебно – профилактических мероприятий.  </w:t>
      </w:r>
    </w:p>
    <w:p w:rsidR="00F4654E" w:rsidRDefault="00F4654E">
      <w:pPr>
        <w:pStyle w:val="a4"/>
      </w:pPr>
      <w:r>
        <w:t>УДК 619:618.11-008.6:636.2</w:t>
      </w:r>
    </w:p>
    <w:p w:rsidR="00F4654E" w:rsidRDefault="00F4654E">
      <w:pPr>
        <w:pStyle w:val="1"/>
      </w:pPr>
      <w:bookmarkStart w:id="5976" w:name="_Toc10731648"/>
      <w:bookmarkStart w:id="5977" w:name="_Toc11138131"/>
      <w:bookmarkStart w:id="5978" w:name="_Toc11138549"/>
      <w:bookmarkStart w:id="5979" w:name="_Toc11138967"/>
      <w:bookmarkStart w:id="5980" w:name="_Toc11139385"/>
      <w:bookmarkStart w:id="5981" w:name="_Toc11139803"/>
      <w:bookmarkStart w:id="5982" w:name="_Toc11140221"/>
      <w:bookmarkStart w:id="5983" w:name="_Toc11140639"/>
      <w:bookmarkStart w:id="5984" w:name="_Toc11390733"/>
      <w:bookmarkStart w:id="5985" w:name="_Toc11840420"/>
      <w:bookmarkStart w:id="5986" w:name="_Toc11937956"/>
      <w:r>
        <w:t>лечение коров с гипофункцией яичников</w:t>
      </w:r>
      <w:bookmarkEnd w:id="5976"/>
      <w:bookmarkEnd w:id="5977"/>
      <w:bookmarkEnd w:id="5978"/>
      <w:bookmarkEnd w:id="5979"/>
      <w:bookmarkEnd w:id="5980"/>
      <w:bookmarkEnd w:id="5981"/>
      <w:bookmarkEnd w:id="5982"/>
      <w:bookmarkEnd w:id="5983"/>
      <w:bookmarkEnd w:id="5984"/>
      <w:bookmarkEnd w:id="5985"/>
      <w:bookmarkEnd w:id="5986"/>
    </w:p>
    <w:p w:rsidR="00F4654E" w:rsidRDefault="00F4654E">
      <w:pPr>
        <w:pStyle w:val="2"/>
      </w:pPr>
      <w:bookmarkStart w:id="5987" w:name="_Toc10731649"/>
      <w:bookmarkStart w:id="5988" w:name="_Toc11032429"/>
      <w:bookmarkStart w:id="5989" w:name="_Toc11138132"/>
      <w:bookmarkStart w:id="5990" w:name="_Toc11138550"/>
      <w:bookmarkStart w:id="5991" w:name="_Toc11138968"/>
      <w:bookmarkStart w:id="5992" w:name="_Toc11139386"/>
      <w:bookmarkStart w:id="5993" w:name="_Toc11139804"/>
      <w:bookmarkStart w:id="5994" w:name="_Toc11140222"/>
      <w:bookmarkStart w:id="5995" w:name="_Toc11140640"/>
      <w:bookmarkStart w:id="5996" w:name="_Toc11390734"/>
      <w:bookmarkStart w:id="5997" w:name="_Toc11937957"/>
      <w:r>
        <w:t>Черногузов А.И.</w:t>
      </w:r>
      <w:bookmarkEnd w:id="5987"/>
      <w:bookmarkEnd w:id="5988"/>
      <w:bookmarkEnd w:id="5989"/>
      <w:bookmarkEnd w:id="5990"/>
      <w:bookmarkEnd w:id="5991"/>
      <w:bookmarkEnd w:id="5992"/>
      <w:bookmarkEnd w:id="5993"/>
      <w:bookmarkEnd w:id="5994"/>
      <w:bookmarkEnd w:id="5995"/>
      <w:bookmarkEnd w:id="5996"/>
      <w:bookmarkEnd w:id="5997"/>
    </w:p>
    <w:p w:rsidR="00F4654E" w:rsidRDefault="00F4654E">
      <w:pPr>
        <w:pStyle w:val="a5"/>
      </w:pPr>
      <w:r>
        <w:t>Витебская государственная академия ветеринарной медицины</w:t>
      </w:r>
    </w:p>
    <w:p w:rsidR="00F4654E" w:rsidRDefault="00F4654E">
      <w:pPr>
        <w:pStyle w:val="a6"/>
      </w:pPr>
      <w:r>
        <w:t>Анализ воспроизводства крупного рогатого скота в хозяйствах Вите</w:t>
      </w:r>
      <w:r>
        <w:t>б</w:t>
      </w:r>
      <w:r>
        <w:t xml:space="preserve">ской области показывает, что частой причиной бесплодия коров является </w:t>
      </w:r>
      <w:r>
        <w:lastRenderedPageBreak/>
        <w:t>г</w:t>
      </w:r>
      <w:r>
        <w:t>и</w:t>
      </w:r>
      <w:r>
        <w:t>пофункция яичников. Так, при проведении акушерско-гинекологической диспансеризации в некоторых хозяйствах Витебского и Лиозненского ра</w:t>
      </w:r>
      <w:r>
        <w:t>й</w:t>
      </w:r>
      <w:r>
        <w:t>онов в 2001 году гипофункция яичников была обнаружена нами у 18,5 % коров. Регистрировалось это заболевание, как правило, во вторую полов</w:t>
      </w:r>
      <w:r>
        <w:t>и</w:t>
      </w:r>
      <w:r>
        <w:t>ну стойлового периода и в начале пастбищного. Было установлено, что прич</w:t>
      </w:r>
      <w:r>
        <w:t>и</w:t>
      </w:r>
      <w:r>
        <w:t>нами, вызвавшими гипофункцию яичников, явились погрешности в кормлении животных, их содержании и эксплуатации, а также патологич</w:t>
      </w:r>
      <w:r>
        <w:t>е</w:t>
      </w:r>
      <w:r>
        <w:t>ские процессы в других органах половой системы, чаще всего в матки. Устранение причин, вызвавших это заболевание, как правило, не привод</w:t>
      </w:r>
      <w:r>
        <w:t>и</w:t>
      </w:r>
      <w:r>
        <w:t>ло к быстрому выздоровлению животных. Известно, что в основе патог</w:t>
      </w:r>
      <w:r>
        <w:t>е</w:t>
      </w:r>
      <w:r>
        <w:t>неза этой патологии лежит стойкое нарушение нейрогуморальной регул</w:t>
      </w:r>
      <w:r>
        <w:t>я</w:t>
      </w:r>
      <w:r>
        <w:t>ции в организме, приводящее к снижению функциональной активности г</w:t>
      </w:r>
      <w:r>
        <w:t>и</w:t>
      </w:r>
      <w:r>
        <w:t>поталамуса и гипофиза. Вследствие этого нарушается развитие фоллик</w:t>
      </w:r>
      <w:r>
        <w:t>у</w:t>
      </w:r>
      <w:r>
        <w:t>лов и их овуляция. Поэтому, для лечения коров с гипофункцией яичников, наряду с устранением причин, вызвавших заболевание, целесообразно применение гормональных препаратов: синтетических аналогов гонад</w:t>
      </w:r>
      <w:r>
        <w:t>о</w:t>
      </w:r>
      <w:r>
        <w:t>тропин-рилизинг-гормона и гонадотропных гормонов, а также средств ф</w:t>
      </w:r>
      <w:r>
        <w:t>и</w:t>
      </w:r>
      <w:r>
        <w:t>зиотерапии, положительно влияющих на яичники и другие органы половой системы.</w:t>
      </w:r>
    </w:p>
    <w:p w:rsidR="00F4654E" w:rsidRDefault="00F4654E">
      <w:pPr>
        <w:pStyle w:val="a6"/>
      </w:pPr>
      <w:r>
        <w:t>С учетом этого осуществлялось лечение четырех групп коров с гип</w:t>
      </w:r>
      <w:r>
        <w:t>о</w:t>
      </w:r>
      <w:r>
        <w:t>функцией яичников, по 10 животных в каждой, сформированных при принципу аналогов. Порода коров черно-пестрая, упитанность средняя, возраст 6 - 10 лет, продуктивность 2500 - 3000 кг молока за лактацию. Ж</w:t>
      </w:r>
      <w:r>
        <w:t>и</w:t>
      </w:r>
      <w:r>
        <w:t>вотные содержались в типовых коровниках. Микроклимат в них не везде соответствовал зоогигиеническим нормам. Моцион в стойловый период предоставлялся нерегулярно. Тип кормления в этот период, как правило, был силосно-концентратным. В летний период животные содержались на пастбище. Осеменение искусственное, ректо-цервикальным способом. У некоторых коров были патология родов и послеродового периода (заде</w:t>
      </w:r>
      <w:r>
        <w:t>р</w:t>
      </w:r>
      <w:r>
        <w:t>жание последа, субинволюция матки, эндометриты). Количество дней бе</w:t>
      </w:r>
      <w:r>
        <w:t>с</w:t>
      </w:r>
      <w:r>
        <w:t>плодия животных до лечения составило 67</w:t>
      </w:r>
      <w:r>
        <w:sym w:font="Symbol" w:char="F0B1"/>
      </w:r>
      <w:r>
        <w:t>4,0.</w:t>
      </w:r>
    </w:p>
    <w:p w:rsidR="00F4654E" w:rsidRDefault="00F4654E">
      <w:pPr>
        <w:pStyle w:val="a6"/>
      </w:pPr>
      <w:r>
        <w:t>Диагноз поставили на основании анамнестических данных и клинич</w:t>
      </w:r>
      <w:r>
        <w:t>е</w:t>
      </w:r>
      <w:r>
        <w:t>ских признаков, полученных при проведении гинекологического исслед</w:t>
      </w:r>
      <w:r>
        <w:t>о</w:t>
      </w:r>
      <w:r>
        <w:t>вания животных. Кроме этого, в начале лечения, с целью уточнения диа</w:t>
      </w:r>
      <w:r>
        <w:t>г</w:t>
      </w:r>
      <w:r>
        <w:t>ноза и причин, вызвавших заболевание, у всех животных была взята кровь из яремной вены для биохимического исследования и определения в ее плазме уровня эстрадиола и прогестерона.</w:t>
      </w:r>
    </w:p>
    <w:p w:rsidR="00F4654E" w:rsidRDefault="00F4654E">
      <w:pPr>
        <w:pStyle w:val="a6"/>
      </w:pPr>
      <w:r>
        <w:t>При постановке диагноза у всех животных была обнаружена анафр</w:t>
      </w:r>
      <w:r>
        <w:t>о</w:t>
      </w:r>
      <w:r>
        <w:t>дизия, а при ректальном исследовании установлено, что матка у больши</w:t>
      </w:r>
      <w:r>
        <w:t>н</w:t>
      </w:r>
      <w:r>
        <w:t>ства коров находилась в состоянии атонии или гипотонии (85 %). При пальпации яичников,  созревающих фолликулов или желтых тел обнар</w:t>
      </w:r>
      <w:r>
        <w:t>у</w:t>
      </w:r>
      <w:r>
        <w:t>жено не было. Такие яичники были уменьшены в объеме, округлой или овальной формы, плотной или реже вялой (20 %) консистенции. Биохим</w:t>
      </w:r>
      <w:r>
        <w:t>и</w:t>
      </w:r>
      <w:r>
        <w:lastRenderedPageBreak/>
        <w:t>ческое исследование крови показало, что уровень общего белка в сыворо</w:t>
      </w:r>
      <w:r>
        <w:t>т</w:t>
      </w:r>
      <w:r>
        <w:t>ке крови составлял 0,66</w:t>
      </w:r>
      <w:r>
        <w:sym w:font="Symbol" w:char="F0B1"/>
      </w:r>
      <w:r>
        <w:t>0,16 г/л, кальция - 2,35</w:t>
      </w:r>
      <w:r>
        <w:sym w:font="Symbol" w:char="F0B1"/>
      </w:r>
      <w:r>
        <w:t>0,34 ммоль/л,  неорган</w:t>
      </w:r>
      <w:r>
        <w:t>и</w:t>
      </w:r>
      <w:r>
        <w:t>ческого фосфора - 1,52</w:t>
      </w:r>
      <w:r>
        <w:sym w:font="Symbol" w:char="F0B1"/>
      </w:r>
      <w:r>
        <w:t>0,25 ммоль/л, каротина - 0,05</w:t>
      </w:r>
      <w:r>
        <w:sym w:font="Symbol" w:char="F0B1"/>
      </w:r>
      <w:r>
        <w:t>0,02 мкмоль/л, р</w:t>
      </w:r>
      <w:r>
        <w:t>е</w:t>
      </w:r>
      <w:r>
        <w:t>зервной щелочности - 9,39</w:t>
      </w:r>
      <w:r>
        <w:sym w:font="Symbol" w:char="F0B1"/>
      </w:r>
      <w:r>
        <w:t>0,44 ммоль/л, сахара крови - 1,07</w:t>
      </w:r>
      <w:r>
        <w:sym w:font="Symbol" w:char="F0B1"/>
      </w:r>
      <w:r>
        <w:t>0,04 ммоль/л. Концентрация прогестерона в плазме крови составляла - 0,38</w:t>
      </w:r>
      <w:r>
        <w:sym w:font="Symbol" w:char="F0B1"/>
      </w:r>
      <w:r>
        <w:t>0,05 нг/мл, эстрадиола - 16,44</w:t>
      </w:r>
      <w:r>
        <w:sym w:font="Symbol" w:char="F0B1"/>
      </w:r>
      <w:r>
        <w:t>2,17 пг/мл.</w:t>
      </w:r>
    </w:p>
    <w:p w:rsidR="00F4654E" w:rsidRDefault="00F4654E">
      <w:pPr>
        <w:pStyle w:val="a6"/>
      </w:pPr>
      <w:r>
        <w:t>У животных первых двух групп провели массаж матки и яичников трехкратно через сутки, а животным третьей и четвертой групп подкожно ввели гонадотропин СЖК в дозе 6 м.е. на килограмм массы и установили за всеми животными клиническое наблюдение. Затем, при появлении у животных признаков половой охоты, коровам второй и четвертой групп внутримышечно ввели сурфагон в дозе 25 мкг. Животные, проявившие признаки половой охоты были осеменены, а через два месяца исследованы на стельность.</w:t>
      </w:r>
    </w:p>
    <w:p w:rsidR="00F4654E" w:rsidRDefault="00F4654E">
      <w:pPr>
        <w:pStyle w:val="a6"/>
      </w:pPr>
      <w:r>
        <w:t>Половая цикличность в первой группе восстановилась у 90 % живо</w:t>
      </w:r>
      <w:r>
        <w:t>т</w:t>
      </w:r>
      <w:r>
        <w:t>ных через 14,0</w:t>
      </w:r>
      <w:r>
        <w:sym w:font="Symbol" w:char="F0B1"/>
      </w:r>
      <w:r>
        <w:t>3,0 дня, во второй - у всех животных через 16,0</w:t>
      </w:r>
      <w:r>
        <w:sym w:font="Symbol" w:char="F0B1"/>
      </w:r>
      <w:r>
        <w:t>4,0 дня, в третьей и четвертой - у 80 % животных через 12,0</w:t>
      </w:r>
      <w:r>
        <w:sym w:font="Symbol" w:char="F0B1"/>
      </w:r>
      <w:r>
        <w:t>5,0 и 14,0</w:t>
      </w:r>
      <w:r>
        <w:sym w:font="Symbol" w:char="F0B1"/>
      </w:r>
      <w:r>
        <w:t>3,0 дня соо</w:t>
      </w:r>
      <w:r>
        <w:t>т</w:t>
      </w:r>
      <w:r>
        <w:t>ветственно. Стали стельными  после первого осеменения в первой группе 60 % животных, во второй - 80 %, в третьей - 50%, в четвертой - 90 % ж</w:t>
      </w:r>
      <w:r>
        <w:t>и</w:t>
      </w:r>
      <w:r>
        <w:t>вотных.</w:t>
      </w:r>
    </w:p>
    <w:p w:rsidR="00F4654E" w:rsidRDefault="00F4654E">
      <w:pPr>
        <w:pStyle w:val="a6"/>
      </w:pPr>
      <w:r>
        <w:t>Вышеизложенное позволяет сделать вывод, что примененные способы лечения коров с гипофункцией яичников можно успешно применять в в</w:t>
      </w:r>
      <w:r>
        <w:t>е</w:t>
      </w:r>
      <w:r>
        <w:t>теринарной практике. При этом применение сурфагона в предложенном порядке обеспечивает более высокую оплодотворяемость. Для профила</w:t>
      </w:r>
      <w:r>
        <w:t>к</w:t>
      </w:r>
      <w:r>
        <w:t>тики данной патологии необходимо полноценное кормление животных, правильное содержание, в том числе предоставление животным в стойл</w:t>
      </w:r>
      <w:r>
        <w:t>о</w:t>
      </w:r>
      <w:r>
        <w:t>вый  период регулярного активного моциона, регулярное проведение на фермах мероприятий, предусмотренных акушерско-гинекологической дис</w:t>
      </w:r>
      <w:r w:rsidR="00D75866">
        <w:t>-</w:t>
      </w:r>
      <w:r>
        <w:t>пансеризацией.</w:t>
      </w:r>
    </w:p>
    <w:p w:rsidR="00F4654E" w:rsidRDefault="00F4654E">
      <w:pPr>
        <w:pStyle w:val="a4"/>
      </w:pPr>
      <w:r>
        <w:t>УДК 636.5/6:616.9:636.082.474.1</w:t>
      </w:r>
    </w:p>
    <w:p w:rsidR="00F4654E" w:rsidRDefault="00F4654E">
      <w:pPr>
        <w:pStyle w:val="1"/>
      </w:pPr>
      <w:bookmarkStart w:id="5998" w:name="_Toc10731650"/>
      <w:bookmarkStart w:id="5999" w:name="_Toc11138133"/>
      <w:bookmarkStart w:id="6000" w:name="_Toc11138551"/>
      <w:bookmarkStart w:id="6001" w:name="_Toc11138969"/>
      <w:bookmarkStart w:id="6002" w:name="_Toc11139387"/>
      <w:bookmarkStart w:id="6003" w:name="_Toc11139805"/>
      <w:bookmarkStart w:id="6004" w:name="_Toc11140223"/>
      <w:bookmarkStart w:id="6005" w:name="_Toc11140641"/>
      <w:bookmarkStart w:id="6006" w:name="_Toc11390735"/>
      <w:bookmarkStart w:id="6007" w:name="_Toc11840422"/>
      <w:bookmarkStart w:id="6008" w:name="_Toc11937958"/>
      <w:r>
        <w:t>МИКРОБИОЛОГИЧЕСКИЙ МОНИТОРИНГ АССОЦИАТИВНЫХ ИНФЕКЦИЙ В ПРОМЫШЛЕННОМ ПТИЦЕВОДСТВЕ НА ПРИМЕРЕ ИНКУБАТОРИЯ</w:t>
      </w:r>
      <w:bookmarkEnd w:id="5998"/>
      <w:bookmarkEnd w:id="5999"/>
      <w:bookmarkEnd w:id="6000"/>
      <w:bookmarkEnd w:id="6001"/>
      <w:bookmarkEnd w:id="6002"/>
      <w:bookmarkEnd w:id="6003"/>
      <w:bookmarkEnd w:id="6004"/>
      <w:bookmarkEnd w:id="6005"/>
      <w:bookmarkEnd w:id="6006"/>
      <w:bookmarkEnd w:id="6007"/>
      <w:bookmarkEnd w:id="6008"/>
    </w:p>
    <w:p w:rsidR="00F4654E" w:rsidRDefault="00F4654E">
      <w:pPr>
        <w:pStyle w:val="2"/>
      </w:pPr>
      <w:bookmarkStart w:id="6009" w:name="_Toc10731651"/>
      <w:bookmarkStart w:id="6010" w:name="_Toc11032430"/>
      <w:bookmarkStart w:id="6011" w:name="_Toc11138134"/>
      <w:bookmarkStart w:id="6012" w:name="_Toc11138552"/>
      <w:bookmarkStart w:id="6013" w:name="_Toc11138970"/>
      <w:bookmarkStart w:id="6014" w:name="_Toc11139388"/>
      <w:bookmarkStart w:id="6015" w:name="_Toc11139806"/>
      <w:bookmarkStart w:id="6016" w:name="_Toc11140224"/>
      <w:bookmarkStart w:id="6017" w:name="_Toc11140642"/>
      <w:bookmarkStart w:id="6018" w:name="_Toc11390736"/>
      <w:bookmarkStart w:id="6019" w:name="_Toc11937959"/>
      <w:r>
        <w:t>Черных М.Н.</w:t>
      </w:r>
      <w:bookmarkEnd w:id="6009"/>
      <w:bookmarkEnd w:id="6010"/>
      <w:bookmarkEnd w:id="6011"/>
      <w:bookmarkEnd w:id="6012"/>
      <w:bookmarkEnd w:id="6013"/>
      <w:bookmarkEnd w:id="6014"/>
      <w:bookmarkEnd w:id="6015"/>
      <w:bookmarkEnd w:id="6016"/>
      <w:bookmarkEnd w:id="6017"/>
      <w:bookmarkEnd w:id="6018"/>
      <w:bookmarkEnd w:id="6019"/>
    </w:p>
    <w:p w:rsidR="00F4654E" w:rsidRDefault="00F4654E">
      <w:pPr>
        <w:pStyle w:val="a5"/>
      </w:pPr>
      <w:r>
        <w:t xml:space="preserve">Институт ветеринарной медицины </w:t>
      </w:r>
      <w:r>
        <w:br/>
        <w:t>Алтайского государственного аграрного университета</w:t>
      </w:r>
    </w:p>
    <w:p w:rsidR="00F4654E" w:rsidRDefault="00F4654E">
      <w:pPr>
        <w:pStyle w:val="a6"/>
      </w:pPr>
      <w:r>
        <w:t>С развитием промышленного птицеводства отмечена возрастающая роль в этиологии болезней птиц ассоциации различных инфекционных агентов вирусной и бактериальной природы. Ассоциация возбудителей б</w:t>
      </w:r>
      <w:r>
        <w:t>о</w:t>
      </w:r>
      <w:r>
        <w:t xml:space="preserve">лезней обусловливает более резкое снижение резистентности птицы в сравнении с моноинфекцией и оказывает антагонистическое действие на иммунобиологическую реактивность организма. При этом  часто бывает </w:t>
      </w:r>
      <w:r>
        <w:lastRenderedPageBreak/>
        <w:t>трудно поставить точный диагноз и своевременно осуществить против</w:t>
      </w:r>
      <w:r>
        <w:t>о</w:t>
      </w:r>
      <w:r>
        <w:t>эпизоотические мероприятия.</w:t>
      </w:r>
    </w:p>
    <w:p w:rsidR="00F4654E" w:rsidRDefault="00F4654E">
      <w:pPr>
        <w:pStyle w:val="a6"/>
      </w:pPr>
      <w:r>
        <w:t>Следует иметь ввиду еще одну особенность проявления инфекцио</w:t>
      </w:r>
      <w:r>
        <w:t>н</w:t>
      </w:r>
      <w:r>
        <w:t>ных болезней в промышленном птицеводстве. В условиях промышленной инкубации яиц и выводимости молодняка птицы наблюдается феномен вертикального распространения патогенных микроорганизмов. Патоге</w:t>
      </w:r>
      <w:r>
        <w:t>н</w:t>
      </w:r>
      <w:r>
        <w:t>ный возбудитель, проникший на стадии формирования яиц в репродукти</w:t>
      </w:r>
      <w:r>
        <w:t>в</w:t>
      </w:r>
      <w:r>
        <w:t>ные органы взрослой птицы, размножается в развивающемся эмбрионе в период инкубации в инкубационном шкафу. Если не наступает гибель э</w:t>
      </w:r>
      <w:r>
        <w:t>м</w:t>
      </w:r>
      <w:r>
        <w:t>бриона, то происходит массовое перезаражение всей партии восприимч</w:t>
      </w:r>
      <w:r>
        <w:t>и</w:t>
      </w:r>
      <w:r>
        <w:t>вых цыплят.</w:t>
      </w:r>
    </w:p>
    <w:p w:rsidR="00F4654E" w:rsidRDefault="00F4654E">
      <w:pPr>
        <w:pStyle w:val="a6"/>
      </w:pPr>
      <w:r>
        <w:t>Инкубатории являются факторами не только передачи, но и генерации инфекции, способствуя увеличению количества патогенных микроорг</w:t>
      </w:r>
      <w:r>
        <w:t>а</w:t>
      </w:r>
      <w:r>
        <w:t>низмов, распространению их  внутри самих инкубаториев и в пределах воздушного бассейна птицехозяйств. Это обусловлено параметрами ми</w:t>
      </w:r>
      <w:r>
        <w:t>к</w:t>
      </w:r>
      <w:r>
        <w:t>роклимата, который благоприятствует размножению микроорганизмов (яичная питательная среда, оптимальный температурно-влажностный р</w:t>
      </w:r>
      <w:r>
        <w:t>е</w:t>
      </w:r>
      <w:r>
        <w:t>жим), а также невозможностью проведения в полном объеме необходимых ветеринарно-санитарных мероприятий вследствие коротких профилакт</w:t>
      </w:r>
      <w:r>
        <w:t>и</w:t>
      </w:r>
      <w:r>
        <w:t>ческих перерывов.</w:t>
      </w:r>
    </w:p>
    <w:p w:rsidR="00F4654E" w:rsidRDefault="00F4654E">
      <w:pPr>
        <w:pStyle w:val="a6"/>
      </w:pPr>
      <w:r>
        <w:t>В инкубатории одновременно реализуются все возможные механизмы передачи возбудителей инфекционных болезней – аэрогенный (через во</w:t>
      </w:r>
      <w:r>
        <w:t>з</w:t>
      </w:r>
      <w:r>
        <w:t>душную среду), алиментарный (при склёвывании фекальных масс в касс</w:t>
      </w:r>
      <w:r>
        <w:t>е</w:t>
      </w:r>
      <w:r>
        <w:t>тах выводных шкафов), вертикальный (при контаминации содержимого яиц), инокуляционный (при вакцинации против болезни Марека). Кроме основных механизмов передачи доказана возможность проникновения микроорганизмов при определении пола суточных цыплят во время сорт</w:t>
      </w:r>
      <w:r>
        <w:t>и</w:t>
      </w:r>
      <w:r>
        <w:t>ровки. Определяющее значение аэрогенного механизма передачи инфе</w:t>
      </w:r>
      <w:r>
        <w:t>к</w:t>
      </w:r>
      <w:r>
        <w:t>ционного начала обусловлено параметрами микроклимата и системой ве</w:t>
      </w:r>
      <w:r>
        <w:t>н</w:t>
      </w:r>
      <w:r>
        <w:t>тиляции, то есть технологией инкубации.</w:t>
      </w:r>
    </w:p>
    <w:p w:rsidR="00F4654E" w:rsidRPr="00D75866" w:rsidRDefault="00F4654E">
      <w:pPr>
        <w:pStyle w:val="a6"/>
        <w:rPr>
          <w:spacing w:val="-2"/>
        </w:rPr>
      </w:pPr>
      <w:r w:rsidRPr="00D75866">
        <w:rPr>
          <w:spacing w:val="-2"/>
        </w:rPr>
        <w:t>В целях снижения аэрогенного механизма передачи инфекции перспе</w:t>
      </w:r>
      <w:r w:rsidRPr="00D75866">
        <w:rPr>
          <w:spacing w:val="-2"/>
        </w:rPr>
        <w:t>к</w:t>
      </w:r>
      <w:r w:rsidRPr="00D75866">
        <w:rPr>
          <w:spacing w:val="-2"/>
        </w:rPr>
        <w:t>тивным направлением в профилактике ассоциативных инфекций явл</w:t>
      </w:r>
      <w:r w:rsidRPr="00D75866">
        <w:rPr>
          <w:spacing w:val="-2"/>
        </w:rPr>
        <w:t>я</w:t>
      </w:r>
      <w:r w:rsidRPr="00D75866">
        <w:rPr>
          <w:spacing w:val="-2"/>
        </w:rPr>
        <w:t>ется боксовая система инкубации и выводимости цыплят, а также забор и подача свежего воздуха за пределами воздушного бассейна птицехозяйс</w:t>
      </w:r>
      <w:r w:rsidRPr="00D75866">
        <w:rPr>
          <w:spacing w:val="-2"/>
        </w:rPr>
        <w:t>т</w:t>
      </w:r>
      <w:r w:rsidRPr="00D75866">
        <w:rPr>
          <w:spacing w:val="-2"/>
        </w:rPr>
        <w:t>ва.</w:t>
      </w:r>
    </w:p>
    <w:p w:rsidR="00F4654E" w:rsidRDefault="00F4654E">
      <w:pPr>
        <w:pStyle w:val="a6"/>
      </w:pPr>
      <w:r>
        <w:t>Поддержанию микробизма в инкубаториях способствуют следующие факторы: различное происхождение племенного яйца от родительских стад с неодинаковым микробным статусом; высокая концентрация биологич</w:t>
      </w:r>
      <w:r>
        <w:t>е</w:t>
      </w:r>
      <w:r>
        <w:t>ской массы, образовавшейся от сотен тысяч эмбрионов и цыплят; выборка цыплят из выводных шкафов несколько раз  в течение недели; высокая восприимчивость цыплят однодневного возраста к инфекционным забол</w:t>
      </w:r>
      <w:r>
        <w:t>е</w:t>
      </w:r>
      <w:r>
        <w:t>ваниям; наличие сооружений и мест в инкубатории, трудно поддающихся очистке и дезинфекции.</w:t>
      </w:r>
    </w:p>
    <w:p w:rsidR="00F4654E" w:rsidRDefault="00F4654E">
      <w:pPr>
        <w:pStyle w:val="a6"/>
      </w:pPr>
      <w:r>
        <w:lastRenderedPageBreak/>
        <w:t>Необходимо постоянно проводить микробиологический мониторинг при выводимости цыплят в выводных шкафах с использованием электи</w:t>
      </w:r>
      <w:r>
        <w:t>в</w:t>
      </w:r>
      <w:r>
        <w:t>ных питательных сред и агара Сабуро, а также контроль эффективности проводимой дезинфекции инкубационных и выводных шкафов.</w:t>
      </w:r>
    </w:p>
    <w:p w:rsidR="00F4654E" w:rsidRDefault="00F4654E">
      <w:pPr>
        <w:pStyle w:val="a4"/>
      </w:pPr>
      <w:r>
        <w:t xml:space="preserve">УДК 636.93.087.6                 </w:t>
      </w:r>
    </w:p>
    <w:p w:rsidR="00F4654E" w:rsidRDefault="00F4654E">
      <w:pPr>
        <w:pStyle w:val="1"/>
      </w:pPr>
      <w:bookmarkStart w:id="6020" w:name="_Toc10731652"/>
      <w:bookmarkStart w:id="6021" w:name="_Toc11138135"/>
      <w:bookmarkStart w:id="6022" w:name="_Toc11138553"/>
      <w:bookmarkStart w:id="6023" w:name="_Toc11138971"/>
      <w:bookmarkStart w:id="6024" w:name="_Toc11139389"/>
      <w:bookmarkStart w:id="6025" w:name="_Toc11139807"/>
      <w:bookmarkStart w:id="6026" w:name="_Toc11140225"/>
      <w:bookmarkStart w:id="6027" w:name="_Toc11140643"/>
      <w:bookmarkStart w:id="6028" w:name="_Toc11390737"/>
      <w:bookmarkStart w:id="6029" w:name="_Toc11840424"/>
      <w:bookmarkStart w:id="6030" w:name="_Toc11937960"/>
      <w:r>
        <w:t>ПРИМЕНЕНИЕ ВИТАМИНА «</w:t>
      </w:r>
      <w:r>
        <w:rPr>
          <w:lang w:val="en-US"/>
        </w:rPr>
        <w:t>U</w:t>
      </w:r>
      <w:r>
        <w:t>» ДЛЯ ПРОФИЛАКТИКИ ЗАБОЛЕВАНИЙ ЖЕЛУДОЧНО-КИШЕЧНОГО ТРАКТА У МОЛОДНЯКА СТАНДАРТНЫХ НОРОК</w:t>
      </w:r>
      <w:bookmarkEnd w:id="6020"/>
      <w:bookmarkEnd w:id="6021"/>
      <w:bookmarkEnd w:id="6022"/>
      <w:bookmarkEnd w:id="6023"/>
      <w:bookmarkEnd w:id="6024"/>
      <w:bookmarkEnd w:id="6025"/>
      <w:bookmarkEnd w:id="6026"/>
      <w:bookmarkEnd w:id="6027"/>
      <w:bookmarkEnd w:id="6028"/>
      <w:bookmarkEnd w:id="6029"/>
      <w:bookmarkEnd w:id="6030"/>
    </w:p>
    <w:p w:rsidR="00F4654E" w:rsidRDefault="00F4654E">
      <w:pPr>
        <w:pStyle w:val="2"/>
      </w:pPr>
      <w:bookmarkStart w:id="6031" w:name="_Toc10731653"/>
      <w:bookmarkStart w:id="6032" w:name="_Toc11032431"/>
      <w:bookmarkStart w:id="6033" w:name="_Toc11138136"/>
      <w:bookmarkStart w:id="6034" w:name="_Toc11138554"/>
      <w:bookmarkStart w:id="6035" w:name="_Toc11138972"/>
      <w:bookmarkStart w:id="6036" w:name="_Toc11139390"/>
      <w:bookmarkStart w:id="6037" w:name="_Toc11139808"/>
      <w:bookmarkStart w:id="6038" w:name="_Toc11140226"/>
      <w:bookmarkStart w:id="6039" w:name="_Toc11140644"/>
      <w:bookmarkStart w:id="6040" w:name="_Toc11390738"/>
      <w:bookmarkStart w:id="6041" w:name="_Toc11937961"/>
      <w:r>
        <w:t>Чопорова Н.В., Шубина Т.П., Чопорова В.В.</w:t>
      </w:r>
      <w:bookmarkEnd w:id="6031"/>
      <w:bookmarkEnd w:id="6032"/>
      <w:bookmarkEnd w:id="6033"/>
      <w:bookmarkEnd w:id="6034"/>
      <w:bookmarkEnd w:id="6035"/>
      <w:bookmarkEnd w:id="6036"/>
      <w:bookmarkEnd w:id="6037"/>
      <w:bookmarkEnd w:id="6038"/>
      <w:bookmarkEnd w:id="6039"/>
      <w:bookmarkEnd w:id="6040"/>
      <w:bookmarkEnd w:id="6041"/>
    </w:p>
    <w:p w:rsidR="00F4654E" w:rsidRDefault="00F4654E">
      <w:pPr>
        <w:pStyle w:val="a5"/>
      </w:pPr>
      <w:r>
        <w:t>Донской государственный аграрный университет</w:t>
      </w:r>
    </w:p>
    <w:p w:rsidR="00F4654E" w:rsidRDefault="00F4654E">
      <w:pPr>
        <w:pStyle w:val="a6"/>
      </w:pPr>
      <w:r>
        <w:t>Желудочно-кишечные заболевания (энтериты) у молодняка норок м</w:t>
      </w:r>
      <w:r>
        <w:t>о</w:t>
      </w:r>
      <w:r>
        <w:t>гут быть алиментарного, бактериального и вирусного происхождения. Т</w:t>
      </w:r>
      <w:r>
        <w:t>е</w:t>
      </w:r>
      <w:r>
        <w:t>чение их имеет некоторое сходство, но алиментарный энтерит прекращ</w:t>
      </w:r>
      <w:r>
        <w:t>а</w:t>
      </w:r>
      <w:r>
        <w:t>ется при исключении из рациона некачественных кормов, при бактериал</w:t>
      </w:r>
      <w:r>
        <w:t>ь</w:t>
      </w:r>
      <w:r>
        <w:t>ном хороший эффект оказывает лечение антибиотиками, тогда как при в</w:t>
      </w:r>
      <w:r>
        <w:t>и</w:t>
      </w:r>
      <w:r>
        <w:t>русном оно не дает положительных результатов. Вирусный энтерит хара</w:t>
      </w:r>
      <w:r>
        <w:t>к</w:t>
      </w:r>
      <w:r>
        <w:t xml:space="preserve">теризуется воспалением слизистой оболочки органов желудочно-кишеч-ного тракта. Клинические признаки: отсутствие аппетита, диарея, рвота, угнетенное состояние, несколько повышена температура тела (40-40,5 </w:t>
      </w:r>
      <w:r>
        <w:rPr>
          <w:vertAlign w:val="superscript"/>
        </w:rPr>
        <w:t>о</w:t>
      </w:r>
      <w:r>
        <w:t xml:space="preserve">С). </w:t>
      </w:r>
    </w:p>
    <w:p w:rsidR="00F4654E" w:rsidRDefault="00F4654E">
      <w:pPr>
        <w:pStyle w:val="a6"/>
      </w:pPr>
      <w:r>
        <w:t>В последнее время появились сообщения о положительном эффекте витамина U при лечении желудочно-кишечных заболеваний молодняка но-рок (язвенной болезни). Это послужило основанием для испытания вит</w:t>
      </w:r>
      <w:r>
        <w:t>а</w:t>
      </w:r>
      <w:r>
        <w:t>мина U при вирусном энтерите норок. Витамин U - метилметионинсул</w:t>
      </w:r>
      <w:r>
        <w:t>ь</w:t>
      </w:r>
      <w:r>
        <w:t>фонийхлорид – активная форма метионина, улучшает метаболизм слиз</w:t>
      </w:r>
      <w:r>
        <w:t>и</w:t>
      </w:r>
      <w:r>
        <w:t>стой желудочно-кишечного тракта, что повышает ее сопротивляемость к действию отрицательных факторов.</w:t>
      </w:r>
    </w:p>
    <w:p w:rsidR="00F4654E" w:rsidRDefault="00F4654E">
      <w:pPr>
        <w:pStyle w:val="a6"/>
      </w:pPr>
      <w:r>
        <w:t>По принципу аналогов были отобраны три группы стандартных н</w:t>
      </w:r>
      <w:r>
        <w:t>о</w:t>
      </w:r>
      <w:r>
        <w:t>рок: клинически здоровые, с тяжелой формой течения болезни и с легкой формой заболевания. В рацион подопытных норок вводили витамин U из расчета 100 мг на 1 голову в сутки, что соответствует средней терапевт</w:t>
      </w:r>
      <w:r>
        <w:t>и</w:t>
      </w:r>
      <w:r>
        <w:t>ческой дозе. Учитывали биохимические показатели крови (содержание г</w:t>
      </w:r>
      <w:r>
        <w:t>е</w:t>
      </w:r>
      <w:r>
        <w:t>моглобина, общего белка и белковых фракций в сыворотке крови). Дост</w:t>
      </w:r>
      <w:r>
        <w:t>о</w:t>
      </w:r>
      <w:r>
        <w:t>верной разницы в содержании гемоглобина в крови подопытных животных не установлено. Содержание общего белка в сыворотке крови подопытных и контрольных норок также не имело статистически достоверной разницы. На 15-й день применения витамина U наблюдалось достоверное увелич</w:t>
      </w:r>
      <w:r>
        <w:t>е</w:t>
      </w:r>
      <w:r>
        <w:t>ние содержания общего белка в сыворотке крови (Р&gt;0,01) у норок опы</w:t>
      </w:r>
      <w:r>
        <w:t>т</w:t>
      </w:r>
      <w:r>
        <w:t xml:space="preserve">ных групп по сравнению с контролем (Р&gt;0,01) за счет увеличения фракций </w:t>
      </w:r>
      <w:r>
        <w:sym w:font="Symbol" w:char="F062"/>
      </w:r>
      <w:r>
        <w:t>-глобулинов. Лучший эффект от применения витамина U отмечен у ста</w:t>
      </w:r>
      <w:r>
        <w:t>н</w:t>
      </w:r>
      <w:r>
        <w:t xml:space="preserve">дартных норок с легкой формой течения энтерита, что позволяет сделать предварительный вывод о целесообразности применения витамина U для </w:t>
      </w:r>
      <w:r>
        <w:lastRenderedPageBreak/>
        <w:t>профилактики желудочно-кишечных заболеваний у молодняка стандар</w:t>
      </w:r>
      <w:r>
        <w:t>т</w:t>
      </w:r>
      <w:r>
        <w:t>ных норок.</w:t>
      </w:r>
    </w:p>
    <w:p w:rsidR="00F4654E" w:rsidRDefault="00F4654E">
      <w:pPr>
        <w:pStyle w:val="a4"/>
      </w:pPr>
      <w:r>
        <w:t>УДК 615.322:581.135.51</w:t>
      </w:r>
    </w:p>
    <w:p w:rsidR="00F4654E" w:rsidRDefault="00F4654E">
      <w:pPr>
        <w:pStyle w:val="1"/>
      </w:pPr>
      <w:bookmarkStart w:id="6042" w:name="_Toc10731654"/>
      <w:bookmarkStart w:id="6043" w:name="_Toc11138137"/>
      <w:bookmarkStart w:id="6044" w:name="_Toc11138555"/>
      <w:bookmarkStart w:id="6045" w:name="_Toc11138973"/>
      <w:bookmarkStart w:id="6046" w:name="_Toc11139391"/>
      <w:bookmarkStart w:id="6047" w:name="_Toc11139809"/>
      <w:bookmarkStart w:id="6048" w:name="_Toc11140227"/>
      <w:bookmarkStart w:id="6049" w:name="_Toc11140645"/>
      <w:bookmarkStart w:id="6050" w:name="_Toc11390739"/>
      <w:bookmarkStart w:id="6051" w:name="_Toc11840426"/>
      <w:bookmarkStart w:id="6052" w:name="_Toc11937962"/>
      <w:r>
        <w:t>Влияние эфирных масел мяты перечной,  шалфея и эвкалипта на неспецифическую резистентность кроликов</w:t>
      </w:r>
      <w:bookmarkEnd w:id="6042"/>
      <w:bookmarkEnd w:id="6043"/>
      <w:bookmarkEnd w:id="6044"/>
      <w:bookmarkEnd w:id="6045"/>
      <w:bookmarkEnd w:id="6046"/>
      <w:bookmarkEnd w:id="6047"/>
      <w:bookmarkEnd w:id="6048"/>
      <w:bookmarkEnd w:id="6049"/>
      <w:bookmarkEnd w:id="6050"/>
      <w:bookmarkEnd w:id="6051"/>
      <w:bookmarkEnd w:id="6052"/>
    </w:p>
    <w:p w:rsidR="00F4654E" w:rsidRDefault="00F4654E">
      <w:pPr>
        <w:pStyle w:val="2"/>
      </w:pPr>
      <w:bookmarkStart w:id="6053" w:name="_Toc10731655"/>
      <w:bookmarkStart w:id="6054" w:name="_Toc11032432"/>
      <w:bookmarkStart w:id="6055" w:name="_Toc11138138"/>
      <w:bookmarkStart w:id="6056" w:name="_Toc11138556"/>
      <w:bookmarkStart w:id="6057" w:name="_Toc11138974"/>
      <w:bookmarkStart w:id="6058" w:name="_Toc11139392"/>
      <w:bookmarkStart w:id="6059" w:name="_Toc11139810"/>
      <w:bookmarkStart w:id="6060" w:name="_Toc11140228"/>
      <w:bookmarkStart w:id="6061" w:name="_Toc11140646"/>
      <w:bookmarkStart w:id="6062" w:name="_Toc11390740"/>
      <w:bookmarkStart w:id="6063" w:name="_Toc11937963"/>
      <w:r>
        <w:t>Чупахина Н.В., Шкиль Н.А., Казаринова Н.В.</w:t>
      </w:r>
      <w:bookmarkEnd w:id="6053"/>
      <w:bookmarkEnd w:id="6054"/>
      <w:bookmarkEnd w:id="6055"/>
      <w:bookmarkEnd w:id="6056"/>
      <w:bookmarkEnd w:id="6057"/>
      <w:bookmarkEnd w:id="6058"/>
      <w:bookmarkEnd w:id="6059"/>
      <w:bookmarkEnd w:id="6060"/>
      <w:bookmarkEnd w:id="6061"/>
      <w:bookmarkEnd w:id="6062"/>
      <w:bookmarkEnd w:id="6063"/>
    </w:p>
    <w:p w:rsidR="00F4654E" w:rsidRDefault="00F4654E">
      <w:pPr>
        <w:pStyle w:val="a5"/>
      </w:pPr>
      <w:r>
        <w:t>Институт экспериментальной ветеринарии Сибири и Дальнего Востока</w:t>
      </w:r>
    </w:p>
    <w:p w:rsidR="00F4654E" w:rsidRDefault="00F4654E">
      <w:pPr>
        <w:pStyle w:val="a6"/>
        <w:rPr>
          <w:b/>
        </w:rPr>
      </w:pPr>
      <w:r>
        <w:t>Эфирные масла обладают широким спектром антимикробного  дейс</w:t>
      </w:r>
      <w:r>
        <w:t>т</w:t>
      </w:r>
      <w:r>
        <w:t>вия и, кроме того, действуют как иммуномодуляторы. Антимикробное  действие достигается за счет содержания  в  эфирных маслах анетола и т</w:t>
      </w:r>
      <w:r>
        <w:t>и</w:t>
      </w:r>
      <w:r>
        <w:t xml:space="preserve">мола и терпенов. </w:t>
      </w:r>
    </w:p>
    <w:p w:rsidR="00F4654E" w:rsidRDefault="00F4654E">
      <w:pPr>
        <w:pStyle w:val="a6"/>
      </w:pPr>
      <w:r>
        <w:t>Для исследования были использованы эфирные масла высших раст</w:t>
      </w:r>
      <w:r>
        <w:t>е</w:t>
      </w:r>
      <w:r>
        <w:t>ний: мяты перечной  шалфея и эвкалипта.</w:t>
      </w:r>
    </w:p>
    <w:p w:rsidR="00F4654E" w:rsidRDefault="00F4654E">
      <w:pPr>
        <w:pStyle w:val="a6"/>
      </w:pPr>
      <w:r>
        <w:t>Изучение действия эфирных масел на биохимические и гематологич</w:t>
      </w:r>
      <w:r>
        <w:t>е</w:t>
      </w:r>
      <w:r>
        <w:t>ские показатели крови проводили на кроликах, весом 1,7 кг 3-месячного возраста из  которых формировали 4  группы по пять голов:1 группу обр</w:t>
      </w:r>
      <w:r>
        <w:t>а</w:t>
      </w:r>
      <w:r>
        <w:t>батывали парами эфирного масла мяты перечной, 2 группу - шалфея, 3 группу - эвкалипта, 4 группа - контрольная. Ингаляции проводили в аэр</w:t>
      </w:r>
      <w:r>
        <w:t>о</w:t>
      </w:r>
      <w:r>
        <w:t>зольной камере объемом 28 м3 ежедневно в течение пяти дней.  Распыля</w:t>
      </w:r>
      <w:r>
        <w:t>е</w:t>
      </w:r>
      <w:r>
        <w:t>мая доза эфирного масла  составляла 0,025 мл/м</w:t>
      </w:r>
      <w:r>
        <w:rPr>
          <w:vertAlign w:val="superscript"/>
        </w:rPr>
        <w:t>3</w:t>
      </w:r>
      <w:r>
        <w:t xml:space="preserve"> камеры. </w:t>
      </w:r>
    </w:p>
    <w:p w:rsidR="00F4654E" w:rsidRDefault="00F4654E">
      <w:pPr>
        <w:pStyle w:val="a6"/>
      </w:pPr>
      <w:r>
        <w:t>После пятидневной ингаляции кроликов эфирным маслом мяты п</w:t>
      </w:r>
      <w:r>
        <w:t>е</w:t>
      </w:r>
      <w:r>
        <w:t>речной  установлено повышение в крови эритроцитов на 16,28%, а также наблюдается снижение количества лейкоцитов с 9,52±3,2 до 4,91±1,6 отн</w:t>
      </w:r>
      <w:r>
        <w:t>о</w:t>
      </w:r>
      <w:r>
        <w:t xml:space="preserve">сительно контрольной группы. В сыворотке крови увеличилось количество бета-глобулинов на 132,8%, гамма-глобулинов на 37,6% и общего белка на 12,4%, также отмечается увеличение содержания витамина Е, каротина, мочевины, кальция и неорганического фосфора. </w:t>
      </w:r>
    </w:p>
    <w:p w:rsidR="00F4654E" w:rsidRDefault="00F4654E">
      <w:pPr>
        <w:pStyle w:val="a6"/>
      </w:pPr>
      <w:r>
        <w:t>После ингаляции кроликов эфирным маслом шалфея  отмечено  п</w:t>
      </w:r>
      <w:r>
        <w:t>о</w:t>
      </w:r>
      <w:r>
        <w:t>вышение в крови эритроцитов на 24,1%, и также, как в 1-й группе набл</w:t>
      </w:r>
      <w:r>
        <w:t>ю</w:t>
      </w:r>
      <w:r>
        <w:t>дается снижение количества лейкоцитов с 9,52±3,2 до 7,35±1,8 относ</w:t>
      </w:r>
      <w:r>
        <w:t>и</w:t>
      </w:r>
      <w:r>
        <w:t>тельно контрольной группы. В  сыворотке крови увеличилось количество бета-глобулинов на 99,47%, гамма-глобулинов на 49,66%, количество о</w:t>
      </w:r>
      <w:r>
        <w:t>б</w:t>
      </w:r>
      <w:r>
        <w:t>щего белка на 21,5%, также увеличилось содержание витамина Е, карот</w:t>
      </w:r>
      <w:r>
        <w:t>и</w:t>
      </w:r>
      <w:r>
        <w:t>на, кальция и неорганического фосфора.</w:t>
      </w:r>
    </w:p>
    <w:p w:rsidR="00F4654E" w:rsidRDefault="00F4654E">
      <w:pPr>
        <w:pStyle w:val="a6"/>
      </w:pPr>
      <w:r>
        <w:t xml:space="preserve">После ингаляций эфирным маслом эвкалипта в крови  значительно увеличилось содержание лейкоцитов на 39,34%, эритроцитов на 10,13% в сыворотке крови кроликов, увеличилось содержание общего белка на 7,8%, </w:t>
      </w:r>
      <w:r>
        <w:sym w:font="Symbol" w:char="F061"/>
      </w:r>
      <w:r>
        <w:t xml:space="preserve">-глобулинов на 24,95%, </w:t>
      </w:r>
      <w:r>
        <w:sym w:font="Symbol" w:char="F062"/>
      </w:r>
      <w:r>
        <w:t xml:space="preserve">-глобулинов на 18,98% и </w:t>
      </w:r>
      <w:r>
        <w:sym w:font="Symbol" w:char="F067"/>
      </w:r>
      <w:r>
        <w:t>-глобулинов на 13,7%, увеличилась бактерицидная на 32,12% и лизоцимная на 36,3% а</w:t>
      </w:r>
      <w:r>
        <w:t>к</w:t>
      </w:r>
      <w:r>
        <w:t>тивность сыворотки крови по сравнению с контрольной группой. У живо</w:t>
      </w:r>
      <w:r>
        <w:t>т</w:t>
      </w:r>
      <w:r>
        <w:t xml:space="preserve">ных опытных групп отмечается повышение максимальной осмотической </w:t>
      </w:r>
      <w:r>
        <w:lastRenderedPageBreak/>
        <w:t xml:space="preserve">резистентности эритроцитов. Это свидетельствует об увеличении числа эритроцитов с более прочной плазмолеммой. </w:t>
      </w:r>
    </w:p>
    <w:p w:rsidR="00F4654E" w:rsidRDefault="00F4654E">
      <w:pPr>
        <w:pStyle w:val="a6"/>
      </w:pPr>
      <w:r>
        <w:t>Проведенные исследования показали, что применение эфирных масел мяты перечной, шалфея и эвкалипта способствует повышению неспециф</w:t>
      </w:r>
      <w:r>
        <w:t>и</w:t>
      </w:r>
      <w:r>
        <w:t>ческой реактивности организма (увеличение количества гамма-глобулинов в крови, значительное повышение лизоцимной и бактерицидной активн</w:t>
      </w:r>
      <w:r>
        <w:t>о</w:t>
      </w:r>
      <w:r>
        <w:t>сти сыворотки крови), а также увеличивается усвоение и обмен белков в организме кроликов.</w:t>
      </w:r>
    </w:p>
    <w:p w:rsidR="00F4654E" w:rsidRDefault="00F4654E">
      <w:pPr>
        <w:pStyle w:val="a4"/>
      </w:pPr>
      <w:r>
        <w:t>УДК 619:578.823.91:636.22/28:616-079.4</w:t>
      </w:r>
    </w:p>
    <w:p w:rsidR="00F4654E" w:rsidRDefault="00F4654E">
      <w:pPr>
        <w:pStyle w:val="1"/>
      </w:pPr>
      <w:bookmarkStart w:id="6064" w:name="_Toc10731656"/>
      <w:bookmarkStart w:id="6065" w:name="_Toc11138139"/>
      <w:bookmarkStart w:id="6066" w:name="_Toc11138557"/>
      <w:bookmarkStart w:id="6067" w:name="_Toc11138975"/>
      <w:bookmarkStart w:id="6068" w:name="_Toc11139393"/>
      <w:bookmarkStart w:id="6069" w:name="_Toc11139811"/>
      <w:bookmarkStart w:id="6070" w:name="_Toc11140229"/>
      <w:bookmarkStart w:id="6071" w:name="_Toc11140647"/>
      <w:bookmarkStart w:id="6072" w:name="_Toc11390741"/>
      <w:bookmarkStart w:id="6073" w:name="_Toc11840428"/>
      <w:bookmarkStart w:id="6074" w:name="_Toc11937964"/>
      <w:r>
        <w:t>Комбинации G- и Р-типов ротавирусов КРС, циркулирующих в животноводческих хозяйствах Российской Федерации</w:t>
      </w:r>
      <w:bookmarkEnd w:id="6064"/>
      <w:bookmarkEnd w:id="6065"/>
      <w:bookmarkEnd w:id="6066"/>
      <w:bookmarkEnd w:id="6067"/>
      <w:bookmarkEnd w:id="6068"/>
      <w:bookmarkEnd w:id="6069"/>
      <w:bookmarkEnd w:id="6070"/>
      <w:bookmarkEnd w:id="6071"/>
      <w:bookmarkEnd w:id="6072"/>
      <w:bookmarkEnd w:id="6073"/>
      <w:bookmarkEnd w:id="6074"/>
    </w:p>
    <w:p w:rsidR="00F4654E" w:rsidRDefault="00F4654E">
      <w:pPr>
        <w:pStyle w:val="2"/>
      </w:pPr>
      <w:bookmarkStart w:id="6075" w:name="_Toc10731657"/>
      <w:bookmarkStart w:id="6076" w:name="_Toc11032433"/>
      <w:bookmarkStart w:id="6077" w:name="_Toc11138140"/>
      <w:bookmarkStart w:id="6078" w:name="_Toc11138558"/>
      <w:bookmarkStart w:id="6079" w:name="_Toc11138976"/>
      <w:bookmarkStart w:id="6080" w:name="_Toc11139394"/>
      <w:bookmarkStart w:id="6081" w:name="_Toc11139812"/>
      <w:bookmarkStart w:id="6082" w:name="_Toc11140230"/>
      <w:bookmarkStart w:id="6083" w:name="_Toc11140648"/>
      <w:bookmarkStart w:id="6084" w:name="_Toc11390742"/>
      <w:bookmarkStart w:id="6085" w:name="_Toc11937965"/>
      <w:r>
        <w:t>Чупин С.А., Аянот П.К., Кудрявцев В.А., Дороненкова Г.Н.</w:t>
      </w:r>
      <w:bookmarkEnd w:id="6075"/>
      <w:bookmarkEnd w:id="6076"/>
      <w:bookmarkEnd w:id="6077"/>
      <w:bookmarkEnd w:id="6078"/>
      <w:bookmarkEnd w:id="6079"/>
      <w:bookmarkEnd w:id="6080"/>
      <w:bookmarkEnd w:id="6081"/>
      <w:bookmarkEnd w:id="6082"/>
      <w:bookmarkEnd w:id="6083"/>
      <w:bookmarkEnd w:id="6084"/>
      <w:bookmarkEnd w:id="6085"/>
    </w:p>
    <w:p w:rsidR="00F4654E" w:rsidRDefault="00F4654E">
      <w:pPr>
        <w:pStyle w:val="a5"/>
      </w:pPr>
      <w:r>
        <w:t>Всероссийский научно-исследовательский институт защиты животных</w:t>
      </w:r>
    </w:p>
    <w:p w:rsidR="00F4654E" w:rsidRDefault="00F4654E">
      <w:pPr>
        <w:pStyle w:val="a6"/>
      </w:pPr>
      <w:r>
        <w:t>Ротавирусы (РВ) группы А признаны одной из наиболее частых пр</w:t>
      </w:r>
      <w:r>
        <w:t>и</w:t>
      </w:r>
      <w:r>
        <w:t>чин, вызывающих острые гастроэнтериты у молодняка КРС. Согласно а</w:t>
      </w:r>
      <w:r>
        <w:t>н</w:t>
      </w:r>
      <w:r>
        <w:t>тигенным свойствам поверхностных белков VP7 и VP4 РВ классифицир</w:t>
      </w:r>
      <w:r>
        <w:t>у</w:t>
      </w:r>
      <w:r>
        <w:t>ют на G- и Р-серотипы. В настоящее время насчитывается 14 G-серотипов и 20 Р-серотипов и генотипов РВ, установленных на основе серологич</w:t>
      </w:r>
      <w:r>
        <w:t>е</w:t>
      </w:r>
      <w:r>
        <w:t>ских реакций и анализа первичной структуры соответствующих генов. Р</w:t>
      </w:r>
      <w:r>
        <w:t>е</w:t>
      </w:r>
      <w:r>
        <w:t>зультаты проведенных исследований показывают, что КРС наиболее часто поражается РВ, имеющими типы G6, G8, G10 и Р1, Р5, Р11. Гораздо реже у КРС обнаруживают РВ с G-типами G1, G2, G3, G7 и G11. В силу явления реассортации геномных сегментов G- и Р-серотипы наследуются незав</w:t>
      </w:r>
      <w:r>
        <w:t>и</w:t>
      </w:r>
      <w:r>
        <w:t>симо друг от друга. Поэтому возможно множество комбинаций этих сер</w:t>
      </w:r>
      <w:r>
        <w:t>о</w:t>
      </w:r>
      <w:r>
        <w:t>типов. Распространение различных комбинаций серотипов РВ КРС на те</w:t>
      </w:r>
      <w:r>
        <w:t>р</w:t>
      </w:r>
      <w:r>
        <w:t xml:space="preserve">ритории РФ на данный момент не изучено. </w:t>
      </w:r>
    </w:p>
    <w:p w:rsidR="00F4654E" w:rsidRDefault="00F4654E">
      <w:pPr>
        <w:pStyle w:val="a6"/>
      </w:pPr>
      <w:r>
        <w:t>Определение серотипов с помощью серологических реакций осло</w:t>
      </w:r>
      <w:r>
        <w:t>ж</w:t>
      </w:r>
      <w:r>
        <w:t>нено вследствие недоступности соответствующих моноклональных ант</w:t>
      </w:r>
      <w:r>
        <w:t>и</w:t>
      </w:r>
      <w:r>
        <w:t>тел или референтных штаммов на каждый серотип. Современные молек</w:t>
      </w:r>
      <w:r>
        <w:t>у</w:t>
      </w:r>
      <w:r>
        <w:t>лярно-биологические методы, такие как полимеразная цепная реакция (ПЦР) и нуклеотидное секвенирование позволяют определять серотипы с помощью анализа соответствующих участков генома.</w:t>
      </w:r>
    </w:p>
    <w:p w:rsidR="00F4654E" w:rsidRDefault="00F4654E">
      <w:pPr>
        <w:pStyle w:val="a6"/>
      </w:pPr>
      <w:r>
        <w:t xml:space="preserve">Исходя из вышеизложенного, целью исследования являлось изучение распространения комбинаций G- и Р-серотипов среди российских изолятов РВ КРС с помощью ПЦР и нуклеотидного секвенирования. </w:t>
      </w:r>
    </w:p>
    <w:p w:rsidR="00F4654E" w:rsidRDefault="00F4654E">
      <w:pPr>
        <w:pStyle w:val="a6"/>
      </w:pPr>
      <w:r>
        <w:t>В качестве мишеней для ПЦР были выбраны участки генов VP7 и VP4, кодирующих одноименные белки, которые обуславливают G- и P-типовую специфичность РВ. В ПЦР принимали участие типоспецифич</w:t>
      </w:r>
      <w:r>
        <w:t>е</w:t>
      </w:r>
      <w:r>
        <w:t xml:space="preserve">ские праймеры, рассчитанные на амплификацию фрагментов генов только РВ определенных серотипов, которые встречаются наиболее часто, или </w:t>
      </w:r>
      <w:r>
        <w:lastRenderedPageBreak/>
        <w:t>универсальные праймеры, рассчитанные на амплификацию участков ген</w:t>
      </w:r>
      <w:r>
        <w:t>о</w:t>
      </w:r>
      <w:r>
        <w:t xml:space="preserve">ма РВ всех известных на данный момент серотипов. </w:t>
      </w:r>
    </w:p>
    <w:p w:rsidR="00F4654E" w:rsidRDefault="00F4654E">
      <w:pPr>
        <w:pStyle w:val="a6"/>
      </w:pPr>
      <w:r>
        <w:t>Серотипы тестируемых РВ определяли по длине продукта реакции в ПЦР с типоспецифическими праймерами и с помощью анализа нуклеоти</w:t>
      </w:r>
      <w:r>
        <w:t>д</w:t>
      </w:r>
      <w:r>
        <w:t>ной последовательности фрагментов, полученных в ПЦР с типоспециф</w:t>
      </w:r>
      <w:r>
        <w:t>и</w:t>
      </w:r>
      <w:r>
        <w:t>ческими и универсальными праймерами. Для сравнительного анализа и</w:t>
      </w:r>
      <w:r>
        <w:t>с</w:t>
      </w:r>
      <w:r>
        <w:t>пользовали нуклеотидные последовательности генов полевых изолятов РВ КРС и штаммов РВ, серотипы которых установлены с помощью серолог</w:t>
      </w:r>
      <w:r>
        <w:t>и</w:t>
      </w:r>
      <w:r>
        <w:t xml:space="preserve">ческих реакций, и информация о первичной структуре соответствующих генов которых имеется в компьютерной базе данных GenBank. </w:t>
      </w:r>
    </w:p>
    <w:p w:rsidR="00F4654E" w:rsidRDefault="00F4654E">
      <w:pPr>
        <w:pStyle w:val="a6"/>
      </w:pPr>
      <w:r>
        <w:t>В ходе анализа устанавливали штаммы, которые имеют наибольший уровень гомологии с изолятами РВ при сравнении первичной структуры генов VP7 и VP4. Если изолят имел высокий уровень гомологии со шта</w:t>
      </w:r>
      <w:r>
        <w:t>м</w:t>
      </w:r>
      <w:r>
        <w:t xml:space="preserve">мами определенного серотипа и низкий уровень гомологии со штаммами других серотипов, то его относили к данному серотипу. </w:t>
      </w:r>
    </w:p>
    <w:p w:rsidR="00F4654E" w:rsidRDefault="00F4654E">
      <w:pPr>
        <w:pStyle w:val="a6"/>
      </w:pPr>
      <w:r>
        <w:t xml:space="preserve">В ходе исследования были установлены G- и Р-серотипы (генотипы) 18 изолятов РВ КРС из образцов патологического материала, поступивших из различных животноводческих хозяйств Российской Федерации. </w:t>
      </w:r>
    </w:p>
    <w:p w:rsidR="00F4654E" w:rsidRDefault="00F4654E">
      <w:pPr>
        <w:pStyle w:val="a6"/>
      </w:pPr>
      <w:r>
        <w:t>Наиболее распространенной комбинацией G- и Р-типов была G6P5 (33,3%), менее часто встречались комбинации G10P11 (22,2%), G6P11 (16,7%), G8P5 (11,1%) и по одному изоляту имели серотипы G8P1, G11P14, G8P7. Все комбинации серотипов, кроме двух последних являются типи</w:t>
      </w:r>
      <w:r>
        <w:t>ч</w:t>
      </w:r>
      <w:r>
        <w:t>ными для РВ КРС. Следует отметить, что сочетание серотипов G11P14  и G8P7 ранее не встречалось у РВ КРС. Тип G11 характерен для РВ свиней, хотя исследования, проведенные за рубежом, показали, что иногда он о</w:t>
      </w:r>
      <w:r>
        <w:t>б</w:t>
      </w:r>
      <w:r>
        <w:t xml:space="preserve">наруживается и у РВ КРС. По литературным данным КРС поражается РВ только трех Р-типов: Р1, Р5 и Р11. </w:t>
      </w:r>
    </w:p>
    <w:p w:rsidR="00F4654E" w:rsidRDefault="00F4654E">
      <w:pPr>
        <w:pStyle w:val="a6"/>
      </w:pPr>
      <w:r>
        <w:t>В настоящем исследовании было выявлено 2 изолята, которые имели другие Р-типы: Р7 и Р14. Ранее эти Р-типы обнаруживали только у РВ св</w:t>
      </w:r>
      <w:r>
        <w:t>и</w:t>
      </w:r>
      <w:r>
        <w:t xml:space="preserve">ней. Отмечено, что РВ сравнительно легко преодолевают межвидовые барьеры. Поэтому, вероятнее всего, хозяевами предков двух изолятов, имеющих серотипы G8P7 и G11P14, были свиньи, и в какой-то момент произошел перенос РВ от свиньи к КРС. </w:t>
      </w:r>
    </w:p>
    <w:p w:rsidR="00F4654E" w:rsidRDefault="00F4654E">
      <w:pPr>
        <w:pStyle w:val="a6"/>
      </w:pPr>
      <w:r>
        <w:t>Известно, что одно животное может быть инфицировано одновреме</w:t>
      </w:r>
      <w:r>
        <w:t>н</w:t>
      </w:r>
      <w:r>
        <w:t>но несколькими разными ротавирусами. Применение методики ПЦР с и</w:t>
      </w:r>
      <w:r>
        <w:t>с</w:t>
      </w:r>
      <w:r>
        <w:t>пользованием пула типоспецифических праймеров, расположенных на различном расстоянии от парного им универсального праймера, позволяет дифференцировать 2 или 3 изолята в одном образце патологического мат</w:t>
      </w:r>
      <w:r>
        <w:t>е</w:t>
      </w:r>
      <w:r>
        <w:t>риала, если они принадлежат к двум разным G- или Р-типам. Действител</w:t>
      </w:r>
      <w:r>
        <w:t>ь</w:t>
      </w:r>
      <w:r>
        <w:t>но, при тестировании одного образца в продуктах ПЦР гена VP4 были о</w:t>
      </w:r>
      <w:r>
        <w:t>б</w:t>
      </w:r>
      <w:r>
        <w:t>наружены 2 фрагмента, размер которых соответствовал РВ типов Р1 и Р5. Анализ нуклеотидных последовательностей этих фрагментов подтвердил их типовую специфичность. При тестировании данного образца с пом</w:t>
      </w:r>
      <w:r>
        <w:t>о</w:t>
      </w:r>
      <w:r>
        <w:lastRenderedPageBreak/>
        <w:t>щью ПЦР гена VP7 был получен только один фрагмент, размер и перви</w:t>
      </w:r>
      <w:r>
        <w:t>ч</w:t>
      </w:r>
      <w:r>
        <w:t xml:space="preserve">ная структура которого соответствовали типу G8. </w:t>
      </w:r>
    </w:p>
    <w:p w:rsidR="00F4654E" w:rsidRDefault="00F4654E">
      <w:pPr>
        <w:pStyle w:val="a6"/>
      </w:pPr>
      <w:r>
        <w:t>Таким образом, возможно, что оба изолята с разными Р-типами имели один и тот же G-тип. Вероятно, 2 изолята приобрели один и тот же ген VP7 в результате реассортации, или, в результате того же процесса, от одного общего предка произошли 2 ротавируса, обладающие разными генами VP4.</w:t>
      </w:r>
    </w:p>
    <w:p w:rsidR="00F4654E" w:rsidRDefault="00F4654E">
      <w:pPr>
        <w:pStyle w:val="a6"/>
      </w:pPr>
      <w:r>
        <w:t>Известно, что G- и Р-серотипы РВ наследуются независимо друг от друга, что получило название «независимой сегрегации серотипов». Да</w:t>
      </w:r>
      <w:r>
        <w:t>н</w:t>
      </w:r>
      <w:r>
        <w:t>ные, полученные для российских изолятов, в целом, согласуются с этой теорией. Так, наиболее распространенными серотипами полевых изолятов РВ были G6 и Р5. В соответствии с этим и наиболее часто встречающейся комбинацией серотипов была G6P5. Исключение из этого правила соста</w:t>
      </w:r>
      <w:r>
        <w:t>в</w:t>
      </w:r>
      <w:r>
        <w:t xml:space="preserve">ляют изоляты, имеющие серотип G10. Все 4 изолята с данным G-серотипом имели Р-тип Р11. </w:t>
      </w:r>
    </w:p>
    <w:p w:rsidR="00F4654E" w:rsidRDefault="00F4654E">
      <w:pPr>
        <w:pStyle w:val="a6"/>
      </w:pPr>
      <w:r>
        <w:t>По результатам исследований, проведенных в различных странах, также наблюдалось значительное преобладание штаммов с комбинацией типов G10P11 над РВ КРС, имеющими серотип G10 и Р-серотип, отличный от Р11. Возможно, РВ КРС с сочетанием типов G10 и Р11 имеют селекти</w:t>
      </w:r>
      <w:r>
        <w:t>в</w:t>
      </w:r>
      <w:r>
        <w:t>ное преимущество по сравнению с РВ типа G10 и другого Р-типа.</w:t>
      </w:r>
    </w:p>
    <w:p w:rsidR="00F4654E" w:rsidRDefault="00F4654E">
      <w:pPr>
        <w:pStyle w:val="a6"/>
      </w:pPr>
      <w:r>
        <w:t>Для некоторых штаммов ротавирусов, выделенных в разное время и в разных регионах от КРС, было установлено, что они имели высокий ур</w:t>
      </w:r>
      <w:r>
        <w:t>о</w:t>
      </w:r>
      <w:r>
        <w:t>вень гомологии по одному гену и низкий по другому, что указывает на р</w:t>
      </w:r>
      <w:r>
        <w:t>е</w:t>
      </w:r>
      <w:r>
        <w:t>ассортацию геномных сегментов у этих штаммов. Однако ранее ничего не было известно о частоте реассортации в природе. Изучение генов VP7 и VP4 одних и тех же полевых изолятов позволило оценить относительную частоту реассортации этих генов в естественных условиях. Некоторые из</w:t>
      </w:r>
      <w:r>
        <w:t>о</w:t>
      </w:r>
      <w:r>
        <w:t>ляты, изученные по генам VP7 и VP4, имели идентичную или почти иде</w:t>
      </w:r>
      <w:r>
        <w:t>н</w:t>
      </w:r>
      <w:r>
        <w:t>тичную структуру одного гена, в то время как те же самые изоляты знач</w:t>
      </w:r>
      <w:r>
        <w:t>и</w:t>
      </w:r>
      <w:r>
        <w:t xml:space="preserve">тельно отличались по другому гену (более 30%). Очевидно, что в каждой паре таких изолятов один из генов имеет разное, в то время как другой ген имеет общее происхождение для обоих изолятов. Такие взаимоотношения наблюдались для шести из восемнадцати изученных изолятов. </w:t>
      </w:r>
    </w:p>
    <w:p w:rsidR="00F4654E" w:rsidRDefault="00F4654E">
      <w:pPr>
        <w:pStyle w:val="a6"/>
      </w:pPr>
      <w:r>
        <w:t>Таким образом, шесть из 18 изученных российских изолятов, очеви</w:t>
      </w:r>
      <w:r>
        <w:t>д</w:t>
      </w:r>
      <w:r>
        <w:t>но, были вовлечены в процесс реассортации сравнительно недавно. Это показывает, что реассортация ротавирусных геномных сегментов довольно обычное явление в полевых условиях.</w:t>
      </w:r>
    </w:p>
    <w:p w:rsidR="00F4654E" w:rsidRDefault="00F4654E">
      <w:pPr>
        <w:pStyle w:val="a6"/>
      </w:pPr>
      <w:r>
        <w:t>Таким образом, в результате проведенных исследований было уст</w:t>
      </w:r>
      <w:r>
        <w:t>а</w:t>
      </w:r>
      <w:r>
        <w:t>новлено, что преобладающей комбинацией G- и Р-типов РВ КРС, выя</w:t>
      </w:r>
      <w:r>
        <w:t>в</w:t>
      </w:r>
      <w:r>
        <w:t>ленных на территории Российской Федерации, является G6P5. Менее ра</w:t>
      </w:r>
      <w:r>
        <w:t>с</w:t>
      </w:r>
      <w:r>
        <w:t>пространены комбинации G10P11, G6P11 и G8P5. Были также выявлены РВ КРС, имеющие не отмеченные ранее комбинации G8P7 и G11P14. Было показано, что процесс реассортации – сравнительно частое явление в пол</w:t>
      </w:r>
      <w:r>
        <w:t>е</w:t>
      </w:r>
      <w:r>
        <w:lastRenderedPageBreak/>
        <w:t>вых условиях. Кроме того, было установлено, что один образец патолог</w:t>
      </w:r>
      <w:r>
        <w:t>и</w:t>
      </w:r>
      <w:r>
        <w:t>ческого материала содержал одновременно 2 изолята РВ, имеющих один и тот же G-тип и разные Р-типы.</w:t>
      </w:r>
    </w:p>
    <w:p w:rsidR="00F4654E" w:rsidRDefault="00F4654E">
      <w:pPr>
        <w:pStyle w:val="a4"/>
      </w:pPr>
      <w:r>
        <w:t>УДК 619:615.355</w:t>
      </w:r>
    </w:p>
    <w:p w:rsidR="00F4654E" w:rsidRDefault="00F4654E">
      <w:pPr>
        <w:pStyle w:val="1"/>
      </w:pPr>
      <w:bookmarkStart w:id="6086" w:name="_Toc11840430"/>
      <w:bookmarkStart w:id="6087" w:name="_Toc11937966"/>
      <w:r>
        <w:t>НОВЫЙ ФЕРМЕНТНЫЙ ПРЕПАРАТ «ВЕТЛИЗОСТАФИН» ДЛЯ ЛЕЧЕНИЯ СТАФИЛОКОККОЗОВ ЖИВОТНЫХ</w:t>
      </w:r>
      <w:bookmarkEnd w:id="6086"/>
      <w:bookmarkEnd w:id="6087"/>
    </w:p>
    <w:p w:rsidR="00F4654E" w:rsidRDefault="00F4654E">
      <w:pPr>
        <w:pStyle w:val="2"/>
      </w:pPr>
      <w:bookmarkStart w:id="6088" w:name="_Toc11937967"/>
      <w:r>
        <w:t>Чупрунов В.П., Суровцев В.И., Федоров Т.В., Гусев В.В.</w:t>
      </w:r>
      <w:bookmarkEnd w:id="6088"/>
    </w:p>
    <w:p w:rsidR="00F4654E" w:rsidRDefault="00F4654E">
      <w:pPr>
        <w:pStyle w:val="a5"/>
      </w:pPr>
      <w:r>
        <w:t>Государственный научный центр прикладной микробиологии</w:t>
      </w:r>
      <w:r>
        <w:br/>
        <w:t>п. Оболенск, Московская область</w:t>
      </w:r>
    </w:p>
    <w:p w:rsidR="00F4654E" w:rsidRPr="00D75866" w:rsidRDefault="00F4654E">
      <w:pPr>
        <w:pStyle w:val="a6"/>
        <w:rPr>
          <w:spacing w:val="-4"/>
        </w:rPr>
      </w:pPr>
      <w:r w:rsidRPr="00D75866">
        <w:rPr>
          <w:spacing w:val="-4"/>
        </w:rPr>
        <w:t>Проблема профилактики и лечения стафилококковой инфекции у  ж</w:t>
      </w:r>
      <w:r w:rsidRPr="00D75866">
        <w:rPr>
          <w:spacing w:val="-4"/>
        </w:rPr>
        <w:t>и</w:t>
      </w:r>
      <w:r w:rsidRPr="00D75866">
        <w:rPr>
          <w:spacing w:val="-4"/>
        </w:rPr>
        <w:t>вотных до настоящего времени остается нерешенной. Стафилококкозы в в</w:t>
      </w:r>
      <w:r w:rsidRPr="00D75866">
        <w:rPr>
          <w:spacing w:val="-4"/>
        </w:rPr>
        <w:t>и</w:t>
      </w:r>
      <w:r w:rsidRPr="00D75866">
        <w:rPr>
          <w:spacing w:val="-4"/>
        </w:rPr>
        <w:t>де поражений наружных покровов тела, заболеваний внутренних орг</w:t>
      </w:r>
      <w:r w:rsidRPr="00D75866">
        <w:rPr>
          <w:spacing w:val="-4"/>
        </w:rPr>
        <w:t>а</w:t>
      </w:r>
      <w:r w:rsidRPr="00D75866">
        <w:rPr>
          <w:spacing w:val="-4"/>
        </w:rPr>
        <w:t>нов, а также послеродовые и послеоперационные осложнения, несмотря на име</w:t>
      </w:r>
      <w:r w:rsidRPr="00D75866">
        <w:rPr>
          <w:spacing w:val="-4"/>
        </w:rPr>
        <w:t>ю</w:t>
      </w:r>
      <w:r w:rsidRPr="00D75866">
        <w:rPr>
          <w:spacing w:val="-4"/>
        </w:rPr>
        <w:t>щийся большой арсенал лечебных и дезинфицирующих средств, требуют в</w:t>
      </w:r>
      <w:r w:rsidRPr="00D75866">
        <w:rPr>
          <w:spacing w:val="-4"/>
        </w:rPr>
        <w:t>ы</w:t>
      </w:r>
      <w:r w:rsidRPr="00D75866">
        <w:rPr>
          <w:spacing w:val="-4"/>
        </w:rPr>
        <w:t>сококвалифицированного, длительного и дорогостоящего лечения. Стафил</w:t>
      </w:r>
      <w:r w:rsidRPr="00D75866">
        <w:rPr>
          <w:spacing w:val="-4"/>
        </w:rPr>
        <w:t>о</w:t>
      </w:r>
      <w:r w:rsidRPr="00D75866">
        <w:rPr>
          <w:spacing w:val="-4"/>
        </w:rPr>
        <w:t>кокки часто проявляют множественную лекарственную устойч</w:t>
      </w:r>
      <w:r w:rsidRPr="00D75866">
        <w:rPr>
          <w:spacing w:val="-4"/>
        </w:rPr>
        <w:t>и</w:t>
      </w:r>
      <w:r w:rsidRPr="00D75866">
        <w:rPr>
          <w:spacing w:val="-4"/>
        </w:rPr>
        <w:t>вость, при которой наиболее распространенные антибиотики неэффекти</w:t>
      </w:r>
      <w:r w:rsidRPr="00D75866">
        <w:rPr>
          <w:spacing w:val="-4"/>
        </w:rPr>
        <w:t>в</w:t>
      </w:r>
      <w:r w:rsidRPr="00D75866">
        <w:rPr>
          <w:spacing w:val="-4"/>
        </w:rPr>
        <w:t>ны.</w:t>
      </w:r>
    </w:p>
    <w:p w:rsidR="00F4654E" w:rsidRDefault="00F4654E">
      <w:pPr>
        <w:pStyle w:val="a6"/>
      </w:pPr>
      <w:r>
        <w:t>Поэтому актуальным является вопрос разработки новых лечебных средств против стафилококковой инфекции, основанных на принципах п</w:t>
      </w:r>
      <w:r>
        <w:t>о</w:t>
      </w:r>
      <w:r>
        <w:t>давления стафилококков, отличных от традиционных препаратов.</w:t>
      </w:r>
    </w:p>
    <w:p w:rsidR="00F4654E" w:rsidRDefault="00F4654E">
      <w:pPr>
        <w:pStyle w:val="a6"/>
      </w:pPr>
      <w:r>
        <w:t xml:space="preserve">В ходе исследований получен, изучен и депонирован штамм-про-дуцент </w:t>
      </w:r>
      <w:r>
        <w:rPr>
          <w:lang w:val="en-US"/>
        </w:rPr>
        <w:t>Staphylococcus</w:t>
      </w:r>
      <w:r>
        <w:t xml:space="preserve"> </w:t>
      </w:r>
      <w:r>
        <w:rPr>
          <w:lang w:val="en-US"/>
        </w:rPr>
        <w:t>simulans</w:t>
      </w:r>
      <w:r>
        <w:t xml:space="preserve"> </w:t>
      </w:r>
      <w:r>
        <w:rPr>
          <w:lang w:val="en-US"/>
        </w:rPr>
        <w:t>biovar</w:t>
      </w:r>
      <w:r>
        <w:t xml:space="preserve"> </w:t>
      </w:r>
      <w:r>
        <w:rPr>
          <w:lang w:val="en-US"/>
        </w:rPr>
        <w:t>staphylolyticus</w:t>
      </w:r>
      <w:r>
        <w:t xml:space="preserve"> № 1030, продуц</w:t>
      </w:r>
      <w:r>
        <w:t>и</w:t>
      </w:r>
      <w:r>
        <w:t xml:space="preserve">рующий фермент - лизостафин. Фермент гидролизует пентаглициновые мостики в пептидогликане микроорганизмов рода </w:t>
      </w:r>
      <w:r>
        <w:rPr>
          <w:lang w:val="en-US"/>
        </w:rPr>
        <w:t>Staphylococcus</w:t>
      </w:r>
      <w:r>
        <w:t xml:space="preserve"> и разр</w:t>
      </w:r>
      <w:r>
        <w:t>у</w:t>
      </w:r>
      <w:r>
        <w:t>шает клетки практически любых штаммов, в том числе антибиотикоусто</w:t>
      </w:r>
      <w:r>
        <w:t>й</w:t>
      </w:r>
      <w:r>
        <w:t>чивых. Разработана технология получения лизостафина ветеринарного н</w:t>
      </w:r>
      <w:r>
        <w:t>а</w:t>
      </w:r>
      <w:r>
        <w:t xml:space="preserve">значения, названного «Ветлизостафин», включающая выращивание на жидкой питательной среде с добавлением пеногасителя «Пента-465», </w:t>
      </w:r>
      <w:r>
        <w:br/>
        <w:t>ультрафильтрацию, ионообменную хроматографию на Амберлите ИРЦ-50 и позволяющая производить продукт с чистотой не менее 90% и с выходом 75% от начальной общей активности. Всего наработано 10 экспериме</w:t>
      </w:r>
      <w:r>
        <w:t>н</w:t>
      </w:r>
      <w:r>
        <w:t xml:space="preserve">тальных серий. Проведенные предварительные исследования показали безвредность, малую реактогенность и высокую эффективность препарата. </w:t>
      </w:r>
    </w:p>
    <w:p w:rsidR="00F4654E" w:rsidRDefault="00F4654E">
      <w:pPr>
        <w:pStyle w:val="a6"/>
      </w:pPr>
      <w:r>
        <w:t>Его бактериолитическое действие исследовано на 20 собаках служе</w:t>
      </w:r>
      <w:r>
        <w:t>б</w:t>
      </w:r>
      <w:r>
        <w:t>ных пород массой от 12 до 50 кг, с диагнозом  гнойный дерматит. При в</w:t>
      </w:r>
      <w:r>
        <w:t>ы</w:t>
      </w:r>
      <w:r>
        <w:t>севах на ПГРМ-агар экссудата во всех случаях отмечен рост колоний зол</w:t>
      </w:r>
      <w:r>
        <w:t>о</w:t>
      </w:r>
      <w:r>
        <w:t>тистого стафилококка без контаминации другими микроорганизмами. Фермент нан</w:t>
      </w:r>
      <w:r>
        <w:t>о</w:t>
      </w:r>
      <w:r>
        <w:t>сили на пораженные участки кожи в виде раствора на основе глицерина, двукратно, с интервалом в сутки. Разовая доза препарата сост</w:t>
      </w:r>
      <w:r>
        <w:t>а</w:t>
      </w:r>
      <w:r>
        <w:t>вила 1 ед/кг, эк</w:t>
      </w:r>
      <w:r>
        <w:t>с</w:t>
      </w:r>
      <w:r>
        <w:t xml:space="preserve">позиция 15-20 мин. После лечения отмечено заживление кожных покровов у всех экспериментальных животных. У контрольных </w:t>
      </w:r>
      <w:r>
        <w:lastRenderedPageBreak/>
        <w:t>животных, не подвергавшихся лечению, инфекционный процесс продо</w:t>
      </w:r>
      <w:r>
        <w:t>л</w:t>
      </w:r>
      <w:r>
        <w:t>жал развиваться. Без применения лечебных средств выздоровления не н</w:t>
      </w:r>
      <w:r>
        <w:t>а</w:t>
      </w:r>
      <w:r>
        <w:t xml:space="preserve">ступало. </w:t>
      </w:r>
    </w:p>
    <w:p w:rsidR="00F4654E" w:rsidRDefault="00F4654E">
      <w:pPr>
        <w:pStyle w:val="a6"/>
      </w:pPr>
      <w:r>
        <w:t>Кроме того, для исследований из птицеводческих хозяйств было от</w:t>
      </w:r>
      <w:r>
        <w:t>о</w:t>
      </w:r>
      <w:r>
        <w:t>брано 100 голов бройлеров кросса Хабборд и 136 голов кросса Аероформ с клиническим проявлением гнойного артрита. Пробы синовиальной жидк</w:t>
      </w:r>
      <w:r>
        <w:t>о</w:t>
      </w:r>
      <w:r>
        <w:t>сти из пораженных суставов больных птиц высевали на плотную пит</w:t>
      </w:r>
      <w:r>
        <w:t>а</w:t>
      </w:r>
      <w:r>
        <w:t xml:space="preserve">тельную среду (ПГРМ-агар). Во всех случаях выделены микроорганизмы </w:t>
      </w:r>
      <w:r>
        <w:rPr>
          <w:lang w:val="en-US"/>
        </w:rPr>
        <w:t>Staphylococcus</w:t>
      </w:r>
      <w:r>
        <w:t xml:space="preserve"> </w:t>
      </w:r>
      <w:r>
        <w:rPr>
          <w:lang w:val="en-US"/>
        </w:rPr>
        <w:t>aureus</w:t>
      </w:r>
      <w:r>
        <w:t>. Сопутствующих микроорганизмов и вирусов в пр</w:t>
      </w:r>
      <w:r>
        <w:t>о</w:t>
      </w:r>
      <w:r>
        <w:t>бах не обнаружено. «Ветлизостафин» вводили однократно в дозе 1 ед/кг в прилегающие ткани пораженного сустава. Контролем служили больные нелеченые птицы (</w:t>
      </w:r>
      <w:r>
        <w:rPr>
          <w:lang w:val="en-US"/>
        </w:rPr>
        <w:t>n</w:t>
      </w:r>
      <w:r>
        <w:t xml:space="preserve"> = 100). Через 28 часов отмечено уменьшение воспал</w:t>
      </w:r>
      <w:r>
        <w:t>и</w:t>
      </w:r>
      <w:r>
        <w:t>тельных процессов в области суставов и местное снижение температуры у птиц опытных групп. При повторных высевах проб синовиальной жидк</w:t>
      </w:r>
      <w:r>
        <w:t>о</w:t>
      </w:r>
      <w:r>
        <w:t>сти после обработки больных птиц препаратом роста колоний стафилоко</w:t>
      </w:r>
      <w:r>
        <w:t>к</w:t>
      </w:r>
      <w:r>
        <w:t>ков не обнаружено. У контрольных птиц инфекционный процесс прогре</w:t>
      </w:r>
      <w:r>
        <w:t>с</w:t>
      </w:r>
      <w:r>
        <w:t xml:space="preserve">сировал, случаев выздоровления не наблюдали. </w:t>
      </w:r>
    </w:p>
    <w:p w:rsidR="00F4654E" w:rsidRDefault="00F4654E">
      <w:pPr>
        <w:pStyle w:val="a6"/>
      </w:pPr>
      <w:r>
        <w:t>Таким образом, препарат «Ветлизостафин» можно использовать для лечения стафилококковых инфекций у животных и птиц как в виде аппл</w:t>
      </w:r>
      <w:r>
        <w:t>и</w:t>
      </w:r>
      <w:r>
        <w:t>каций, так и в инъекционной форме.</w:t>
      </w:r>
    </w:p>
    <w:p w:rsidR="00F4654E" w:rsidRDefault="00F4654E">
      <w:pPr>
        <w:pStyle w:val="a4"/>
      </w:pPr>
      <w:r>
        <w:t>УДК 619:618.14-002:636.22/.28</w:t>
      </w:r>
    </w:p>
    <w:p w:rsidR="00F4654E" w:rsidRDefault="00F4654E">
      <w:pPr>
        <w:pStyle w:val="1"/>
      </w:pPr>
      <w:bookmarkStart w:id="6089" w:name="_Toc10731658"/>
      <w:bookmarkStart w:id="6090" w:name="_Toc11138141"/>
      <w:bookmarkStart w:id="6091" w:name="_Toc11138559"/>
      <w:bookmarkStart w:id="6092" w:name="_Toc11138977"/>
      <w:bookmarkStart w:id="6093" w:name="_Toc11139395"/>
      <w:bookmarkStart w:id="6094" w:name="_Toc11139813"/>
      <w:bookmarkStart w:id="6095" w:name="_Toc11140231"/>
      <w:bookmarkStart w:id="6096" w:name="_Toc11140649"/>
      <w:bookmarkStart w:id="6097" w:name="_Toc11390743"/>
      <w:bookmarkStart w:id="6098" w:name="_Toc11840432"/>
      <w:bookmarkStart w:id="6099" w:name="_Toc11937968"/>
      <w:r>
        <w:t>Терапевтическая эффективность препарата Озонол-О при  послеродовом эндометрите у коров-первотелок</w:t>
      </w:r>
      <w:bookmarkEnd w:id="6089"/>
      <w:bookmarkEnd w:id="6090"/>
      <w:bookmarkEnd w:id="6091"/>
      <w:bookmarkEnd w:id="6092"/>
      <w:bookmarkEnd w:id="6093"/>
      <w:bookmarkEnd w:id="6094"/>
      <w:bookmarkEnd w:id="6095"/>
      <w:bookmarkEnd w:id="6096"/>
      <w:bookmarkEnd w:id="6097"/>
      <w:bookmarkEnd w:id="6098"/>
      <w:bookmarkEnd w:id="6099"/>
    </w:p>
    <w:p w:rsidR="00F4654E" w:rsidRDefault="00F4654E">
      <w:pPr>
        <w:pStyle w:val="2"/>
      </w:pPr>
      <w:bookmarkStart w:id="6100" w:name="_Toc10731659"/>
      <w:bookmarkStart w:id="6101" w:name="_Toc11032434"/>
      <w:bookmarkStart w:id="6102" w:name="_Toc11138142"/>
      <w:bookmarkStart w:id="6103" w:name="_Toc11138560"/>
      <w:bookmarkStart w:id="6104" w:name="_Toc11138978"/>
      <w:bookmarkStart w:id="6105" w:name="_Toc11139396"/>
      <w:bookmarkStart w:id="6106" w:name="_Toc11139814"/>
      <w:bookmarkStart w:id="6107" w:name="_Toc11140232"/>
      <w:bookmarkStart w:id="6108" w:name="_Toc11140650"/>
      <w:bookmarkStart w:id="6109" w:name="_Toc11390744"/>
      <w:bookmarkStart w:id="6110" w:name="_Toc11937969"/>
      <w:r>
        <w:t>Чучалин С.Ф., Конопельцев И.Г., Филатов А.В.</w:t>
      </w:r>
      <w:bookmarkEnd w:id="6100"/>
      <w:bookmarkEnd w:id="6101"/>
      <w:bookmarkEnd w:id="6102"/>
      <w:bookmarkEnd w:id="6103"/>
      <w:bookmarkEnd w:id="6104"/>
      <w:bookmarkEnd w:id="6105"/>
      <w:bookmarkEnd w:id="6106"/>
      <w:bookmarkEnd w:id="6107"/>
      <w:bookmarkEnd w:id="6108"/>
      <w:bookmarkEnd w:id="6109"/>
      <w:bookmarkEnd w:id="6110"/>
    </w:p>
    <w:p w:rsidR="00F4654E" w:rsidRDefault="00F4654E">
      <w:pPr>
        <w:pStyle w:val="a5"/>
      </w:pPr>
      <w:r>
        <w:t>Вятская государственная сельскохозяйственная академия</w:t>
      </w:r>
    </w:p>
    <w:p w:rsidR="00F4654E" w:rsidRDefault="00F4654E">
      <w:pPr>
        <w:pStyle w:val="a6"/>
      </w:pPr>
      <w:r>
        <w:t>Послеродовой эндометрит у коров является широко распростране</w:t>
      </w:r>
      <w:r>
        <w:t>н</w:t>
      </w:r>
      <w:r>
        <w:t>ным заболеванием, особенно на промышленных комплекса. Наносимый этим заболеванием значительный экономический ущерб складывается не только за счет увеличения числа бесплодных коров, их преждевременной выбраковки, снижения молочной продуктивности, но и за счет увеличения количества продукции, выбраковываемой при лечении животных разли</w:t>
      </w:r>
      <w:r>
        <w:t>ч</w:t>
      </w:r>
      <w:r>
        <w:t>ными антибиотиками и сульфаниламидными препаратами.</w:t>
      </w:r>
    </w:p>
    <w:p w:rsidR="00F4654E" w:rsidRDefault="00F4654E">
      <w:pPr>
        <w:pStyle w:val="a6"/>
      </w:pPr>
      <w:r>
        <w:t>В связи с этим целью наших исследований являлось изучение, разр</w:t>
      </w:r>
      <w:r>
        <w:t>а</w:t>
      </w:r>
      <w:r>
        <w:t>ботка и внедрение в ветеринарную практику экологически безопас</w:t>
      </w:r>
      <w:r w:rsidR="00D75866">
        <w:t>-</w:t>
      </w:r>
      <w:r>
        <w:t>ного препарата Озонол-О для лечения коров, больных послеродового эндо</w:t>
      </w:r>
      <w:r w:rsidR="00D75866">
        <w:t>-</w:t>
      </w:r>
      <w:r>
        <w:t>ме</w:t>
      </w:r>
      <w:r>
        <w:t>т</w:t>
      </w:r>
      <w:r>
        <w:t>рита.</w:t>
      </w:r>
    </w:p>
    <w:p w:rsidR="00F4654E" w:rsidRDefault="00F4654E">
      <w:pPr>
        <w:pStyle w:val="a6"/>
      </w:pPr>
      <w:r>
        <w:t>Опыты проводились на коровах-первотелках черно-пестрой голшт</w:t>
      </w:r>
      <w:r>
        <w:t>и</w:t>
      </w:r>
      <w:r>
        <w:t>низированной породы принадлежащих, ФГУП учхоз «Чистые пруды», с молочной продуктивностью матерей 5-7 тыс. кг в год, с признаками восп</w:t>
      </w:r>
      <w:r>
        <w:t>а</w:t>
      </w:r>
      <w:r>
        <w:t>ления эндометрия. Животные были разделены по принципу аналогов на 2 группы. Новотельным коровам опытной группы инстилировали внутрим</w:t>
      </w:r>
      <w:r>
        <w:t>а</w:t>
      </w:r>
      <w:r>
        <w:lastRenderedPageBreak/>
        <w:t>точно 50 мл Озонол-О, а животным контрольной группы - 5%-ную суспе</w:t>
      </w:r>
      <w:r>
        <w:t>н</w:t>
      </w:r>
      <w:r>
        <w:t>зию фуразолидона на оливковом масле в дозе 100 мл. Интервал введения препарата составлял 48 часов.</w:t>
      </w:r>
    </w:p>
    <w:p w:rsidR="00F4654E" w:rsidRDefault="00F4654E">
      <w:pPr>
        <w:pStyle w:val="a6"/>
      </w:pPr>
      <w:r>
        <w:t>В результате исследования установили, что в опытной группе период выздоровления составил 8,2 дня, количество введений - 3,08</w:t>
      </w:r>
      <w:r>
        <w:rPr>
          <w:u w:val="single"/>
        </w:rPr>
        <w:t>+</w:t>
      </w:r>
      <w:r>
        <w:t>0,23, индекс оплодотворения - 2,25</w:t>
      </w:r>
      <w:r>
        <w:rPr>
          <w:u w:val="single"/>
        </w:rPr>
        <w:t>+</w:t>
      </w:r>
      <w:r>
        <w:t>0,22, период бесплодия - 75,8 дня. В контрольной группе коровы выздоровели за 10,6 дня, кратность введения составила 4,33</w:t>
      </w:r>
      <w:r>
        <w:rPr>
          <w:u w:val="single"/>
        </w:rPr>
        <w:t>+</w:t>
      </w:r>
      <w:r>
        <w:t>0,19, индекс оплодотворения - 3,25</w:t>
      </w:r>
      <w:r>
        <w:rPr>
          <w:u w:val="single"/>
        </w:rPr>
        <w:t>+</w:t>
      </w:r>
      <w:r>
        <w:t>0,25, число дней бесплодия – 110,3. Показатели воспроизводительной способности у коров-первотелок без признаков воспаления в репродуктивных органах в послеродовой п</w:t>
      </w:r>
      <w:r>
        <w:t>е</w:t>
      </w:r>
      <w:r>
        <w:t>риод выглядели следующим образом: индекс оплодотворения - 2,12</w:t>
      </w:r>
      <w:r>
        <w:rPr>
          <w:u w:val="single"/>
        </w:rPr>
        <w:t>+</w:t>
      </w:r>
      <w:r>
        <w:t>0,14, число дней бесплодия - 84,6.</w:t>
      </w:r>
    </w:p>
    <w:p w:rsidR="00F4654E" w:rsidRDefault="00F4654E">
      <w:pPr>
        <w:pStyle w:val="a6"/>
      </w:pPr>
      <w:r>
        <w:t>Таким образом, препарат Озонол-О является высокоэффективным т</w:t>
      </w:r>
      <w:r>
        <w:t>е</w:t>
      </w:r>
      <w:r>
        <w:t>рапевтическим средством при лечении коров, больных послеродовым э</w:t>
      </w:r>
      <w:r>
        <w:t>н</w:t>
      </w:r>
      <w:r>
        <w:t>дометритом.</w:t>
      </w:r>
    </w:p>
    <w:p w:rsidR="00D75866" w:rsidRDefault="00D75866">
      <w:pPr>
        <w:pStyle w:val="1"/>
      </w:pPr>
      <w:bookmarkStart w:id="6111" w:name="_Toc10731660"/>
      <w:bookmarkStart w:id="6112" w:name="_Toc11138143"/>
      <w:bookmarkStart w:id="6113" w:name="_Toc11138561"/>
      <w:bookmarkStart w:id="6114" w:name="_Toc11138979"/>
      <w:bookmarkStart w:id="6115" w:name="_Toc11139397"/>
      <w:bookmarkStart w:id="6116" w:name="_Toc11139815"/>
      <w:bookmarkStart w:id="6117" w:name="_Toc11140233"/>
      <w:bookmarkStart w:id="6118" w:name="_Toc11140651"/>
      <w:bookmarkStart w:id="6119" w:name="_Toc11390745"/>
      <w:bookmarkStart w:id="6120" w:name="_Toc11840434"/>
      <w:bookmarkStart w:id="6121" w:name="_Toc11937970"/>
    </w:p>
    <w:p w:rsidR="00F4654E" w:rsidRDefault="00F4654E">
      <w:pPr>
        <w:pStyle w:val="1"/>
      </w:pPr>
      <w:r>
        <w:t>МОРФОФУНКЦИОНАЛЬНЫЕ ИЗМЕНЕНИЯ В ТИМУСЕ И ПЕЧЕНИ   ПРИ ПРИМЕНЕНИИ ВИТАМИНОВ А И Е НА ФОНЕ ИНТОКСИКАЦИИ ГЕРБИЦИДОМ 2,4 -ДА</w:t>
      </w:r>
      <w:bookmarkEnd w:id="6111"/>
      <w:bookmarkEnd w:id="6112"/>
      <w:bookmarkEnd w:id="6113"/>
      <w:bookmarkEnd w:id="6114"/>
      <w:bookmarkEnd w:id="6115"/>
      <w:bookmarkEnd w:id="6116"/>
      <w:bookmarkEnd w:id="6117"/>
      <w:bookmarkEnd w:id="6118"/>
      <w:bookmarkEnd w:id="6119"/>
      <w:bookmarkEnd w:id="6120"/>
      <w:bookmarkEnd w:id="6121"/>
    </w:p>
    <w:p w:rsidR="00F4654E" w:rsidRDefault="00F4654E">
      <w:pPr>
        <w:pStyle w:val="2"/>
      </w:pPr>
      <w:bookmarkStart w:id="6122" w:name="_Toc10731661"/>
      <w:bookmarkStart w:id="6123" w:name="_Toc11032435"/>
      <w:bookmarkStart w:id="6124" w:name="_Toc11138144"/>
      <w:bookmarkStart w:id="6125" w:name="_Toc11138562"/>
      <w:bookmarkStart w:id="6126" w:name="_Toc11138980"/>
      <w:bookmarkStart w:id="6127" w:name="_Toc11139398"/>
      <w:bookmarkStart w:id="6128" w:name="_Toc11139816"/>
      <w:bookmarkStart w:id="6129" w:name="_Toc11140234"/>
      <w:bookmarkStart w:id="6130" w:name="_Toc11140652"/>
      <w:bookmarkStart w:id="6131" w:name="_Toc11390746"/>
      <w:bookmarkStart w:id="6132" w:name="_Toc11937971"/>
      <w:r>
        <w:t>Шакирова Г.Р., Кузнецова К.И., Муфазалова Н.А.</w:t>
      </w:r>
      <w:bookmarkEnd w:id="6122"/>
      <w:bookmarkEnd w:id="6123"/>
      <w:bookmarkEnd w:id="6124"/>
      <w:bookmarkEnd w:id="6125"/>
      <w:bookmarkEnd w:id="6126"/>
      <w:bookmarkEnd w:id="6127"/>
      <w:bookmarkEnd w:id="6128"/>
      <w:bookmarkEnd w:id="6129"/>
      <w:bookmarkEnd w:id="6130"/>
      <w:bookmarkEnd w:id="6131"/>
      <w:bookmarkEnd w:id="6132"/>
    </w:p>
    <w:p w:rsidR="00F4654E" w:rsidRDefault="00F4654E">
      <w:pPr>
        <w:pStyle w:val="a5"/>
      </w:pPr>
      <w:r>
        <w:t xml:space="preserve">Башкирский государственный  аграрный университет </w:t>
      </w:r>
      <w:r>
        <w:br/>
        <w:t>Башкирский государственный медицинский университет</w:t>
      </w:r>
    </w:p>
    <w:p w:rsidR="00F4654E" w:rsidRDefault="00F4654E">
      <w:pPr>
        <w:pStyle w:val="a6"/>
      </w:pPr>
      <w:r>
        <w:t>Хлорорганические токсиканты занимают важное место среди химич</w:t>
      </w:r>
      <w:r>
        <w:t>е</w:t>
      </w:r>
      <w:r>
        <w:t>ских веществ, циркулирующих в биосфере. Этому способствует их физ</w:t>
      </w:r>
      <w:r>
        <w:t>и</w:t>
      </w:r>
      <w:r>
        <w:t>ко-химическая стойкость при накоплении в почве и растениях. Выявление токсичности и отдаленных последствий их влияния на организм является актуальным для медицинской и ветеринарной практики. А.К. Ляпустин, Ф.Ф. Прохоров (1972), А.П. Иванов с соавторами (1990), Г.А. Галанов (1990) отмечают, что при отравлении гербицидом 2,4-Д специфические а</w:t>
      </w:r>
      <w:r>
        <w:t>н</w:t>
      </w:r>
      <w:r>
        <w:t>тидоты не разработаны. Вследствие этого рекомендуется проводить си</w:t>
      </w:r>
      <w:r>
        <w:t>м</w:t>
      </w:r>
      <w:r>
        <w:t xml:space="preserve">птоматическое лечение. </w:t>
      </w:r>
    </w:p>
    <w:p w:rsidR="00F4654E" w:rsidRDefault="00F4654E">
      <w:pPr>
        <w:pStyle w:val="a6"/>
      </w:pPr>
      <w:r>
        <w:t>Имеются многочисленные сведения о том, что жирорастворимые в</w:t>
      </w:r>
      <w:r>
        <w:t>и</w:t>
      </w:r>
      <w:r>
        <w:t>тамины А и Е являются участниками различных функций организма, они всасываются  в кишечнике и накапливаются преимущественно в печени. Оба витамина оказывают существенное влияние на органы иммунной си</w:t>
      </w:r>
      <w:r>
        <w:t>с</w:t>
      </w:r>
      <w:r>
        <w:t>темы (Бахшинян М.З. с соавт., 1998). В иммунокомпетентных органах в</w:t>
      </w:r>
      <w:r>
        <w:t>и</w:t>
      </w:r>
      <w:r>
        <w:t>тамины защищают мембраны, окружающие лизосомы, в которых распол</w:t>
      </w:r>
      <w:r>
        <w:t>а</w:t>
      </w:r>
      <w:r>
        <w:t>гается  большой потенциал свободных радикалов (Емельянова Т.П., 2001). С разрушением лизосомальных мембран происходит выход гидролитич</w:t>
      </w:r>
      <w:r>
        <w:t>е</w:t>
      </w:r>
      <w:r>
        <w:t>ских ферментов в цитозоль, что сопровождается деструкцией клеток и тк</w:t>
      </w:r>
      <w:r>
        <w:t>а</w:t>
      </w:r>
      <w:r>
        <w:lastRenderedPageBreak/>
        <w:t>ней. Состояние антиоксидантной системы тесно связано с развитием  п</w:t>
      </w:r>
      <w:r>
        <w:t>а</w:t>
      </w:r>
      <w:r>
        <w:t>тологических процессов в организме.</w:t>
      </w:r>
    </w:p>
    <w:p w:rsidR="00F4654E" w:rsidRDefault="00F4654E">
      <w:pPr>
        <w:pStyle w:val="a6"/>
      </w:pPr>
      <w:r>
        <w:t>Цель работы заключалась в изучении морфофункциональных измен</w:t>
      </w:r>
      <w:r>
        <w:t>е</w:t>
      </w:r>
      <w:r>
        <w:t>ний в тимусе и печени при использовании витаминов А и Е на фоне дл</w:t>
      </w:r>
      <w:r>
        <w:t>и</w:t>
      </w:r>
      <w:r>
        <w:t xml:space="preserve">тельной интоксикации гербицидом 2,4-ДА (аминная соль дихлорфен-оксиуксусной кислоты). </w:t>
      </w:r>
    </w:p>
    <w:p w:rsidR="00F4654E" w:rsidRDefault="00F4654E">
      <w:pPr>
        <w:pStyle w:val="a6"/>
      </w:pPr>
      <w:r>
        <w:t xml:space="preserve">В опыте использовали 12 белых крыс 3-4 месячного возраста, которые были разделены на 3 группы. Одна группа была контрольной. Крысам 2 и 3 групп в течение 28 суток внутрижелудочно вводили 2,4 ДА в суммарной дозе ЛД </w:t>
      </w:r>
      <w:r>
        <w:rPr>
          <w:vertAlign w:val="subscript"/>
        </w:rPr>
        <w:t>50</w:t>
      </w:r>
      <w:r>
        <w:t>. Начиная со 2 дня эксперимента в течение 7 дней животным 3 группы перорально в оливковом масле вводили сочетание витаминов А и Е в терапевтических дозах. Убой проводили спустя 60 суток с начала эксп</w:t>
      </w:r>
      <w:r>
        <w:t>е</w:t>
      </w:r>
      <w:r>
        <w:t>римента. Исследовали кусочки тимуса и печени классическими гистолог</w:t>
      </w:r>
      <w:r>
        <w:t>и</w:t>
      </w:r>
      <w:r>
        <w:t>ческими и электронно-микроскопическим методами.</w:t>
      </w:r>
    </w:p>
    <w:p w:rsidR="00F4654E" w:rsidRDefault="00F4654E">
      <w:pPr>
        <w:pStyle w:val="a6"/>
      </w:pPr>
      <w:r>
        <w:t>В тимусе крыс 2 группы по сравнению с контролем отмечается уменьшение корково-мозгового индекса и уменьшается количество тим</w:t>
      </w:r>
      <w:r>
        <w:t>о</w:t>
      </w:r>
      <w:r>
        <w:t>цитов. На ультрамикроскопическом уровне в большинстве лимфоцитов наблюдается вакуолизация  и снижено количество органелл: цистерн гр</w:t>
      </w:r>
      <w:r>
        <w:t>а</w:t>
      </w:r>
      <w:r>
        <w:t>нулярного эндоплазматического ретикулума, комплекса Гольджи, свобо</w:t>
      </w:r>
      <w:r>
        <w:t>д</w:t>
      </w:r>
      <w:r>
        <w:t>ных рибосом, полисом, митохондрий.</w:t>
      </w:r>
    </w:p>
    <w:p w:rsidR="00F4654E" w:rsidRDefault="00F4654E">
      <w:pPr>
        <w:pStyle w:val="a6"/>
      </w:pPr>
      <w:r>
        <w:t>В печени животных 2 группы уменьшается содержание розеток гл</w:t>
      </w:r>
      <w:r>
        <w:t>и</w:t>
      </w:r>
      <w:r>
        <w:t>когена, фрагментируется агранулярный эндоплазматический ретикулум, одновременно с вакуолизацией цитоплазмы резко снижается  количество рибосом и полисом. В гепатоцитах появляются остаточные тельца и вкл</w:t>
      </w:r>
      <w:r>
        <w:t>ю</w:t>
      </w:r>
      <w:r>
        <w:t>чения липофусцина.</w:t>
      </w:r>
    </w:p>
    <w:p w:rsidR="00F4654E" w:rsidRDefault="00F4654E">
      <w:pPr>
        <w:pStyle w:val="a6"/>
      </w:pPr>
      <w:r>
        <w:t>У животных, получавших витамины А и Е, в отдельных клетках  т</w:t>
      </w:r>
      <w:r>
        <w:t>и</w:t>
      </w:r>
      <w:r>
        <w:t>муса и печени происходит восстановление и увеличение содержания цит</w:t>
      </w:r>
      <w:r>
        <w:t>о</w:t>
      </w:r>
      <w:r>
        <w:t>плазматических органелл. В эндотелиальных клетках кровеносных капи</w:t>
      </w:r>
      <w:r>
        <w:t>л</w:t>
      </w:r>
      <w:r>
        <w:t xml:space="preserve">ляров и артериол усиливаются процессы эндоцитоза и обнаруживаются многочисленные мелкие электронноплотные гранулы. Также наблюдаются многочисленные отростки эндотелиальных клеток между лимфоцитами. </w:t>
      </w:r>
    </w:p>
    <w:p w:rsidR="00F4654E" w:rsidRDefault="00F4654E">
      <w:pPr>
        <w:pStyle w:val="a6"/>
      </w:pPr>
      <w:r>
        <w:t>В отдельных клетках сохраняется обширная вакуолизация и дестру</w:t>
      </w:r>
      <w:r>
        <w:t>к</w:t>
      </w:r>
      <w:r>
        <w:t>тивные изменения органелл. Наряду с этим наиболее значительные ко</w:t>
      </w:r>
      <w:r>
        <w:t>м</w:t>
      </w:r>
      <w:r>
        <w:t>пенсаторно-приспособительные изменения происходят в митохондриях, которые выражаются в  их гипертрофии и отделении от них мелких доче</w:t>
      </w:r>
      <w:r>
        <w:t>р</w:t>
      </w:r>
      <w:r>
        <w:t>них органелл с многочисленными кристами. В их матриксе наблюдаются электронноплотные рибосомы. В части лимфоцитов содержатся короткие цистерны гранулярного эндоплазматического ретикулума. В гепатоцитах компенсаторно-приспособительные изменения органелл начинаются вбл</w:t>
      </w:r>
      <w:r>
        <w:t>и</w:t>
      </w:r>
      <w:r>
        <w:t>зи с плазмолеммой.</w:t>
      </w:r>
    </w:p>
    <w:p w:rsidR="00F4654E" w:rsidRDefault="00F4654E">
      <w:pPr>
        <w:pStyle w:val="a6"/>
      </w:pPr>
      <w:r>
        <w:t>Результаты исследований показали, что мембранно-протекторный эффект воздействия витаминов А и Е как антиоксидантов является ключ</w:t>
      </w:r>
      <w:r>
        <w:t>е</w:t>
      </w:r>
      <w:r>
        <w:t>вым моментом в восстановлении морфо-функциональной структуры кл</w:t>
      </w:r>
      <w:r>
        <w:t>е</w:t>
      </w:r>
      <w:r>
        <w:lastRenderedPageBreak/>
        <w:t>ток. Повышение интенсивности окислительно-восстановительных проце</w:t>
      </w:r>
      <w:r>
        <w:t>с</w:t>
      </w:r>
      <w:r>
        <w:t>сов в тимусе и печени  способствует дальнейшему  развитию внутрикл</w:t>
      </w:r>
      <w:r>
        <w:t>е</w:t>
      </w:r>
      <w:r>
        <w:t>точных механизмов регенерации тканей  при патологии органов, вызва</w:t>
      </w:r>
      <w:r>
        <w:t>н</w:t>
      </w:r>
      <w:r>
        <w:t xml:space="preserve">ной неблагоприятными воздействиями гербицида. </w:t>
      </w:r>
    </w:p>
    <w:p w:rsidR="00F4654E" w:rsidRDefault="00F4654E">
      <w:pPr>
        <w:pStyle w:val="a4"/>
      </w:pPr>
      <w:r>
        <w:t>УДК 619:616.98:578.833.314</w:t>
      </w:r>
    </w:p>
    <w:p w:rsidR="00F4654E" w:rsidRDefault="00F4654E">
      <w:pPr>
        <w:pStyle w:val="1"/>
      </w:pPr>
      <w:bookmarkStart w:id="6133" w:name="_Toc10731662"/>
      <w:bookmarkStart w:id="6134" w:name="_Toc11138145"/>
      <w:bookmarkStart w:id="6135" w:name="_Toc11138563"/>
      <w:bookmarkStart w:id="6136" w:name="_Toc11138981"/>
      <w:bookmarkStart w:id="6137" w:name="_Toc11139399"/>
      <w:bookmarkStart w:id="6138" w:name="_Toc11139817"/>
      <w:bookmarkStart w:id="6139" w:name="_Toc11140235"/>
      <w:bookmarkStart w:id="6140" w:name="_Toc11140653"/>
      <w:bookmarkStart w:id="6141" w:name="_Toc11390747"/>
      <w:bookmarkStart w:id="6142" w:name="_Toc11840436"/>
      <w:bookmarkStart w:id="6143" w:name="_Toc11937972"/>
      <w:r>
        <w:t>ПОЛУЧЕНИЕ СПЕЦИФИЧЕСКИХ КОМПОНЕНТОВ АНТИГЕНА ВИРУСА КЧС ДЛЯ ИММУНОФЕРМЕНТНОЙ ТЕСТ-СИСТЕМЫ</w:t>
      </w:r>
      <w:bookmarkEnd w:id="6133"/>
      <w:bookmarkEnd w:id="6134"/>
      <w:bookmarkEnd w:id="6135"/>
      <w:bookmarkEnd w:id="6136"/>
      <w:bookmarkEnd w:id="6137"/>
      <w:bookmarkEnd w:id="6138"/>
      <w:bookmarkEnd w:id="6139"/>
      <w:bookmarkEnd w:id="6140"/>
      <w:bookmarkEnd w:id="6141"/>
      <w:bookmarkEnd w:id="6142"/>
      <w:bookmarkEnd w:id="6143"/>
    </w:p>
    <w:p w:rsidR="00F4654E" w:rsidRDefault="00F4654E">
      <w:pPr>
        <w:pStyle w:val="2"/>
      </w:pPr>
      <w:bookmarkStart w:id="6144" w:name="_Toc10731663"/>
      <w:bookmarkStart w:id="6145" w:name="_Toc11032436"/>
      <w:bookmarkStart w:id="6146" w:name="_Toc11138146"/>
      <w:bookmarkStart w:id="6147" w:name="_Toc11138564"/>
      <w:bookmarkStart w:id="6148" w:name="_Toc11138982"/>
      <w:bookmarkStart w:id="6149" w:name="_Toc11139400"/>
      <w:bookmarkStart w:id="6150" w:name="_Toc11139818"/>
      <w:bookmarkStart w:id="6151" w:name="_Toc11140236"/>
      <w:bookmarkStart w:id="6152" w:name="_Toc11140654"/>
      <w:bookmarkStart w:id="6153" w:name="_Toc11390748"/>
      <w:bookmarkStart w:id="6154" w:name="_Toc11937973"/>
      <w:r>
        <w:t xml:space="preserve">Шарифуллин А.И., Галиуллин А.К., Хаертынов К.С., Ильясова Г.Х., </w:t>
      </w:r>
      <w:r>
        <w:br/>
        <w:t>Гильмутдинов Р.Я., Коксин В.В.</w:t>
      </w:r>
      <w:bookmarkEnd w:id="6144"/>
      <w:bookmarkEnd w:id="6145"/>
      <w:bookmarkEnd w:id="6146"/>
      <w:bookmarkEnd w:id="6147"/>
      <w:bookmarkEnd w:id="6148"/>
      <w:bookmarkEnd w:id="6149"/>
      <w:bookmarkEnd w:id="6150"/>
      <w:bookmarkEnd w:id="6151"/>
      <w:bookmarkEnd w:id="6152"/>
      <w:bookmarkEnd w:id="6153"/>
      <w:bookmarkEnd w:id="6154"/>
    </w:p>
    <w:p w:rsidR="00F4654E" w:rsidRDefault="00F4654E">
      <w:pPr>
        <w:pStyle w:val="a5"/>
      </w:pPr>
      <w:r>
        <w:t xml:space="preserve">Всероссийский научно-исследовательский ветеринарный институт </w:t>
      </w:r>
      <w:r>
        <w:br/>
        <w:t>Республиканский центр по борьбе со СПИДом, г. Казань</w:t>
      </w:r>
    </w:p>
    <w:p w:rsidR="00F4654E" w:rsidRDefault="00F4654E">
      <w:pPr>
        <w:pStyle w:val="a6"/>
      </w:pPr>
      <w:r>
        <w:t>В совершенствовании существующих и разработке новых методов иммунохимического анализа для достоверной идентификации возбудит</w:t>
      </w:r>
      <w:r>
        <w:t>е</w:t>
      </w:r>
      <w:r>
        <w:t>лей и диагностики вызываемых ими заболеваний, в том числе и классич</w:t>
      </w:r>
      <w:r>
        <w:t>е</w:t>
      </w:r>
      <w:r>
        <w:t xml:space="preserve">ской чумы свиней (КЧС), является получение специфических антител к дискретным компонентам антигена вируса (Непоклонов Е.А. и др., 1999; Куриннов В.П., 1999; Вишняков И.Ф. и др., 1998 и др.). </w:t>
      </w:r>
    </w:p>
    <w:p w:rsidR="00F4654E" w:rsidRDefault="00F4654E">
      <w:pPr>
        <w:pStyle w:val="a6"/>
      </w:pPr>
      <w:r>
        <w:t>Известно, что помимо вируса КЧС, к пестивирусам относятся тесно связанные с ним в антигенном отношении вирус диареи крупного рогатого скота (ДКРС) и вирус пограничной болезни овец (ПБО). Кроме того выз</w:t>
      </w:r>
      <w:r>
        <w:t>ы</w:t>
      </w:r>
      <w:r>
        <w:t>вает интерес изучение различных штаммов вируса КЧС, а также изучение антигенной структуры белков вируса.</w:t>
      </w:r>
    </w:p>
    <w:p w:rsidR="00F4654E" w:rsidRDefault="00F4654E">
      <w:pPr>
        <w:pStyle w:val="a6"/>
      </w:pPr>
      <w:r>
        <w:t>В работе использованы вирус КЧС штамма "Ши-Мынь", "ЛК-ВНИИВВиМ", "Гудзон", ВГНКИ "К", адаптированные к культуре невр</w:t>
      </w:r>
      <w:r>
        <w:t>и</w:t>
      </w:r>
      <w:r>
        <w:t>номы гассерового узла крысы НГУК-1 и поддерживающей среде с доба</w:t>
      </w:r>
      <w:r>
        <w:t>в</w:t>
      </w:r>
      <w:r>
        <w:t>лением 5% сыворотки кур. Электрофорез проводили в ПААГ с додеци</w:t>
      </w:r>
      <w:r>
        <w:t>л</w:t>
      </w:r>
      <w:r>
        <w:t>сульфатном натрия (ПААГ – ДСН). Иммуноблоттинг – с переносом пол</w:t>
      </w:r>
      <w:r>
        <w:t>и</w:t>
      </w:r>
      <w:r>
        <w:t>пептидов после электрофореза в ПААГ-ДСН на нитроцеллюлозные филь</w:t>
      </w:r>
      <w:r>
        <w:t>т</w:t>
      </w:r>
      <w:r>
        <w:t xml:space="preserve">ры фирмы "Millipore" (США) на отечественном аппарате при напряжении 50 мА в течение 60 мин. Моноклональные антитела (МКА) получали на мышах BALB/c с использованием сероактивных компонентов вируса КЧС различных штаммов. </w:t>
      </w:r>
    </w:p>
    <w:p w:rsidR="00F4654E" w:rsidRDefault="00F4654E">
      <w:pPr>
        <w:pStyle w:val="a6"/>
      </w:pPr>
      <w:r>
        <w:t xml:space="preserve">В результате проведенных исследований оптимизирована методика выделения и очистки сероактивных полипептидов возбудителя КЧС шт. "Ши-Мынь", "ЛК-ВНИИВВиМ", "Гудзон", ВГНКИ "К". </w:t>
      </w:r>
      <w:r>
        <w:rPr>
          <w:caps/>
        </w:rPr>
        <w:t>н</w:t>
      </w:r>
      <w:r>
        <w:t>а блотграмме отмечено наличие 6 полипептидов очищенного препарата вируса КЧС с мМ 57; 45,7; 35,5; 28,8; 18,4 и 14,8 кД. Из них 3 полипептида с мМ 57, 45,7 и 35,5 кД специфически реагировали с антителами, а две другие с мМ 28,8 кД и 18,4 кД идентифицированы как неструктурные, что согласуется с данными Ericson G (1992), Непоклонов Е.А. и др.(2000).</w:t>
      </w:r>
    </w:p>
    <w:p w:rsidR="00F4654E" w:rsidRDefault="00F4654E">
      <w:pPr>
        <w:pStyle w:val="a6"/>
      </w:pPr>
      <w:r>
        <w:lastRenderedPageBreak/>
        <w:t>В результате проведенных исследований по изучению полипептидн</w:t>
      </w:r>
      <w:r>
        <w:t>о</w:t>
      </w:r>
      <w:r>
        <w:t>го профиля вируса КЧС в иммуноблоттинге выявлена специфическая фракция с мМ 50-55 кД, которая может быть использована для констру</w:t>
      </w:r>
      <w:r>
        <w:t>и</w:t>
      </w:r>
      <w:r>
        <w:t xml:space="preserve">рования чувствительных тест-систем ИФА. </w:t>
      </w:r>
    </w:p>
    <w:p w:rsidR="00F4654E" w:rsidRDefault="00F4654E">
      <w:pPr>
        <w:pStyle w:val="a4"/>
      </w:pPr>
      <w:r>
        <w:t>УДК 619:616-001.28</w:t>
      </w:r>
    </w:p>
    <w:p w:rsidR="00F4654E" w:rsidRDefault="00F4654E">
      <w:pPr>
        <w:pStyle w:val="1"/>
      </w:pPr>
      <w:bookmarkStart w:id="6155" w:name="_Toc10731664"/>
      <w:bookmarkStart w:id="6156" w:name="_Toc11138147"/>
      <w:bookmarkStart w:id="6157" w:name="_Toc11138565"/>
      <w:bookmarkStart w:id="6158" w:name="_Toc11138983"/>
      <w:bookmarkStart w:id="6159" w:name="_Toc11139401"/>
      <w:bookmarkStart w:id="6160" w:name="_Toc11139819"/>
      <w:bookmarkStart w:id="6161" w:name="_Toc11140237"/>
      <w:bookmarkStart w:id="6162" w:name="_Toc11140655"/>
      <w:bookmarkStart w:id="6163" w:name="_Toc11390749"/>
      <w:bookmarkStart w:id="6164" w:name="_Toc11840438"/>
      <w:bookmarkStart w:id="6165" w:name="_Toc11937974"/>
      <w:r>
        <w:t>Изучение возможности выявления лучевой аутосенсибилизации с использованием естественного радиомиметика – фитогенного аллергена</w:t>
      </w:r>
      <w:bookmarkEnd w:id="6155"/>
      <w:bookmarkEnd w:id="6156"/>
      <w:bookmarkEnd w:id="6157"/>
      <w:bookmarkEnd w:id="6158"/>
      <w:bookmarkEnd w:id="6159"/>
      <w:bookmarkEnd w:id="6160"/>
      <w:bookmarkEnd w:id="6161"/>
      <w:bookmarkEnd w:id="6162"/>
      <w:bookmarkEnd w:id="6163"/>
      <w:bookmarkEnd w:id="6164"/>
      <w:bookmarkEnd w:id="6165"/>
    </w:p>
    <w:p w:rsidR="00F4654E" w:rsidRDefault="00F4654E">
      <w:pPr>
        <w:pStyle w:val="2"/>
      </w:pPr>
      <w:bookmarkStart w:id="6166" w:name="_Toc10731665"/>
      <w:bookmarkStart w:id="6167" w:name="_Toc11032438"/>
      <w:bookmarkStart w:id="6168" w:name="_Toc11138148"/>
      <w:bookmarkStart w:id="6169" w:name="_Toc11138566"/>
      <w:bookmarkStart w:id="6170" w:name="_Toc11138984"/>
      <w:bookmarkStart w:id="6171" w:name="_Toc11139402"/>
      <w:bookmarkStart w:id="6172" w:name="_Toc11139820"/>
      <w:bookmarkStart w:id="6173" w:name="_Toc11140238"/>
      <w:bookmarkStart w:id="6174" w:name="_Toc11140656"/>
      <w:bookmarkStart w:id="6175" w:name="_Toc11390750"/>
      <w:bookmarkStart w:id="6176" w:name="_Toc11937975"/>
      <w:r>
        <w:t>Шарифуллина Д.Т., Конюхов Г.В., Низамов Р.Н., Ишмухаметов К.Т.</w:t>
      </w:r>
      <w:bookmarkEnd w:id="6166"/>
      <w:bookmarkEnd w:id="6167"/>
      <w:bookmarkEnd w:id="6168"/>
      <w:bookmarkEnd w:id="6169"/>
      <w:bookmarkEnd w:id="6170"/>
      <w:bookmarkEnd w:id="6171"/>
      <w:bookmarkEnd w:id="6172"/>
      <w:bookmarkEnd w:id="6173"/>
      <w:bookmarkEnd w:id="6174"/>
      <w:bookmarkEnd w:id="6175"/>
      <w:bookmarkEnd w:id="6176"/>
    </w:p>
    <w:p w:rsidR="00F4654E" w:rsidRDefault="00F4654E">
      <w:pPr>
        <w:pStyle w:val="a5"/>
      </w:pPr>
      <w:r>
        <w:t>Всероссийский научно-исследовательский ветеринарный институт</w:t>
      </w:r>
    </w:p>
    <w:p w:rsidR="00F4654E" w:rsidRDefault="00F4654E">
      <w:pPr>
        <w:pStyle w:val="a6"/>
      </w:pPr>
      <w:r>
        <w:t>Установлено, что облучение организма ионизирующей радиацией с</w:t>
      </w:r>
      <w:r>
        <w:t>о</w:t>
      </w:r>
      <w:r>
        <w:t>провождается радиолизом белков, аминокислот, углеводов, липидов орг</w:t>
      </w:r>
      <w:r>
        <w:t>а</w:t>
      </w:r>
      <w:r>
        <w:t>нов и тканей, с последующим развитием в организме аутоаллергических процессов. Продукты тканевого распада (радиолиза) вызывают аутои</w:t>
      </w:r>
      <w:r>
        <w:t>м</w:t>
      </w:r>
      <w:r>
        <w:t>мунную стимуляцию В-лимфоцитов на фоне снижения функции Т-супрессоров при сохранении активности Т-хелперов, образования аутоа</w:t>
      </w:r>
      <w:r>
        <w:t>н</w:t>
      </w:r>
      <w:r>
        <w:t>тител и лимфоцитов-хелперов, сенсибилизированных к собственным тк</w:t>
      </w:r>
      <w:r>
        <w:t>а</w:t>
      </w:r>
      <w:r>
        <w:t>ням (Клемпарская Н.Н., 1968). Поэтому при терапии радиационных пор</w:t>
      </w:r>
      <w:r>
        <w:t>а</w:t>
      </w:r>
      <w:r>
        <w:t>жений возникает необходимость выявления состояния аутосенсибилиз</w:t>
      </w:r>
      <w:r>
        <w:t>а</w:t>
      </w:r>
      <w:r>
        <w:t>ции и принятия экстренных мер по десенсибилизации облученного орг</w:t>
      </w:r>
      <w:r>
        <w:t>а</w:t>
      </w:r>
      <w:r>
        <w:t xml:space="preserve">низма. В этой связи особую актуальность приобретают вопросы, связанные с разработкой высокочувствительных методов и средств для выявления лучевой сенсибилизации организма. </w:t>
      </w:r>
    </w:p>
    <w:p w:rsidR="00F4654E" w:rsidRDefault="00F4654E">
      <w:pPr>
        <w:pStyle w:val="a6"/>
      </w:pPr>
      <w:r>
        <w:t>С учетом изложенного в данной работе приводятся данные по оценке диагностической ценности интрадермальной аллергической пробы с и</w:t>
      </w:r>
      <w:r>
        <w:t>с</w:t>
      </w:r>
      <w:r>
        <w:t>пользованием антигенов-аллергенов фитогенного происхождения.</w:t>
      </w:r>
    </w:p>
    <w:p w:rsidR="00F4654E" w:rsidRDefault="00F4654E">
      <w:pPr>
        <w:pStyle w:val="a6"/>
      </w:pPr>
      <w:r>
        <w:t>В опытах использовали морских свинок со средней живой массой 300-400 г, разделенных по принципу аналогов на 2 группы. Свинок 1-й группы облучили гамма-лучами в дозе 4,0 Гр, животные 2-й группы служили би</w:t>
      </w:r>
      <w:r>
        <w:t>о</w:t>
      </w:r>
      <w:r>
        <w:t>логическим контролем. Свинкам обеих групп внутрикожно в область брюшка в дозе 0,1 см</w:t>
      </w:r>
      <w:r>
        <w:rPr>
          <w:vertAlign w:val="superscript"/>
        </w:rPr>
        <w:t>3</w:t>
      </w:r>
      <w:r>
        <w:t xml:space="preserve"> вводили фитогенный аллерген. Реакцию учитывали на 4 сутки после инъекции антигена по 5-балльной системе при наличии образовавшихся отеков и гиперемии (некроза) кожи на месте введения а</w:t>
      </w:r>
      <w:r>
        <w:t>л</w:t>
      </w:r>
      <w:r>
        <w:t>лергена.</w:t>
      </w:r>
    </w:p>
    <w:p w:rsidR="00F4654E" w:rsidRDefault="00F4654E">
      <w:pPr>
        <w:pStyle w:val="a6"/>
      </w:pPr>
      <w:r>
        <w:t>В отличие от облученных, реакция необлученных животных на вв</w:t>
      </w:r>
      <w:r>
        <w:t>о</w:t>
      </w:r>
      <w:r>
        <w:t>димый препарат была отрицательной, что свидетельствует о специфичн</w:t>
      </w:r>
      <w:r>
        <w:t>о</w:t>
      </w:r>
      <w:r>
        <w:t>сти антигена и возможности его применения в интрадермальной пробе для выявления радиационной аутосенсибилизации.</w:t>
      </w:r>
    </w:p>
    <w:p w:rsidR="00D75866" w:rsidRDefault="00D75866">
      <w:pPr>
        <w:pStyle w:val="a4"/>
      </w:pPr>
    </w:p>
    <w:p w:rsidR="00F4654E" w:rsidRDefault="00F4654E">
      <w:pPr>
        <w:pStyle w:val="a4"/>
      </w:pPr>
      <w:r>
        <w:lastRenderedPageBreak/>
        <w:t>УДК 619:576.851.48+576.851.2:615.281</w:t>
      </w:r>
    </w:p>
    <w:p w:rsidR="00F4654E" w:rsidRDefault="00F4654E">
      <w:pPr>
        <w:pStyle w:val="1"/>
      </w:pPr>
      <w:bookmarkStart w:id="6177" w:name="_Toc10731666"/>
      <w:bookmarkStart w:id="6178" w:name="_Toc11138149"/>
      <w:bookmarkStart w:id="6179" w:name="_Toc11138567"/>
      <w:bookmarkStart w:id="6180" w:name="_Toc11138985"/>
      <w:bookmarkStart w:id="6181" w:name="_Toc11139403"/>
      <w:bookmarkStart w:id="6182" w:name="_Toc11139821"/>
      <w:bookmarkStart w:id="6183" w:name="_Toc11140239"/>
      <w:bookmarkStart w:id="6184" w:name="_Toc11140657"/>
      <w:bookmarkStart w:id="6185" w:name="_Toc11390751"/>
      <w:bookmarkStart w:id="6186" w:name="_Toc11840440"/>
      <w:bookmarkStart w:id="6187" w:name="_Toc11937976"/>
      <w:r>
        <w:t>ИЗУЧЕНИЕ АДАПТАЦИИ И РЕАДАПТАЦИИ ЭШЕРИХИЙ И СТАФИЛОКОККОВ К ДИФУРУ</w:t>
      </w:r>
      <w:bookmarkEnd w:id="6177"/>
      <w:bookmarkEnd w:id="6178"/>
      <w:bookmarkEnd w:id="6179"/>
      <w:bookmarkEnd w:id="6180"/>
      <w:bookmarkEnd w:id="6181"/>
      <w:bookmarkEnd w:id="6182"/>
      <w:bookmarkEnd w:id="6183"/>
      <w:bookmarkEnd w:id="6184"/>
      <w:bookmarkEnd w:id="6185"/>
      <w:bookmarkEnd w:id="6186"/>
      <w:bookmarkEnd w:id="6187"/>
    </w:p>
    <w:p w:rsidR="00F4654E" w:rsidRDefault="00F4654E">
      <w:pPr>
        <w:pStyle w:val="2"/>
      </w:pPr>
      <w:bookmarkStart w:id="6188" w:name="_Toc10731667"/>
      <w:bookmarkStart w:id="6189" w:name="_Toc11032437"/>
      <w:bookmarkStart w:id="6190" w:name="_Toc11138150"/>
      <w:bookmarkStart w:id="6191" w:name="_Toc11138568"/>
      <w:bookmarkStart w:id="6192" w:name="_Toc11138986"/>
      <w:bookmarkStart w:id="6193" w:name="_Toc11139404"/>
      <w:bookmarkStart w:id="6194" w:name="_Toc11139822"/>
      <w:bookmarkStart w:id="6195" w:name="_Toc11140240"/>
      <w:bookmarkStart w:id="6196" w:name="_Toc11140658"/>
      <w:bookmarkStart w:id="6197" w:name="_Toc11390752"/>
      <w:bookmarkStart w:id="6198" w:name="_Toc11937977"/>
      <w:r>
        <w:t>Шевелева Е.Е.</w:t>
      </w:r>
      <w:bookmarkEnd w:id="6188"/>
      <w:bookmarkEnd w:id="6189"/>
      <w:bookmarkEnd w:id="6190"/>
      <w:bookmarkEnd w:id="6191"/>
      <w:bookmarkEnd w:id="6192"/>
      <w:bookmarkEnd w:id="6193"/>
      <w:bookmarkEnd w:id="6194"/>
      <w:bookmarkEnd w:id="6195"/>
      <w:bookmarkEnd w:id="6196"/>
      <w:bookmarkEnd w:id="6197"/>
      <w:bookmarkEnd w:id="6198"/>
    </w:p>
    <w:p w:rsidR="00F4654E" w:rsidRDefault="00F4654E">
      <w:pPr>
        <w:pStyle w:val="a5"/>
      </w:pPr>
      <w:r>
        <w:t>Всероссийский НИВИ патологии, фармакологии и терапии</w:t>
      </w:r>
    </w:p>
    <w:p w:rsidR="00F4654E" w:rsidRDefault="00F4654E">
      <w:pPr>
        <w:pStyle w:val="a6"/>
      </w:pPr>
      <w:r>
        <w:t>Для лечения и профилактики метрит-мастит-агалактии свиноматок во ВНИВИПФиТ был создан новый комплексный антибактериальный преп</w:t>
      </w:r>
      <w:r>
        <w:t>а</w:t>
      </w:r>
      <w:r>
        <w:t>рат – дифур, обладающий широким спектром антимикробного действия на микроорганизмы, вызывающие заболевание.</w:t>
      </w:r>
      <w:r w:rsidR="00D75866">
        <w:t xml:space="preserve"> </w:t>
      </w:r>
      <w:r>
        <w:t>С целью изучения возможн</w:t>
      </w:r>
      <w:r>
        <w:t>о</w:t>
      </w:r>
      <w:r>
        <w:t>сти возникновения лекарственной устойчивости бактерий к препарату проводили их культивирование в мясо-пептонном бульоне (МПБ), соде</w:t>
      </w:r>
      <w:r>
        <w:t>р</w:t>
      </w:r>
      <w:r>
        <w:t>жащем возрастающие суббактериостат</w:t>
      </w:r>
      <w:r>
        <w:t>и</w:t>
      </w:r>
      <w:r>
        <w:t xml:space="preserve">ческие концентрации дифура. </w:t>
      </w:r>
    </w:p>
    <w:p w:rsidR="00F4654E" w:rsidRDefault="00F4654E">
      <w:pPr>
        <w:pStyle w:val="a6"/>
      </w:pPr>
      <w:r>
        <w:t>Опыты проводили с культурами E coli О8 и Staph. epidermidis, кот</w:t>
      </w:r>
      <w:r>
        <w:t>о</w:t>
      </w:r>
      <w:r>
        <w:t xml:space="preserve">рые наиболее часто выделяли при метрит-мастит-агалактии свиноматок. При этом учитывали изменения культурально-морфологических свойств и ферментативной активности эшерихий и стафилококков. </w:t>
      </w:r>
    </w:p>
    <w:p w:rsidR="00F4654E" w:rsidRDefault="00F4654E">
      <w:pPr>
        <w:pStyle w:val="a6"/>
      </w:pPr>
      <w:r>
        <w:t>Степень повышения устойчивости бактерий к дифуру оценивали по коэффициенту резистентности, который равен отношению минимальной, подавляющей рост адаптированных бактерий, концентрации испытуемого химиотерапевтического средства (МБ</w:t>
      </w:r>
      <w:r>
        <w:rPr>
          <w:vertAlign w:val="subscript"/>
        </w:rPr>
        <w:t>с</w:t>
      </w:r>
      <w:r>
        <w:t>К) к МБ</w:t>
      </w:r>
      <w:r>
        <w:rPr>
          <w:vertAlign w:val="subscript"/>
        </w:rPr>
        <w:t>с</w:t>
      </w:r>
      <w:r>
        <w:t>К дифура в отношении и</w:t>
      </w:r>
      <w:r>
        <w:t>с</w:t>
      </w:r>
      <w:r>
        <w:t>ходных культур.</w:t>
      </w:r>
      <w:r w:rsidR="00D75866">
        <w:t xml:space="preserve"> </w:t>
      </w:r>
      <w:r>
        <w:t>Устойчивость эшерихий к препарату увеличивалась в т</w:t>
      </w:r>
      <w:r>
        <w:t>е</w:t>
      </w:r>
      <w:r>
        <w:t>чение 20 пассажей от 3,9 мкг/мл до 62,5 мкг/мл (коэффициент резистен</w:t>
      </w:r>
      <w:r>
        <w:t>т</w:t>
      </w:r>
      <w:r>
        <w:t>ности = 8), а у Staph. epidermidis от 31,25 мкг/мл до 125 мкг/мл в течение 8 пассажей (коэффициент резистентности = 4). После 20-го пассажа у эш</w:t>
      </w:r>
      <w:r>
        <w:t>е</w:t>
      </w:r>
      <w:r>
        <w:t>рихий и 8-го – у стафилококков устойчивость их к дифуру не увеличив</w:t>
      </w:r>
      <w:r>
        <w:t>а</w:t>
      </w:r>
      <w:r>
        <w:t>лась. После 6-го пассажа у эшерихий изменились морфологические сво</w:t>
      </w:r>
      <w:r>
        <w:t>й</w:t>
      </w:r>
      <w:r>
        <w:t>ства: наблюдали полиморфизм популяции с увеличением размера и изм</w:t>
      </w:r>
      <w:r>
        <w:t>е</w:t>
      </w:r>
      <w:r>
        <w:t>нением формы бактериальных клеток, образованием нитей и коротких ц</w:t>
      </w:r>
      <w:r>
        <w:t>е</w:t>
      </w:r>
      <w:r>
        <w:t>почек, наличием кокковидных форм. В мазках также присутствовали ме</w:t>
      </w:r>
      <w:r>
        <w:t>л</w:t>
      </w:r>
      <w:r>
        <w:t>кие палочки, характерные для исходной культуры. К 15-му пассажу в ма</w:t>
      </w:r>
      <w:r>
        <w:t>з</w:t>
      </w:r>
      <w:r>
        <w:t>ках исчезла исходная форма бактерий, подавляющее большинство сост</w:t>
      </w:r>
      <w:r>
        <w:t>а</w:t>
      </w:r>
      <w:r>
        <w:t>вили длинные нитевидные клетки, значительно меньше наблюдалось ме</w:t>
      </w:r>
      <w:r>
        <w:t>л</w:t>
      </w:r>
      <w:r>
        <w:t>ких кокковидных форм. К 20-му пассажу при микроскопии мазков все поле зрения заполнено длинными грамотрицательными нитями. После 10-го пассажа у эшерихий отмечали изменения исходных культуральных свойств. Культура образовывала в МПБ хлопья, не разбива</w:t>
      </w:r>
      <w:r>
        <w:t>ю</w:t>
      </w:r>
      <w:r>
        <w:t>щихся после встряхивания пробирки, на МПА регистрировали задержку роста колоний и уменьшение их размера, а кроме типичных S-форм, появились одино</w:t>
      </w:r>
      <w:r>
        <w:t>ч</w:t>
      </w:r>
      <w:r>
        <w:t>ные шероховатые и мелкие росинчатые колонии. Ферментативные свойс</w:t>
      </w:r>
      <w:r>
        <w:t>т</w:t>
      </w:r>
      <w:r>
        <w:t>ва эшерихий не изменялись. У стафилококков в течение 30 пассажей с д</w:t>
      </w:r>
      <w:r>
        <w:t>и</w:t>
      </w:r>
      <w:r>
        <w:t>фуром культуральные, морфологические и ферментативные свойства не изменялись.</w:t>
      </w:r>
    </w:p>
    <w:p w:rsidR="00F4654E" w:rsidRDefault="00F4654E">
      <w:pPr>
        <w:pStyle w:val="a6"/>
      </w:pPr>
      <w:r>
        <w:lastRenderedPageBreak/>
        <w:t>Для решения вопроса о стабильности приобретённой устойчивости у эшерихий и стафилококков были проведены последовательные пассажи адаптированных штаммов на МПБ, не содержащем дифур. Минимальная бактериостатическая концентрация дифура  в отношении кишечной пало</w:t>
      </w:r>
      <w:r>
        <w:t>ч</w:t>
      </w:r>
      <w:r>
        <w:t>ки не изменялась в течение 5 пассажей. При последующих 20 пассажах происходило плавное снижение МБ</w:t>
      </w:r>
      <w:r>
        <w:rPr>
          <w:vertAlign w:val="subscript"/>
        </w:rPr>
        <w:t>с</w:t>
      </w:r>
      <w:r>
        <w:t>К препарата до первоначального уро</w:t>
      </w:r>
      <w:r>
        <w:t>в</w:t>
      </w:r>
      <w:r>
        <w:t>ня (3,9 мкг/мл). Культуральные свойства адаптированных эшерихий во</w:t>
      </w:r>
      <w:r>
        <w:t>з</w:t>
      </w:r>
      <w:r>
        <w:t>вращались к исходным через 5 пассажей. У стафилококка резистентность к дифуру уменьшилась до исходного зн</w:t>
      </w:r>
      <w:r>
        <w:t>а</w:t>
      </w:r>
      <w:r>
        <w:t>чения (31,25 мкг/мл) за 8 пассажей.</w:t>
      </w:r>
    </w:p>
    <w:p w:rsidR="00F4654E" w:rsidRDefault="00F4654E">
      <w:pPr>
        <w:pStyle w:val="a6"/>
      </w:pPr>
      <w:r>
        <w:t>Анализ полученных результатов показывает, что при культивиров</w:t>
      </w:r>
      <w:r>
        <w:t>а</w:t>
      </w:r>
      <w:r>
        <w:t>нии микроорганизмов в условиях возрастающих концентраций препарата возможно повышение у них устойчивости, однако коэффициенты рез</w:t>
      </w:r>
      <w:r>
        <w:t>и</w:t>
      </w:r>
      <w:r>
        <w:t>стентности культур невысокие. Кроме того, приобретенные свойства н</w:t>
      </w:r>
      <w:r>
        <w:t>е</w:t>
      </w:r>
      <w:r>
        <w:t>стабильны и быстро возвращаются к исходным. Это обусловливает пе</w:t>
      </w:r>
      <w:r>
        <w:t>р</w:t>
      </w:r>
      <w:r>
        <w:t>спективность применения разработанного препарата для лечения послер</w:t>
      </w:r>
      <w:r>
        <w:t>о</w:t>
      </w:r>
      <w:r>
        <w:t>довых инфекций у свиноматок.</w:t>
      </w:r>
    </w:p>
    <w:p w:rsidR="00F4654E" w:rsidRDefault="00F4654E">
      <w:pPr>
        <w:pStyle w:val="a4"/>
      </w:pPr>
      <w:bookmarkStart w:id="6199" w:name="_Toc536439265"/>
      <w:r>
        <w:t>УДК 619:576.8:615.281:636.4</w:t>
      </w:r>
    </w:p>
    <w:p w:rsidR="00F4654E" w:rsidRDefault="00F4654E">
      <w:pPr>
        <w:pStyle w:val="1"/>
      </w:pPr>
      <w:bookmarkStart w:id="6200" w:name="_Toc10731668"/>
      <w:bookmarkStart w:id="6201" w:name="_Toc11138151"/>
      <w:bookmarkStart w:id="6202" w:name="_Toc11138569"/>
      <w:bookmarkStart w:id="6203" w:name="_Toc11138987"/>
      <w:bookmarkStart w:id="6204" w:name="_Toc11139405"/>
      <w:bookmarkStart w:id="6205" w:name="_Toc11139823"/>
      <w:bookmarkStart w:id="6206" w:name="_Toc11140241"/>
      <w:bookmarkStart w:id="6207" w:name="_Toc11140659"/>
      <w:bookmarkStart w:id="6208" w:name="_Toc11390753"/>
      <w:bookmarkStart w:id="6209" w:name="_Toc11840442"/>
      <w:bookmarkStart w:id="6210" w:name="_Toc11937978"/>
      <w:r>
        <w:t xml:space="preserve">РЕЗИСТЕНТНОСТЬ К АНТИМИКРОБНЫМ ПРЕПАРАТАМ МИКРООРГАНИЗМОВ, ВЫДЕЛЕННЫХ ОТ СВИНОМАТОК </w:t>
      </w:r>
      <w:r>
        <w:br/>
        <w:t>С ПОСЛЕРОДОВОЙ ПАТОЛОГИЕЙ</w:t>
      </w:r>
      <w:bookmarkEnd w:id="6200"/>
      <w:bookmarkEnd w:id="6201"/>
      <w:bookmarkEnd w:id="6202"/>
      <w:bookmarkEnd w:id="6203"/>
      <w:bookmarkEnd w:id="6204"/>
      <w:bookmarkEnd w:id="6205"/>
      <w:bookmarkEnd w:id="6206"/>
      <w:bookmarkEnd w:id="6207"/>
      <w:bookmarkEnd w:id="6208"/>
      <w:bookmarkEnd w:id="6209"/>
      <w:bookmarkEnd w:id="6210"/>
    </w:p>
    <w:p w:rsidR="00F4654E" w:rsidRDefault="00F4654E">
      <w:pPr>
        <w:pStyle w:val="2"/>
      </w:pPr>
      <w:bookmarkStart w:id="6211" w:name="_Toc10731669"/>
      <w:bookmarkStart w:id="6212" w:name="_Toc11032439"/>
      <w:bookmarkStart w:id="6213" w:name="_Toc11138152"/>
      <w:bookmarkStart w:id="6214" w:name="_Toc11138570"/>
      <w:bookmarkStart w:id="6215" w:name="_Toc11138988"/>
      <w:bookmarkStart w:id="6216" w:name="_Toc11139406"/>
      <w:bookmarkStart w:id="6217" w:name="_Toc11139824"/>
      <w:bookmarkStart w:id="6218" w:name="_Toc11140242"/>
      <w:bookmarkStart w:id="6219" w:name="_Toc11140660"/>
      <w:bookmarkStart w:id="6220" w:name="_Toc11390754"/>
      <w:bookmarkStart w:id="6221" w:name="_Toc11937979"/>
      <w:r>
        <w:t>Шевелева Е.Е., Бирюков М.В.</w:t>
      </w:r>
      <w:bookmarkEnd w:id="6211"/>
      <w:bookmarkEnd w:id="6212"/>
      <w:bookmarkEnd w:id="6213"/>
      <w:bookmarkEnd w:id="6214"/>
      <w:bookmarkEnd w:id="6215"/>
      <w:bookmarkEnd w:id="6216"/>
      <w:bookmarkEnd w:id="6217"/>
      <w:bookmarkEnd w:id="6218"/>
      <w:bookmarkEnd w:id="6219"/>
      <w:bookmarkEnd w:id="6220"/>
      <w:bookmarkEnd w:id="6221"/>
    </w:p>
    <w:p w:rsidR="00F4654E" w:rsidRDefault="00F4654E">
      <w:pPr>
        <w:pStyle w:val="a5"/>
      </w:pPr>
      <w:r>
        <w:t>Всероссийский НИВИ патологии, фармакологии и терапии</w:t>
      </w:r>
    </w:p>
    <w:p w:rsidR="00F4654E" w:rsidRPr="00D75866" w:rsidRDefault="00F4654E">
      <w:pPr>
        <w:pStyle w:val="a6"/>
        <w:rPr>
          <w:spacing w:val="-2"/>
        </w:rPr>
      </w:pPr>
      <w:r w:rsidRPr="00D75866">
        <w:rPr>
          <w:spacing w:val="-2"/>
        </w:rPr>
        <w:t>Чувствительность бактерий к антимикробным препаратам определяли методом диффузии в агаровой среде с помощью бумажных дисков прои</w:t>
      </w:r>
      <w:r w:rsidRPr="00D75866">
        <w:rPr>
          <w:spacing w:val="-2"/>
        </w:rPr>
        <w:t>з</w:t>
      </w:r>
      <w:r w:rsidRPr="00D75866">
        <w:rPr>
          <w:spacing w:val="-2"/>
        </w:rPr>
        <w:t>водства НИЦФ. Штаммы микроорганизмов, у которых зона задержки ро</w:t>
      </w:r>
      <w:r w:rsidRPr="00D75866">
        <w:rPr>
          <w:spacing w:val="-2"/>
        </w:rPr>
        <w:t>с</w:t>
      </w:r>
      <w:r w:rsidRPr="00D75866">
        <w:rPr>
          <w:spacing w:val="-2"/>
        </w:rPr>
        <w:t>та вокруг диска была 15 мм и более, считали чувствительными к действию а</w:t>
      </w:r>
      <w:r w:rsidRPr="00D75866">
        <w:rPr>
          <w:spacing w:val="-2"/>
        </w:rPr>
        <w:t>н</w:t>
      </w:r>
      <w:r w:rsidRPr="00D75866">
        <w:rPr>
          <w:spacing w:val="-2"/>
        </w:rPr>
        <w:t>тимикробного препарата. Резистентными считали штаммы, у которых зона задержки роста была менее 15 мм, считая диаметр бумажного диска. Всего протестировали 31 культуру бактерий. Анализ резистентности микроорг</w:t>
      </w:r>
      <w:r w:rsidRPr="00D75866">
        <w:rPr>
          <w:spacing w:val="-2"/>
        </w:rPr>
        <w:t>а</w:t>
      </w:r>
      <w:r w:rsidRPr="00D75866">
        <w:rPr>
          <w:spacing w:val="-2"/>
        </w:rPr>
        <w:t>низмов проводили с учетом спектра действия антимикробного пр</w:t>
      </w:r>
      <w:r w:rsidRPr="00D75866">
        <w:rPr>
          <w:spacing w:val="-2"/>
        </w:rPr>
        <w:t>е</w:t>
      </w:r>
      <w:r w:rsidRPr="00D75866">
        <w:rPr>
          <w:spacing w:val="-2"/>
        </w:rPr>
        <w:t>парата.</w:t>
      </w:r>
    </w:p>
    <w:p w:rsidR="00F4654E" w:rsidRDefault="00F4654E">
      <w:pPr>
        <w:pStyle w:val="a6"/>
      </w:pPr>
      <w:r>
        <w:t>Проведенные исследования показали, что на все штаммы микроорг</w:t>
      </w:r>
      <w:r>
        <w:t>а</w:t>
      </w:r>
      <w:r>
        <w:t>низмов действует только офлоксацин. К цефазолину чувствительны 100% стафилококков и стрептококков. Энтеробактерии (более 75% культур) б</w:t>
      </w:r>
      <w:r>
        <w:t>ы</w:t>
      </w:r>
      <w:r>
        <w:t>ли чувствительны к фуракрилину, ципрофлоксацину, фурадонину, фураг</w:t>
      </w:r>
      <w:r>
        <w:t>и</w:t>
      </w:r>
      <w:r>
        <w:t>ну, нетилмицину. От 25 до 50% этих микроорганизмов были резистентны к стрептомицину, гентамицину, канамицину, неомицину, цефазолину, а б</w:t>
      </w:r>
      <w:r>
        <w:t>о</w:t>
      </w:r>
      <w:r>
        <w:t>лее 50% культур - к левомицетину и тетрациклину.</w:t>
      </w:r>
      <w:r w:rsidR="00D75866">
        <w:t xml:space="preserve"> </w:t>
      </w:r>
      <w:r>
        <w:t>Менее 25% культур стафилококков были устойчивы к стрептомицину, оксацилину, нетилм</w:t>
      </w:r>
      <w:r>
        <w:t>и</w:t>
      </w:r>
      <w:r>
        <w:t>цину, ципрофлоксацину, офлоксацину, от 25 до 50% - к линкомицину, п</w:t>
      </w:r>
      <w:r>
        <w:t>е</w:t>
      </w:r>
      <w:r>
        <w:t>нициллину, ампициллину, гентамицину, канамицину, левомицетину, н</w:t>
      </w:r>
      <w:r>
        <w:t>е</w:t>
      </w:r>
      <w:r>
        <w:t xml:space="preserve">омицину, тетрациклину, фуракрилину и более 50% - к олеандомицину и </w:t>
      </w:r>
      <w:r>
        <w:lastRenderedPageBreak/>
        <w:t>фурадонину. Большинство выделенных стрептококков было чувствительно к ол</w:t>
      </w:r>
      <w:r>
        <w:t>е</w:t>
      </w:r>
      <w:r>
        <w:t>андомицину, пенициллину, оксациллину, гентамицину, офлоксацину, цефазолину. От 25 до 50% культур были резистентны к линкомицину, а</w:t>
      </w:r>
      <w:r>
        <w:t>м</w:t>
      </w:r>
      <w:r>
        <w:t>пициллину, нетилмицину, левомицетину, ципрофлоксацину, фурагину, фур</w:t>
      </w:r>
      <w:r>
        <w:t>а</w:t>
      </w:r>
      <w:r>
        <w:t>донину, фуракрилину и более 50% - к стрептомицину, канамицину и тетрациклину. Неомицин на тестируемые культуры стрептококков дейс</w:t>
      </w:r>
      <w:r>
        <w:t>т</w:t>
      </w:r>
      <w:r>
        <w:t>вия не оказывал.</w:t>
      </w:r>
    </w:p>
    <w:p w:rsidR="00F4654E" w:rsidRDefault="00F4654E">
      <w:pPr>
        <w:pStyle w:val="a6"/>
      </w:pPr>
      <w:r>
        <w:t>Таким образом, на энтеробактерий наиболее выраженное действие оказывают офлоксацин, ципрофлоксацин, фуракрилин, фурадонин, фур</w:t>
      </w:r>
      <w:r>
        <w:t>а</w:t>
      </w:r>
      <w:r>
        <w:t>гин и нетилмицин, на стафилококки – ципрофлоксацин, офлоксацин, цеф</w:t>
      </w:r>
      <w:r>
        <w:t>а</w:t>
      </w:r>
      <w:r>
        <w:t>золин, оксациллин и фурагин, а на стрептококки – офлоксацин, цефазолин, оксациллин. Большинство культур энтеробактерий было резистентно к тетрациклину, стафилококков – к фурадонину, а стрептококков – к неом</w:t>
      </w:r>
      <w:r>
        <w:t>и</w:t>
      </w:r>
      <w:r>
        <w:t>цину, канамицину и стрептомицину.</w:t>
      </w:r>
    </w:p>
    <w:p w:rsidR="00F4654E" w:rsidRDefault="00F4654E">
      <w:pPr>
        <w:pStyle w:val="a6"/>
      </w:pPr>
      <w:r>
        <w:t>Результаты исследований по изучению множественной лекарственной устойчивости микроорганизмов показали, что ко всем тестируемым преп</w:t>
      </w:r>
      <w:r>
        <w:t>а</w:t>
      </w:r>
      <w:r>
        <w:t>ратам чувствительны только 6,25% энтеробактерий и 20% стафилококков. 40% культур стафилококков были устойчивы к 2-4 препаратам и 40% - к 8-10 препаратам. 68,75% энтеробактерий были резистентны к 3-5 препар</w:t>
      </w:r>
      <w:r>
        <w:t>а</w:t>
      </w:r>
      <w:r>
        <w:t>там, а 80% культур стрептококков к 3-6 и 20% - к 11 препаратам.</w:t>
      </w:r>
    </w:p>
    <w:p w:rsidR="00F4654E" w:rsidRDefault="00F4654E">
      <w:pPr>
        <w:pStyle w:val="a6"/>
      </w:pPr>
      <w:r>
        <w:t>Таким образом, менее резистентными к действию антимикробных препаратов оказались стафилококки, а энтеробактерии и стрептококки проявляли к ним выраженную устойчивость. Проблема множественной л</w:t>
      </w:r>
      <w:r>
        <w:t>е</w:t>
      </w:r>
      <w:r>
        <w:t>карственной устойчивости подтверждается нашими исследованиями. Рез</w:t>
      </w:r>
      <w:r>
        <w:t>и</w:t>
      </w:r>
      <w:r>
        <w:t>стентность бактерий разных таксонов не одинакова. Поэтому при забол</w:t>
      </w:r>
      <w:r>
        <w:t>е</w:t>
      </w:r>
      <w:r>
        <w:t>ваниях, вызванных ассоциациями микроорганизмов, практически нево</w:t>
      </w:r>
      <w:r>
        <w:t>з</w:t>
      </w:r>
      <w:r>
        <w:t>можно подобрать препарат, действующий на всех возбудителей одновр</w:t>
      </w:r>
      <w:r>
        <w:t>е</w:t>
      </w:r>
      <w:r>
        <w:t>менно. Это обосновывает необходимость разработки новых комплексных препаратов, компоненты которых обладают разными механизмами ант</w:t>
      </w:r>
      <w:r>
        <w:t>и</w:t>
      </w:r>
      <w:r>
        <w:t>микробного действия.</w:t>
      </w:r>
    </w:p>
    <w:bookmarkEnd w:id="6199"/>
    <w:p w:rsidR="00F4654E" w:rsidRDefault="00F4654E">
      <w:pPr>
        <w:pStyle w:val="a4"/>
      </w:pPr>
      <w:r>
        <w:t>УЖ 619:618.1:615.27-084:636.4</w:t>
      </w:r>
    </w:p>
    <w:p w:rsidR="00F4654E" w:rsidRDefault="00F4654E">
      <w:pPr>
        <w:pStyle w:val="1"/>
      </w:pPr>
      <w:bookmarkStart w:id="6222" w:name="_Toc10731670"/>
      <w:bookmarkStart w:id="6223" w:name="_Toc11138153"/>
      <w:bookmarkStart w:id="6224" w:name="_Toc11138571"/>
      <w:bookmarkStart w:id="6225" w:name="_Toc11138989"/>
      <w:bookmarkStart w:id="6226" w:name="_Toc11139407"/>
      <w:bookmarkStart w:id="6227" w:name="_Toc11139825"/>
      <w:bookmarkStart w:id="6228" w:name="_Toc11140243"/>
      <w:bookmarkStart w:id="6229" w:name="_Toc11140661"/>
      <w:bookmarkStart w:id="6230" w:name="_Toc11390755"/>
      <w:bookmarkStart w:id="6231" w:name="_Toc11840444"/>
      <w:bookmarkStart w:id="6232" w:name="_Toc11937980"/>
      <w:r>
        <w:t>Сравнительная оценка эффективности селенсодержащих препаратов антавина, деполена и раствора селе</w:t>
      </w:r>
      <w:r>
        <w:softHyphen/>
        <w:t>нита натрия при профилактике послеродовых заболе</w:t>
      </w:r>
      <w:r>
        <w:softHyphen/>
        <w:t>ваний свиней и влияния этих препаратов на качество получаемого приплода</w:t>
      </w:r>
      <w:bookmarkEnd w:id="6222"/>
      <w:bookmarkEnd w:id="6223"/>
      <w:bookmarkEnd w:id="6224"/>
      <w:bookmarkEnd w:id="6225"/>
      <w:bookmarkEnd w:id="6226"/>
      <w:bookmarkEnd w:id="6227"/>
      <w:bookmarkEnd w:id="6228"/>
      <w:bookmarkEnd w:id="6229"/>
      <w:bookmarkEnd w:id="6230"/>
      <w:bookmarkEnd w:id="6231"/>
      <w:bookmarkEnd w:id="6232"/>
    </w:p>
    <w:p w:rsidR="00F4654E" w:rsidRDefault="00F4654E">
      <w:pPr>
        <w:pStyle w:val="2"/>
      </w:pPr>
      <w:bookmarkStart w:id="6233" w:name="_Toc10731671"/>
      <w:bookmarkStart w:id="6234" w:name="_Toc11032440"/>
      <w:bookmarkStart w:id="6235" w:name="_Toc11138154"/>
      <w:bookmarkStart w:id="6236" w:name="_Toc11138572"/>
      <w:bookmarkStart w:id="6237" w:name="_Toc11138990"/>
      <w:bookmarkStart w:id="6238" w:name="_Toc11139408"/>
      <w:bookmarkStart w:id="6239" w:name="_Toc11139826"/>
      <w:bookmarkStart w:id="6240" w:name="_Toc11140244"/>
      <w:bookmarkStart w:id="6241" w:name="_Toc11140662"/>
      <w:bookmarkStart w:id="6242" w:name="_Toc11390756"/>
      <w:bookmarkStart w:id="6243" w:name="_Toc11937981"/>
      <w:r>
        <w:t>Шевкопляс В.Н., Ярош Р. А.*, Турченко А.Н.*</w:t>
      </w:r>
      <w:bookmarkEnd w:id="6233"/>
      <w:bookmarkEnd w:id="6234"/>
      <w:bookmarkEnd w:id="6235"/>
      <w:bookmarkEnd w:id="6236"/>
      <w:bookmarkEnd w:id="6237"/>
      <w:bookmarkEnd w:id="6238"/>
      <w:bookmarkEnd w:id="6239"/>
      <w:bookmarkEnd w:id="6240"/>
      <w:bookmarkEnd w:id="6241"/>
      <w:bookmarkEnd w:id="6242"/>
      <w:bookmarkEnd w:id="6243"/>
    </w:p>
    <w:p w:rsidR="00F4654E" w:rsidRDefault="00F4654E">
      <w:pPr>
        <w:pStyle w:val="a5"/>
      </w:pPr>
      <w:r>
        <w:t xml:space="preserve">Государственное управление ветеринарии Краснодарского края </w:t>
      </w:r>
      <w:r>
        <w:br/>
        <w:t>*Краснодарский научно-исследовательский ветеринарный институт</w:t>
      </w:r>
    </w:p>
    <w:p w:rsidR="00F4654E" w:rsidRDefault="00F4654E">
      <w:pPr>
        <w:pStyle w:val="a6"/>
      </w:pPr>
      <w:r>
        <w:t>Научно–производственный опыт проводился на 84 свиноматках кру</w:t>
      </w:r>
      <w:r>
        <w:t>п</w:t>
      </w:r>
      <w:r>
        <w:t xml:space="preserve">ной белой породы 2-4 опоросов с массой тела 160-200 кг разделенных на 4 </w:t>
      </w:r>
      <w:r>
        <w:lastRenderedPageBreak/>
        <w:t>группы по принципу аналогов. Свиноматкам 1 группы (n=21) на 35 день супоросности подкожно вводили препарат антавин в дозе 2 мл на 100 кг массы тела (1мл./кг по ДВ). Свиноматкам 2 группы (n=21) на 35 день суп</w:t>
      </w:r>
      <w:r>
        <w:t>о</w:t>
      </w:r>
      <w:r>
        <w:t>росности подкожно вводили препарат деполен в дозе 2 мл на 100 кг массы тела (Т мл/кг по ДВ) Эта группа служила первым положительным контр</w:t>
      </w:r>
      <w:r>
        <w:t>о</w:t>
      </w:r>
      <w:r>
        <w:t>лем. Свиноматкам третьей группы (n=21) на 90-й день супоросности под</w:t>
      </w:r>
      <w:r>
        <w:softHyphen/>
        <w:t xml:space="preserve">кожно инъецировали 0,1% раствор селенита натрия в дозе 0,1 мл/кг массы тела по ДВ – второй положительный контроль. Четвертая группа </w:t>
      </w:r>
      <w:r>
        <w:br/>
        <w:t>(n=21),  состоявшая из свиноматок с 35- дневной супоросностью - 11 голов и свиноматок с 90-дневной супоросностью -10 голов, являлась отрицател</w:t>
      </w:r>
      <w:r>
        <w:t>ь</w:t>
      </w:r>
      <w:r>
        <w:t>ным контролем. Животным этой группы селенсодержащие препараты не применяли. Все группы животных находились в одинаковых условиях с</w:t>
      </w:r>
      <w:r>
        <w:t>о</w:t>
      </w:r>
      <w:r>
        <w:t>держа</w:t>
      </w:r>
      <w:r>
        <w:softHyphen/>
        <w:t>ния и кормления. За ними вели постоянное наблюдение и учитывали: забо</w:t>
      </w:r>
      <w:r>
        <w:softHyphen/>
        <w:t>леваемость свиноматок острым послеродовым эндометритом, симпт</w:t>
      </w:r>
      <w:r>
        <w:t>о</w:t>
      </w:r>
      <w:r>
        <w:t>мокомплексом метрит-мастит-агалактия, а также количество и качество ро</w:t>
      </w:r>
      <w:r>
        <w:softHyphen/>
        <w:t>дившихся поросят.</w:t>
      </w:r>
    </w:p>
    <w:p w:rsidR="00F4654E" w:rsidRPr="00D75866" w:rsidRDefault="00F4654E">
      <w:pPr>
        <w:pStyle w:val="a6"/>
        <w:rPr>
          <w:spacing w:val="-4"/>
        </w:rPr>
      </w:pPr>
      <w:r w:rsidRPr="00D75866">
        <w:rPr>
          <w:spacing w:val="-4"/>
        </w:rPr>
        <w:t>Исследованиями установлено, что заболеваемость свиноматок пер</w:t>
      </w:r>
      <w:r w:rsidRPr="00D75866">
        <w:rPr>
          <w:spacing w:val="-4"/>
        </w:rPr>
        <w:softHyphen/>
        <w:t>вой, второй и третьей групп была ниже: соответственно на 33,4% (в 2,1 раза), 23,8%  (в 1,6 раза), 9,6% (в 1,2 раза) по сравнению с четвертой группой, кот</w:t>
      </w:r>
      <w:r w:rsidRPr="00D75866">
        <w:rPr>
          <w:spacing w:val="-4"/>
        </w:rPr>
        <w:t>о</w:t>
      </w:r>
      <w:r w:rsidRPr="00D75866">
        <w:rPr>
          <w:spacing w:val="-4"/>
        </w:rPr>
        <w:t>рая являлась отрицательным контролем. Количество живых поросят, пол</w:t>
      </w:r>
      <w:r w:rsidRPr="00D75866">
        <w:rPr>
          <w:spacing w:val="-4"/>
        </w:rPr>
        <w:t>у</w:t>
      </w:r>
      <w:r w:rsidRPr="00D75866">
        <w:rPr>
          <w:spacing w:val="-4"/>
        </w:rPr>
        <w:t>ченных на одну свиноматку, соста</w:t>
      </w:r>
      <w:r w:rsidRPr="00D75866">
        <w:rPr>
          <w:spacing w:val="-4"/>
        </w:rPr>
        <w:softHyphen/>
        <w:t>вило по первой группе 10,9±0,25; по вт</w:t>
      </w:r>
      <w:r w:rsidRPr="00D75866">
        <w:rPr>
          <w:spacing w:val="-4"/>
        </w:rPr>
        <w:t>о</w:t>
      </w:r>
      <w:r w:rsidRPr="00D75866">
        <w:rPr>
          <w:spacing w:val="-4"/>
        </w:rPr>
        <w:t>рой - 10,2±0,42; по третьей -10, ±0,20; по четвертой - 8,9±0,24 и мертворо</w:t>
      </w:r>
      <w:r w:rsidRPr="00D75866">
        <w:rPr>
          <w:spacing w:val="-4"/>
        </w:rPr>
        <w:t>ж</w:t>
      </w:r>
      <w:r w:rsidRPr="00D75866">
        <w:rPr>
          <w:spacing w:val="-4"/>
        </w:rPr>
        <w:t>денных соответственно: 0,3± 0,11; 0,64±0,08; 0,92±0,11 и 1,34±0,18. Колич</w:t>
      </w:r>
      <w:r w:rsidRPr="00D75866">
        <w:rPr>
          <w:spacing w:val="-4"/>
        </w:rPr>
        <w:t>е</w:t>
      </w:r>
      <w:r w:rsidRPr="00D75866">
        <w:rPr>
          <w:spacing w:val="-4"/>
        </w:rPr>
        <w:t>ство слаборазвитых поросят по группам составило: в первой - 0,4±0,14; во второй - 1,1±0,13; в третьей - 1,1±0,15 и 1,9±0,28 соответст</w:t>
      </w:r>
      <w:r w:rsidRPr="00D75866">
        <w:rPr>
          <w:spacing w:val="-4"/>
        </w:rPr>
        <w:softHyphen/>
        <w:t xml:space="preserve">венно. </w:t>
      </w:r>
    </w:p>
    <w:p w:rsidR="00F4654E" w:rsidRDefault="00F4654E">
      <w:pPr>
        <w:pStyle w:val="a6"/>
      </w:pPr>
      <w:r>
        <w:t>Таким образом, установлено, что на одну свиноматку, обработанную селенсодержащими препаратами, получено больше поросят: в первой группе на 2,0±0,01; во второй - на 1,3±0,18 и в третьей на 1,1±0,16.</w:t>
      </w:r>
    </w:p>
    <w:p w:rsidR="00F4654E" w:rsidRDefault="00F4654E">
      <w:pPr>
        <w:pStyle w:val="a6"/>
      </w:pPr>
      <w:r>
        <w:t>Получено слаборазвитых соответственно по группам в 4,7 , 1,7 и 1,5 раза меньше; мертворожденных получено меньше в 4,4 , 2,0 и 1,4 раза по сравнению с группой, которая не обрабатывалась селенсодержащими пре</w:t>
      </w:r>
      <w:r>
        <w:softHyphen/>
        <w:t>паратами.</w:t>
      </w:r>
    </w:p>
    <w:p w:rsidR="00F4654E" w:rsidRDefault="00F4654E">
      <w:pPr>
        <w:pStyle w:val="a6"/>
      </w:pPr>
      <w:r>
        <w:t>Сопоставление данных по группам показало, что свиноматки, обра</w:t>
      </w:r>
      <w:r>
        <w:softHyphen/>
        <w:t>ботанные препаратом антавин, в 1,3-1,8 раза реже заболевают послеродо</w:t>
      </w:r>
      <w:r>
        <w:softHyphen/>
        <w:t>выми болезнями в сравнении со свиноматками, обработанными препара</w:t>
      </w:r>
      <w:r>
        <w:softHyphen/>
        <w:t>том деполен и селенитом натрия, и в 2,1 раза меньше в сравнении с груп</w:t>
      </w:r>
      <w:r>
        <w:softHyphen/>
        <w:t xml:space="preserve">пой отрицательного контроля. </w:t>
      </w:r>
    </w:p>
    <w:p w:rsidR="00F4654E" w:rsidRDefault="00F4654E">
      <w:pPr>
        <w:pStyle w:val="a6"/>
      </w:pPr>
      <w:r>
        <w:t>Количество поросят полученных на одну свиноматку, в группе, об</w:t>
      </w:r>
      <w:r>
        <w:softHyphen/>
        <w:t>работанной препаратом антавин, было больше на 0,6±0,03 по сравнению с группой, обработанной деполеном и на 0,8±0,05 поросенка больше, чем в группе, обработанной раствором селенита натрия. Разница с группой от</w:t>
      </w:r>
      <w:r>
        <w:softHyphen/>
        <w:t>рицательного контроля составила 2 поросенка на свиноматку.</w:t>
      </w:r>
    </w:p>
    <w:p w:rsidR="00F4654E" w:rsidRDefault="00F4654E">
      <w:pPr>
        <w:pStyle w:val="a6"/>
      </w:pPr>
      <w:r>
        <w:lastRenderedPageBreak/>
        <w:t>Следовательно, препарат антавин является высокоэффективным пр</w:t>
      </w:r>
      <w:r>
        <w:t>е</w:t>
      </w:r>
      <w:r>
        <w:t>паратом для профилактики послеродовых заболеваний у свиноматок, а также оказывает заметное положительное влияние на количество и качест</w:t>
      </w:r>
      <w:r>
        <w:softHyphen/>
        <w:t>во полученного приплода.</w:t>
      </w:r>
    </w:p>
    <w:p w:rsidR="00F4654E" w:rsidRDefault="00F4654E">
      <w:pPr>
        <w:pStyle w:val="a4"/>
      </w:pPr>
      <w:r>
        <w:t>УДК 619:616</w:t>
      </w:r>
    </w:p>
    <w:p w:rsidR="00F4654E" w:rsidRDefault="00F4654E">
      <w:pPr>
        <w:pStyle w:val="1"/>
      </w:pPr>
      <w:bookmarkStart w:id="6244" w:name="_Toc10731672"/>
      <w:bookmarkStart w:id="6245" w:name="_Toc11138155"/>
      <w:bookmarkStart w:id="6246" w:name="_Toc11138573"/>
      <w:bookmarkStart w:id="6247" w:name="_Toc11138991"/>
      <w:bookmarkStart w:id="6248" w:name="_Toc11139409"/>
      <w:bookmarkStart w:id="6249" w:name="_Toc11139827"/>
      <w:bookmarkStart w:id="6250" w:name="_Toc11140245"/>
      <w:bookmarkStart w:id="6251" w:name="_Toc11140663"/>
      <w:bookmarkStart w:id="6252" w:name="_Toc11390757"/>
      <w:bookmarkStart w:id="6253" w:name="_Toc11840446"/>
      <w:bookmarkStart w:id="6254" w:name="_Toc11937982"/>
      <w:r>
        <w:t>повышение эффективности вакцинопрофилактики телят с иммунодефицитным состоянием</w:t>
      </w:r>
      <w:bookmarkEnd w:id="6244"/>
      <w:bookmarkEnd w:id="6245"/>
      <w:bookmarkEnd w:id="6246"/>
      <w:bookmarkEnd w:id="6247"/>
      <w:bookmarkEnd w:id="6248"/>
      <w:bookmarkEnd w:id="6249"/>
      <w:bookmarkEnd w:id="6250"/>
      <w:bookmarkEnd w:id="6251"/>
      <w:bookmarkEnd w:id="6252"/>
      <w:bookmarkEnd w:id="6253"/>
      <w:bookmarkEnd w:id="6254"/>
    </w:p>
    <w:p w:rsidR="00F4654E" w:rsidRDefault="00F4654E">
      <w:pPr>
        <w:pStyle w:val="2"/>
      </w:pPr>
      <w:bookmarkStart w:id="6255" w:name="_Toc10731673"/>
      <w:bookmarkStart w:id="6256" w:name="_Toc11032441"/>
      <w:bookmarkStart w:id="6257" w:name="_Toc11138156"/>
      <w:bookmarkStart w:id="6258" w:name="_Toc11138574"/>
      <w:bookmarkStart w:id="6259" w:name="_Toc11138992"/>
      <w:bookmarkStart w:id="6260" w:name="_Toc11139410"/>
      <w:bookmarkStart w:id="6261" w:name="_Toc11139828"/>
      <w:bookmarkStart w:id="6262" w:name="_Toc11140246"/>
      <w:bookmarkStart w:id="6263" w:name="_Toc11140664"/>
      <w:bookmarkStart w:id="6264" w:name="_Toc11390758"/>
      <w:bookmarkStart w:id="6265" w:name="_Toc11937983"/>
      <w:r>
        <w:rPr>
          <w:caps/>
        </w:rPr>
        <w:t>Ш</w:t>
      </w:r>
      <w:r>
        <w:t>илов В.Б., Корсакова Е.Н.</w:t>
      </w:r>
      <w:bookmarkEnd w:id="6255"/>
      <w:bookmarkEnd w:id="6256"/>
      <w:bookmarkEnd w:id="6257"/>
      <w:bookmarkEnd w:id="6258"/>
      <w:bookmarkEnd w:id="6259"/>
      <w:bookmarkEnd w:id="6260"/>
      <w:bookmarkEnd w:id="6261"/>
      <w:bookmarkEnd w:id="6262"/>
      <w:bookmarkEnd w:id="6263"/>
      <w:bookmarkEnd w:id="6264"/>
      <w:bookmarkEnd w:id="6265"/>
    </w:p>
    <w:p w:rsidR="00F4654E" w:rsidRDefault="00F4654E">
      <w:pPr>
        <w:pStyle w:val="a5"/>
      </w:pPr>
      <w:r>
        <w:t>Уральская государственная сельскохозяйственная академия</w:t>
      </w:r>
    </w:p>
    <w:p w:rsidR="00F4654E" w:rsidRDefault="00F4654E">
      <w:pPr>
        <w:pStyle w:val="a6"/>
      </w:pPr>
      <w:r>
        <w:t>Иммунопрофилактика инфекционных болезней сыграла исключ</w:t>
      </w:r>
      <w:r>
        <w:t>и</w:t>
      </w:r>
      <w:r>
        <w:t>тельную роль в ликвидации заболеваний, проявляющихся в виде эпиз</w:t>
      </w:r>
      <w:r>
        <w:t>о</w:t>
      </w:r>
      <w:r>
        <w:t>отий. Однако существующие методы борьбы с ними в некоторых условиях не всегда эффективны, и проблема понижения инфекционной заболева</w:t>
      </w:r>
      <w:r>
        <w:t>е</w:t>
      </w:r>
      <w:r>
        <w:t xml:space="preserve">мости остается чрезвычайно актуальной как для здравоохранения, так и для ветеринарии. </w:t>
      </w:r>
    </w:p>
    <w:p w:rsidR="00F4654E" w:rsidRDefault="00F4654E">
      <w:pPr>
        <w:pStyle w:val="a6"/>
      </w:pPr>
      <w:r>
        <w:t>В отдельных территориях Свердловской области, которые являются неблагополучными в экологическом плане, эффективность вакцинопроф</w:t>
      </w:r>
      <w:r>
        <w:t>и</w:t>
      </w:r>
      <w:r>
        <w:t>лактики может снижаться в результате постоянного пре</w:t>
      </w:r>
      <w:r>
        <w:t>с</w:t>
      </w:r>
      <w:r>
        <w:t>синга на организм животных техногенных ксенобиотиков (тяжелых металлов и радионукл</w:t>
      </w:r>
      <w:r>
        <w:t>и</w:t>
      </w:r>
      <w:r>
        <w:t xml:space="preserve">дов). </w:t>
      </w:r>
    </w:p>
    <w:p w:rsidR="00F4654E" w:rsidRDefault="00F4654E">
      <w:pPr>
        <w:pStyle w:val="a6"/>
      </w:pPr>
      <w:r>
        <w:t>В настоящее время доказано, что отрицательные факторы окружа</w:t>
      </w:r>
      <w:r>
        <w:t>ю</w:t>
      </w:r>
      <w:r>
        <w:t>щей среды приводят к формированию нарушений в различных звеньях иммунной системы. Известно, что нарушения иммунитета, прежде всего, проявляются в развитии иммунодефицитных состояний, к</w:t>
      </w:r>
      <w:r>
        <w:t>о</w:t>
      </w:r>
      <w:r>
        <w:t>торые являются результатом нарушения функциональной активности клеток неспецифич</w:t>
      </w:r>
      <w:r>
        <w:t>е</w:t>
      </w:r>
      <w:r>
        <w:t>ской иммунной системы (моноциты, макрофаги, нейтрофилы) или спец</w:t>
      </w:r>
      <w:r>
        <w:t>и</w:t>
      </w:r>
      <w:r>
        <w:t>фической иммунной системы (Т- и В-лимфоциты).  Клинические проявл</w:t>
      </w:r>
      <w:r>
        <w:t>е</w:t>
      </w:r>
      <w:r>
        <w:t xml:space="preserve">ния иммунодефицитов ассоциируются с увеличением частоты и тяжести инфекций. </w:t>
      </w:r>
    </w:p>
    <w:p w:rsidR="00F4654E" w:rsidRDefault="00F4654E">
      <w:pPr>
        <w:pStyle w:val="a6"/>
      </w:pPr>
      <w:r>
        <w:t>Целью наших исследований явилось определение иммуноморфолог</w:t>
      </w:r>
      <w:r>
        <w:t>и</w:t>
      </w:r>
      <w:r>
        <w:t>ческих показателей у крупного рогатого скота из территории значительн</w:t>
      </w:r>
      <w:r>
        <w:t>о</w:t>
      </w:r>
      <w:r>
        <w:t>го техногенного загрязнения, происходящих в организме животных, ва</w:t>
      </w:r>
      <w:r>
        <w:t>к</w:t>
      </w:r>
      <w:r>
        <w:t>цинированных против лептоспироза.</w:t>
      </w:r>
    </w:p>
    <w:p w:rsidR="00F4654E" w:rsidRDefault="00F4654E">
      <w:pPr>
        <w:pStyle w:val="a6"/>
      </w:pPr>
      <w:r>
        <w:t>Для исследования были подобраны телочки, которым вводили вакц</w:t>
      </w:r>
      <w:r>
        <w:t>и</w:t>
      </w:r>
      <w:r>
        <w:t>ну в соответствии с наставлением. У телок до и спустя 14, 30, 45 и 60 дней после вакцинации в крови определяли абсолютное и относительное соде</w:t>
      </w:r>
      <w:r>
        <w:t>р</w:t>
      </w:r>
      <w:r>
        <w:t>жание Е-РОЛ и М-РОЛ лимфоцитов методом спонтанного розеткообраз</w:t>
      </w:r>
      <w:r>
        <w:t>о</w:t>
      </w:r>
      <w:r>
        <w:t>вания (Р.В. Петров, Р.М. Хаитов), уровень фагоцитарной активности мет</w:t>
      </w:r>
      <w:r>
        <w:t>о</w:t>
      </w:r>
      <w:r>
        <w:t>дом опсоно-фагоцитарной реакции, определяли лейкоцитарный Т-индекс (ЛТИ), который выражается в отношении количества лейкоцитов к кол</w:t>
      </w:r>
      <w:r>
        <w:t>и</w:t>
      </w:r>
      <w:r>
        <w:t>честву Т-клеток.</w:t>
      </w:r>
    </w:p>
    <w:p w:rsidR="00F4654E" w:rsidRDefault="00F4654E">
      <w:pPr>
        <w:pStyle w:val="a6"/>
      </w:pPr>
      <w:r>
        <w:lastRenderedPageBreak/>
        <w:t>Исследования показали, что количество Т и В лимфоцитов в крови шестимесячных телок довольно низкое по сравнению с аналогичными п</w:t>
      </w:r>
      <w:r>
        <w:t>о</w:t>
      </w:r>
      <w:r>
        <w:t>казателями у молодняка крупного рогатого скота из территорий так наз</w:t>
      </w:r>
      <w:r>
        <w:t>ы</w:t>
      </w:r>
      <w:r>
        <w:t>ваемого экологического благополучия (по данным И.М. Донник, Н.А. В</w:t>
      </w:r>
      <w:r>
        <w:t>е</w:t>
      </w:r>
      <w:r>
        <w:t>рещак, 2000) и составило соответственно 0,75 тыс./мкл и 0,57 тыс./мкл. Наряду с этим у данных животных определяли высокий ЛТИ - 13 у.е., что может свидетельствовать об иммунологической недостаточности у живо</w:t>
      </w:r>
      <w:r>
        <w:t>т</w:t>
      </w:r>
      <w:r>
        <w:t>ных из этой зоны.</w:t>
      </w:r>
    </w:p>
    <w:p w:rsidR="00F4654E" w:rsidRDefault="00F4654E">
      <w:pPr>
        <w:pStyle w:val="a6"/>
      </w:pPr>
      <w:r>
        <w:rPr>
          <w:caps/>
        </w:rPr>
        <w:t>ч</w:t>
      </w:r>
      <w:r>
        <w:t>ерез 14 дней после введения вакцины содержание лимфоцитов п</w:t>
      </w:r>
      <w:r>
        <w:t>о</w:t>
      </w:r>
      <w:r>
        <w:t>вышалось. Особенно значительно увеличилось количество В-лимфоцитов в 2,3 раза с 0,57 до 1,3 тыс./мкл, при этом количество Т-клеток повысилось не существенно. В дальнейшем значения данных пок</w:t>
      </w:r>
      <w:r>
        <w:t>а</w:t>
      </w:r>
      <w:r>
        <w:t xml:space="preserve">зателей постоянно снижались и через 60 дней составили, в среднем, 80% от фонового. </w:t>
      </w:r>
    </w:p>
    <w:p w:rsidR="00F4654E" w:rsidRDefault="00F4654E">
      <w:pPr>
        <w:pStyle w:val="a6"/>
      </w:pPr>
      <w:r>
        <w:t xml:space="preserve">Характеристика фагоцитарной активности нейтрофилов показывает угнетение их поглотительной способности после вакцинации. Особенно значительно данный показатель снижается через 14 дней – в 3 раза с 35 до 12 %,  после чего во всем периоде наблюдения не поднимается до уровня фоновых данных. Такая динамика иммунологических показателей также свидетельствует о недостаточности как клеточного, так и гуморального звена иммунитета. </w:t>
      </w:r>
    </w:p>
    <w:p w:rsidR="00F4654E" w:rsidRDefault="00F4654E">
      <w:pPr>
        <w:pStyle w:val="a6"/>
      </w:pPr>
      <w:r>
        <w:t>Данные серологического исследования сыворотки крови вакцинир</w:t>
      </w:r>
      <w:r>
        <w:t>о</w:t>
      </w:r>
      <w:r>
        <w:t>ванных телок в реакции микроагглютинации и лизиса показали, что сп</w:t>
      </w:r>
      <w:r>
        <w:t>е</w:t>
      </w:r>
      <w:r>
        <w:t>цифические антитела выявляются только через 30 дней после введения вакцины, всего у 25 % животных, тогда как литературные данные свид</w:t>
      </w:r>
      <w:r>
        <w:t>е</w:t>
      </w:r>
      <w:r>
        <w:t>тельствуют, что популяция считается защищенной при формировании н</w:t>
      </w:r>
      <w:r>
        <w:t>а</w:t>
      </w:r>
      <w:r>
        <w:t xml:space="preserve">пряженного иммунитета у 70-80% животных.   </w:t>
      </w:r>
    </w:p>
    <w:p w:rsidR="00F4654E" w:rsidRDefault="00F4654E">
      <w:pPr>
        <w:pStyle w:val="a6"/>
      </w:pPr>
      <w:r>
        <w:t>Поэтому для изучения возможности оптимизации иммунного ответа на введение вакцины нами были сформированы группы телок, которым вводили до вакцинации препараты миелопид (группа миелопептидов) и т</w:t>
      </w:r>
      <w:r>
        <w:t>е</w:t>
      </w:r>
      <w:r>
        <w:t xml:space="preserve">травит (комплекс витаминов). </w:t>
      </w:r>
    </w:p>
    <w:p w:rsidR="00F4654E" w:rsidRDefault="00F4654E">
      <w:pPr>
        <w:pStyle w:val="a6"/>
      </w:pPr>
      <w:r>
        <w:t>Было установлено, что применение миелопида и тетравита повышает эффективность вакцинации против лептоспироза у телок в данной терр</w:t>
      </w:r>
      <w:r>
        <w:t>и</w:t>
      </w:r>
      <w:r>
        <w:t>тории: способствует ранней и длительной выработке специфических ант</w:t>
      </w:r>
      <w:r>
        <w:t>и</w:t>
      </w:r>
      <w:r>
        <w:t>тел в диагностических титрах, вызывает иммунный ответ у сравнительно большего числа животных, что обуславливает возможность применения их при вакц</w:t>
      </w:r>
      <w:r>
        <w:t>и</w:t>
      </w:r>
      <w:r>
        <w:t>нации против данного заболевания у крупного рогатого скота. Однако, при иммунологическом исследовании оказалось, что повышение иммунологич</w:t>
      </w:r>
      <w:r>
        <w:t>е</w:t>
      </w:r>
      <w:r>
        <w:t>ских показателей было кратковременным, а к концу периода наблюдения их значения были ниже, чем в контроле. Наиболее оптимал</w:t>
      </w:r>
      <w:r>
        <w:t>ь</w:t>
      </w:r>
      <w:r>
        <w:t>ные изменения н</w:t>
      </w:r>
      <w:r>
        <w:t>а</w:t>
      </w:r>
      <w:r>
        <w:t>блюдали при введении комплекса витаминов (препарат тетравит).</w:t>
      </w:r>
    </w:p>
    <w:p w:rsidR="00F4654E" w:rsidRDefault="00F4654E">
      <w:pPr>
        <w:pStyle w:val="a6"/>
      </w:pPr>
    </w:p>
    <w:p w:rsidR="00D75866" w:rsidRDefault="00D75866">
      <w:pPr>
        <w:pStyle w:val="1"/>
      </w:pPr>
      <w:bookmarkStart w:id="6266" w:name="_Toc10731674"/>
      <w:bookmarkStart w:id="6267" w:name="_Toc11138157"/>
      <w:bookmarkStart w:id="6268" w:name="_Toc11138575"/>
      <w:bookmarkStart w:id="6269" w:name="_Toc11138993"/>
      <w:bookmarkStart w:id="6270" w:name="_Toc11139411"/>
      <w:bookmarkStart w:id="6271" w:name="_Toc11139829"/>
      <w:bookmarkStart w:id="6272" w:name="_Toc11140247"/>
      <w:bookmarkStart w:id="6273" w:name="_Toc11140665"/>
      <w:bookmarkStart w:id="6274" w:name="_Toc11390759"/>
      <w:bookmarkStart w:id="6275" w:name="_Toc11840448"/>
      <w:bookmarkStart w:id="6276" w:name="_Toc11937984"/>
    </w:p>
    <w:p w:rsidR="00F4654E" w:rsidRDefault="00F4654E">
      <w:pPr>
        <w:pStyle w:val="1"/>
      </w:pPr>
      <w:r>
        <w:t>Оценка факторов персистенции микроорганизмов</w:t>
      </w:r>
      <w:bookmarkEnd w:id="6266"/>
      <w:bookmarkEnd w:id="6267"/>
      <w:bookmarkEnd w:id="6268"/>
      <w:bookmarkEnd w:id="6269"/>
      <w:bookmarkEnd w:id="6270"/>
      <w:bookmarkEnd w:id="6271"/>
      <w:bookmarkEnd w:id="6272"/>
      <w:bookmarkEnd w:id="6273"/>
      <w:bookmarkEnd w:id="6274"/>
      <w:bookmarkEnd w:id="6275"/>
      <w:bookmarkEnd w:id="6276"/>
    </w:p>
    <w:p w:rsidR="00F4654E" w:rsidRDefault="00F4654E">
      <w:pPr>
        <w:pStyle w:val="2"/>
      </w:pPr>
      <w:bookmarkStart w:id="6277" w:name="_Toc10731675"/>
      <w:bookmarkStart w:id="6278" w:name="_Toc11032442"/>
      <w:bookmarkStart w:id="6279" w:name="_Toc11138158"/>
      <w:bookmarkStart w:id="6280" w:name="_Toc11138576"/>
      <w:bookmarkStart w:id="6281" w:name="_Toc11138994"/>
      <w:bookmarkStart w:id="6282" w:name="_Toc11139412"/>
      <w:bookmarkStart w:id="6283" w:name="_Toc11139830"/>
      <w:bookmarkStart w:id="6284" w:name="_Toc11140248"/>
      <w:bookmarkStart w:id="6285" w:name="_Toc11140666"/>
      <w:bookmarkStart w:id="6286" w:name="_Toc11390760"/>
      <w:bookmarkStart w:id="6287" w:name="_Toc11937985"/>
      <w:r>
        <w:t>Шкиль Н.Н.</w:t>
      </w:r>
      <w:bookmarkEnd w:id="6277"/>
      <w:bookmarkEnd w:id="6278"/>
      <w:bookmarkEnd w:id="6279"/>
      <w:bookmarkEnd w:id="6280"/>
      <w:bookmarkEnd w:id="6281"/>
      <w:bookmarkEnd w:id="6282"/>
      <w:bookmarkEnd w:id="6283"/>
      <w:bookmarkEnd w:id="6284"/>
      <w:bookmarkEnd w:id="6285"/>
      <w:bookmarkEnd w:id="6286"/>
      <w:bookmarkEnd w:id="6287"/>
    </w:p>
    <w:p w:rsidR="00F4654E" w:rsidRDefault="00F4654E">
      <w:pPr>
        <w:pStyle w:val="a5"/>
      </w:pPr>
      <w:r>
        <w:t xml:space="preserve">Институт экспериментальной ветеринарии Сибири и Дальнего Востока </w:t>
      </w:r>
    </w:p>
    <w:p w:rsidR="00F4654E" w:rsidRDefault="00F4654E">
      <w:pPr>
        <w:pStyle w:val="a6"/>
      </w:pPr>
      <w:r>
        <w:t>Сложившаяся система профилактики и лечения инфекционных заб</w:t>
      </w:r>
      <w:r>
        <w:t>о</w:t>
      </w:r>
      <w:r>
        <w:t>леваний путем массовой вакцинации и широкого применения антибиот</w:t>
      </w:r>
      <w:r>
        <w:t>и</w:t>
      </w:r>
      <w:r>
        <w:t>ков не даёт ожидаемого эффекта.</w:t>
      </w:r>
    </w:p>
    <w:p w:rsidR="00F4654E" w:rsidRDefault="00F4654E">
      <w:pPr>
        <w:pStyle w:val="a6"/>
      </w:pPr>
      <w:r>
        <w:t>Вероятно, основа стратегии борьбы с инфекционными заболеваниями заключается не в тотальном уничтожении возбудителя, а лежит в области регулирования паразито-хозяинных отношений. Изменение в этой системе приводит либо к активизации, либо к затуханию эпизоотического проце</w:t>
      </w:r>
      <w:r>
        <w:t>с</w:t>
      </w:r>
      <w:r>
        <w:t>са. Применение вакцин и химиотерапевтических средств меняет антиге</w:t>
      </w:r>
      <w:r>
        <w:t>н</w:t>
      </w:r>
      <w:r>
        <w:t>ный профиль, чувствительность к антибиотикам, активность ферментов возбудителя, т.е. изменяют его экологические характеристики, которые обуславливают его персистенцию. Важнейшими из этих факторов являю</w:t>
      </w:r>
      <w:r>
        <w:t>т</w:t>
      </w:r>
      <w:r>
        <w:t>ся антилизоцимная и адгезивная активность, чувствительность или рез</w:t>
      </w:r>
      <w:r>
        <w:t>и</w:t>
      </w:r>
      <w:r>
        <w:t>стентность к определенному спектру антибиотиков,  специфические фе</w:t>
      </w:r>
      <w:r>
        <w:t>р</w:t>
      </w:r>
      <w:r>
        <w:t>менты белковой, липидной или липополисахаридной природы. Указанные факторы позволяют микроорганизмам адаптироваться и паразитировать в организме хозяина.</w:t>
      </w:r>
    </w:p>
    <w:p w:rsidR="00F4654E" w:rsidRDefault="00F4654E">
      <w:pPr>
        <w:pStyle w:val="a6"/>
      </w:pPr>
      <w:r>
        <w:t>Изучая этиологию инфекционных заболеваний молодняка крупного рогатого скота нами выделялись: кишечная палочка, диплококк,  протей.  Индекс адгезивности микрорганизма (ИАМ) определяется путём вычисл</w:t>
      </w:r>
      <w:r>
        <w:t>е</w:t>
      </w:r>
      <w:r>
        <w:t>ния коэффициента адгезии микробных клеток эритроцитами крови телят. Микроорганизмы считаются неадгезивными при ИАМ менее 1,75, низк</w:t>
      </w:r>
      <w:r>
        <w:t>о</w:t>
      </w:r>
      <w:r>
        <w:t>адгезивными при 1,76 до 2,5, среднеадгезивными от 2,51 до 4,0 и высок</w:t>
      </w:r>
      <w:r>
        <w:t>о</w:t>
      </w:r>
      <w:r>
        <w:t>адгезивными при ИАМ выше 4,0.  ИАМ кишечной палочки (n=8) состав</w:t>
      </w:r>
      <w:r>
        <w:t>и</w:t>
      </w:r>
      <w:r>
        <w:t>ла 3,54</w:t>
      </w:r>
      <w:r>
        <w:sym w:font="Symbol" w:char="F0B1"/>
      </w:r>
      <w:r>
        <w:t>0,7, диплококка (n=11) 2,84</w:t>
      </w:r>
      <w:r>
        <w:sym w:font="Symbol" w:char="F0B1"/>
      </w:r>
      <w:r>
        <w:t>0,62, протея (n=5) 3,26</w:t>
      </w:r>
      <w:r>
        <w:sym w:font="Symbol" w:char="F0B1"/>
      </w:r>
      <w:r>
        <w:t xml:space="preserve">0,33. </w:t>
      </w:r>
    </w:p>
    <w:p w:rsidR="00F4654E" w:rsidRDefault="00F4654E">
      <w:pPr>
        <w:pStyle w:val="a6"/>
      </w:pPr>
      <w:r>
        <w:t>Антилизоцимная активность выделенных штаммов варьировала у к</w:t>
      </w:r>
      <w:r>
        <w:t>и</w:t>
      </w:r>
      <w:r>
        <w:t>шечной палочки 82,37</w:t>
      </w:r>
      <w:r>
        <w:sym w:font="Symbol" w:char="F0B1"/>
      </w:r>
      <w:r>
        <w:t>7,8%,  протея 95,25</w:t>
      </w:r>
      <w:r>
        <w:sym w:font="Symbol" w:char="F0B1"/>
      </w:r>
      <w:r>
        <w:t xml:space="preserve">2,42%, диплококка 97,66 </w:t>
      </w:r>
      <w:r>
        <w:sym w:font="Symbol" w:char="F0B1"/>
      </w:r>
      <w:r>
        <w:rPr>
          <w:u w:val="single"/>
        </w:rPr>
        <w:t xml:space="preserve"> </w:t>
      </w:r>
      <w:r>
        <w:t>2,14%. Изолированные штаммы микроорганизмов были чувствительны к некоторым антибиотикам: кишечная палочка к ветфлоку, неомицину, ге</w:t>
      </w:r>
      <w:r>
        <w:t>н</w:t>
      </w:r>
      <w:r>
        <w:t>тамицину, эритромицину, канамицину, неомицину, стрептомицину,  пр</w:t>
      </w:r>
      <w:r>
        <w:t>о</w:t>
      </w:r>
      <w:r>
        <w:t>тей ветфлоку, неомицину, гентамицину, эритромицину, канамицину, н</w:t>
      </w:r>
      <w:r>
        <w:t>е</w:t>
      </w:r>
      <w:r>
        <w:t xml:space="preserve">омицину, диплококк к ветфлоку, неомицину, гентамицину, эритромицину, канамицину, неомицину, стрептомицину.  </w:t>
      </w:r>
    </w:p>
    <w:p w:rsidR="00F4654E" w:rsidRDefault="00F4654E">
      <w:pPr>
        <w:pStyle w:val="a6"/>
      </w:pPr>
      <w:r>
        <w:t>Результаты исследований показывают, что высокие агрессивные сво</w:t>
      </w:r>
      <w:r>
        <w:t>й</w:t>
      </w:r>
      <w:r>
        <w:t>ства изолированных микроорганизмов проявляются в зимне-весенний стойловый период, что выражается в высоком уровне антилизоцимной и адгезивной активности выделенных изолятов. Вышеперечисленные сво</w:t>
      </w:r>
      <w:r>
        <w:t>й</w:t>
      </w:r>
      <w:r>
        <w:lastRenderedPageBreak/>
        <w:t>ства обусловлены длительным пассажем циркулирующей микрофлоры в помещениях зимнего типа.</w:t>
      </w:r>
    </w:p>
    <w:p w:rsidR="00F4654E" w:rsidRDefault="00F4654E">
      <w:pPr>
        <w:pStyle w:val="a6"/>
      </w:pPr>
      <w:r>
        <w:t>Характерным так же является наличие резистентности к большинству широко и давно используемым (пенициллин, мономицин,  тетрациклин, полимиксин)  и выраженной чувствительности к новым антибактериал</w:t>
      </w:r>
      <w:r>
        <w:t>ь</w:t>
      </w:r>
      <w:r>
        <w:t xml:space="preserve">ным препаратам (ветфлок, гентамицин, неомицин). </w:t>
      </w:r>
    </w:p>
    <w:p w:rsidR="00F4654E" w:rsidRDefault="00F4654E">
      <w:pPr>
        <w:pStyle w:val="a6"/>
      </w:pPr>
      <w:r>
        <w:t>Результаты исследования указывают на высокие адаптационные сп</w:t>
      </w:r>
      <w:r>
        <w:t>о</w:t>
      </w:r>
      <w:r>
        <w:t>собности выделенной микрофлоры и закономерной селекции устойчивости к определённому спектру антибиотиков. Так же отмечены различия в  а</w:t>
      </w:r>
      <w:r>
        <w:t>н</w:t>
      </w:r>
      <w:r>
        <w:t>тилизоцимной и адгезивной активности у микроорганизмов в зависимости от видовой принадлежности.</w:t>
      </w:r>
    </w:p>
    <w:p w:rsidR="00F4654E" w:rsidRDefault="00F4654E">
      <w:pPr>
        <w:pStyle w:val="a4"/>
      </w:pPr>
      <w:r>
        <w:t>УДК 619.615.7.612.017.1.636.4</w:t>
      </w:r>
    </w:p>
    <w:p w:rsidR="00F4654E" w:rsidRDefault="00F4654E">
      <w:pPr>
        <w:pStyle w:val="1"/>
      </w:pPr>
      <w:bookmarkStart w:id="6288" w:name="_Toc10731676"/>
      <w:bookmarkStart w:id="6289" w:name="_Toc11138159"/>
      <w:bookmarkStart w:id="6290" w:name="_Toc11138577"/>
      <w:bookmarkStart w:id="6291" w:name="_Toc11138995"/>
      <w:bookmarkStart w:id="6292" w:name="_Toc11139413"/>
      <w:bookmarkStart w:id="6293" w:name="_Toc11139831"/>
      <w:bookmarkStart w:id="6294" w:name="_Toc11140249"/>
      <w:bookmarkStart w:id="6295" w:name="_Toc11140667"/>
      <w:bookmarkStart w:id="6296" w:name="_Toc11390761"/>
      <w:bookmarkStart w:id="6297" w:name="_Toc11840450"/>
      <w:bookmarkStart w:id="6298" w:name="_Toc11937986"/>
      <w:r>
        <w:t>ВЛИЯНИЕ ПРЕПАРАТА «ЭНТЕРОСАН» НА ГЕМАТОЛОГИЧЕСКИЕ ПОКАЗАТЕЛИ</w:t>
      </w:r>
      <w:bookmarkEnd w:id="6288"/>
      <w:bookmarkEnd w:id="6289"/>
      <w:bookmarkEnd w:id="6290"/>
      <w:bookmarkEnd w:id="6291"/>
      <w:bookmarkEnd w:id="6292"/>
      <w:bookmarkEnd w:id="6293"/>
      <w:bookmarkEnd w:id="6294"/>
      <w:bookmarkEnd w:id="6295"/>
      <w:bookmarkEnd w:id="6296"/>
      <w:bookmarkEnd w:id="6297"/>
      <w:bookmarkEnd w:id="6298"/>
    </w:p>
    <w:p w:rsidR="00F4654E" w:rsidRDefault="00F4654E">
      <w:pPr>
        <w:pStyle w:val="2"/>
      </w:pPr>
      <w:bookmarkStart w:id="6299" w:name="_Toc10731677"/>
      <w:bookmarkStart w:id="6300" w:name="_Toc11032443"/>
      <w:bookmarkStart w:id="6301" w:name="_Toc11138160"/>
      <w:bookmarkStart w:id="6302" w:name="_Toc11138578"/>
      <w:bookmarkStart w:id="6303" w:name="_Toc11138996"/>
      <w:bookmarkStart w:id="6304" w:name="_Toc11139414"/>
      <w:bookmarkStart w:id="6305" w:name="_Toc11139832"/>
      <w:bookmarkStart w:id="6306" w:name="_Toc11140250"/>
      <w:bookmarkStart w:id="6307" w:name="_Toc11140668"/>
      <w:bookmarkStart w:id="6308" w:name="_Toc11390762"/>
      <w:bookmarkStart w:id="6309" w:name="_Toc11937987"/>
      <w:r>
        <w:t>Штукарева М. Ю.</w:t>
      </w:r>
      <w:bookmarkEnd w:id="6299"/>
      <w:bookmarkEnd w:id="6300"/>
      <w:bookmarkEnd w:id="6301"/>
      <w:bookmarkEnd w:id="6302"/>
      <w:bookmarkEnd w:id="6303"/>
      <w:bookmarkEnd w:id="6304"/>
      <w:bookmarkEnd w:id="6305"/>
      <w:bookmarkEnd w:id="6306"/>
      <w:bookmarkEnd w:id="6307"/>
      <w:bookmarkEnd w:id="6308"/>
      <w:bookmarkEnd w:id="6309"/>
    </w:p>
    <w:p w:rsidR="00F4654E" w:rsidRDefault="00F4654E">
      <w:pPr>
        <w:pStyle w:val="a5"/>
      </w:pPr>
      <w:r>
        <w:t>ЗАО «Медминипром»</w:t>
      </w:r>
    </w:p>
    <w:p w:rsidR="00F4654E" w:rsidRDefault="00F4654E">
      <w:pPr>
        <w:pStyle w:val="a6"/>
      </w:pPr>
      <w:r>
        <w:t>Влияние препарата на гематологические показатели оценивали по д</w:t>
      </w:r>
      <w:r>
        <w:t>и</w:t>
      </w:r>
      <w:r>
        <w:t>намике показателей периферической крови лабораторных животных. В опытах использовали половозрелых крыс массой 180-220 г.</w:t>
      </w:r>
    </w:p>
    <w:p w:rsidR="00F4654E" w:rsidRDefault="00F4654E">
      <w:pPr>
        <w:pStyle w:val="a6"/>
      </w:pPr>
      <w:r>
        <w:t>Препарат вводили ежедневно в течение 30 дней, предварительно ра</w:t>
      </w:r>
      <w:r>
        <w:t>з</w:t>
      </w:r>
      <w:r>
        <w:t>ведя его физиологическим раствором, непосредственно в желудок через зонд в объеме 5 мл. Содержание активного вещества составляло 15,0; 150,0 мг/кг в первой и второй опытных группах соответственно. Животные ко</w:t>
      </w:r>
      <w:r>
        <w:t>н</w:t>
      </w:r>
      <w:r>
        <w:t>трольной группы получали физиологический раствор в том же объеме, введенный аналогичным образом.</w:t>
      </w:r>
    </w:p>
    <w:p w:rsidR="00F4654E" w:rsidRDefault="00F4654E">
      <w:pPr>
        <w:pStyle w:val="a6"/>
      </w:pPr>
      <w:r>
        <w:t>За животными наблюдали в течение 30 дней. Кровь для исследования брали при забое крыс декапитацией. Определяли количество эритроцитов, гемоглобина, лейкоцитов с подсчетом лейкоцитарной формулы (нейтр</w:t>
      </w:r>
      <w:r>
        <w:t>о</w:t>
      </w:r>
      <w:r>
        <w:t>филы, эозинофилы, лимфоциты, моноциты). Подсчет количества эритр</w:t>
      </w:r>
      <w:r>
        <w:t>о</w:t>
      </w:r>
      <w:r>
        <w:t>цитов и лейкоцитов проводили на автоматическом счетчике. Гемоглобин крови определяли по Сали.</w:t>
      </w:r>
    </w:p>
    <w:p w:rsidR="00F4654E" w:rsidRDefault="00F4654E">
      <w:pPr>
        <w:pStyle w:val="a6"/>
      </w:pPr>
      <w:r>
        <w:t>Как показали проведенные исследования, препарат «Энтеросан» при введении на протяжении длительного времени, не оказывая отрицательн</w:t>
      </w:r>
      <w:r>
        <w:t>о</w:t>
      </w:r>
      <w:r>
        <w:t xml:space="preserve">го действия на исследованные гематологические показатели. </w:t>
      </w:r>
    </w:p>
    <w:p w:rsidR="00F4654E" w:rsidRDefault="00F4654E">
      <w:pPr>
        <w:pStyle w:val="a6"/>
      </w:pPr>
      <w:r>
        <w:t>При исследовании периферической крови крыс установлено, что к</w:t>
      </w:r>
      <w:r>
        <w:t>о</w:t>
      </w:r>
      <w:r>
        <w:t>личество эритроцитов в первой и второй опытных группах животных до введения препарата составляло 5,30</w:t>
      </w:r>
      <w:r>
        <w:sym w:font="Symbol" w:char="F0B1"/>
      </w:r>
      <w:r>
        <w:t>0,11 и 5,80</w:t>
      </w:r>
      <w:r>
        <w:sym w:font="Symbol" w:char="F0B1"/>
      </w:r>
      <w:r>
        <w:t>0,07 млн./мл соответс</w:t>
      </w:r>
      <w:r>
        <w:t>т</w:t>
      </w:r>
      <w:r>
        <w:t>венно. Через 30 дней введения препарата этот показатель в первой опы</w:t>
      </w:r>
      <w:r>
        <w:t>т</w:t>
      </w:r>
      <w:r>
        <w:t>ной группе составил 6,07</w:t>
      </w:r>
      <w:r>
        <w:sym w:font="Symbol" w:char="F0B1"/>
      </w:r>
      <w:r>
        <w:t>0,04 млн./мл, во второй опытной группе 5,95</w:t>
      </w:r>
      <w:r>
        <w:sym w:font="Symbol" w:char="F0B1"/>
      </w:r>
      <w:r>
        <w:t xml:space="preserve"> 0,12 млн./мл. </w:t>
      </w:r>
    </w:p>
    <w:p w:rsidR="00F4654E" w:rsidRDefault="00F4654E">
      <w:pPr>
        <w:pStyle w:val="a6"/>
      </w:pPr>
      <w:r>
        <w:lastRenderedPageBreak/>
        <w:t>Количество гемоглобина в начале опыта в опытных группах в среднем колебалось в пределах 132,4-137,5 г/л. После окончания опыта показатели гемоглобина в первой опытной группе составило 130,7</w:t>
      </w:r>
      <w:r>
        <w:sym w:font="Symbol" w:char="F0B1"/>
      </w:r>
      <w:r>
        <w:t>5,3, во второй опытной группе 136,4</w:t>
      </w:r>
      <w:r>
        <w:sym w:font="Symbol" w:char="F0B1"/>
      </w:r>
      <w:r>
        <w:t xml:space="preserve">4,6 г/л. </w:t>
      </w:r>
    </w:p>
    <w:p w:rsidR="00F4654E" w:rsidRDefault="00F4654E">
      <w:pPr>
        <w:pStyle w:val="a6"/>
      </w:pPr>
      <w:r>
        <w:t>Содержание лейкоцитов в периферической крови первой опытной группы составило 11,5</w:t>
      </w:r>
      <w:r>
        <w:sym w:font="Symbol" w:char="F0B1"/>
      </w:r>
      <w:r>
        <w:t>1,26 тыс./мл. Во второй опытной группе показатель равнялся 12,1</w:t>
      </w:r>
      <w:r>
        <w:sym w:font="Symbol" w:char="F0B1"/>
      </w:r>
      <w:r>
        <w:t>1,10. После окончания опыта количество лейкоцитов в п</w:t>
      </w:r>
      <w:r>
        <w:t>е</w:t>
      </w:r>
      <w:r>
        <w:t xml:space="preserve">риферической крови опытных животных статистически не отличалась от такового в контрольной группе. </w:t>
      </w:r>
    </w:p>
    <w:p w:rsidR="00F4654E" w:rsidRDefault="00F4654E">
      <w:pPr>
        <w:pStyle w:val="a6"/>
      </w:pPr>
      <w:r>
        <w:t>Изучение лейкоцитарной формулы показало, что перед введением препарата количество нейтрофилов в опытных группах животных колеб</w:t>
      </w:r>
      <w:r>
        <w:t>а</w:t>
      </w:r>
      <w:r>
        <w:t>лось в пределах 22,7-24,3%. После введения препарата процент содерж</w:t>
      </w:r>
      <w:r>
        <w:t>а</w:t>
      </w:r>
      <w:r>
        <w:t>ния нейтрофилов составил 24,2-26,1 соответственно. Количество моноц</w:t>
      </w:r>
      <w:r>
        <w:t>и</w:t>
      </w:r>
      <w:r>
        <w:t>тов в периферической крови опытных крыс в начале опыта в среднем с</w:t>
      </w:r>
      <w:r>
        <w:t>о</w:t>
      </w:r>
      <w:r>
        <w:t>ставило 2,23%, а через 30 дней – 2,14 %. Количество эозинофилов в обеих опытных группах животных также находилась в пределах физиологич</w:t>
      </w:r>
      <w:r>
        <w:t>е</w:t>
      </w:r>
      <w:r>
        <w:t>ской нормы и колебалась в пределах от 1,28-1,57 процентов.</w:t>
      </w:r>
    </w:p>
    <w:p w:rsidR="00F4654E" w:rsidRDefault="00F4654E">
      <w:pPr>
        <w:pStyle w:val="a6"/>
      </w:pPr>
      <w:r>
        <w:t>Таким образом, полученные нами данные свидетельствуют о том, что гематологические показатели во всех группах, включая контрольную группу, остаются стабильными в течение всего эксперимента и существе</w:t>
      </w:r>
      <w:r>
        <w:t>н</w:t>
      </w:r>
      <w:r>
        <w:t>но не изменяются под влиянием препарата. Во всех случаях некоторые о</w:t>
      </w:r>
      <w:r>
        <w:t>т</w:t>
      </w:r>
      <w:r>
        <w:t>клонения показателей по отношению к исходным величинам, отмеченные в процессе эксперимента статистически недостоверны (р&gt;0,05).</w:t>
      </w:r>
    </w:p>
    <w:p w:rsidR="00F4654E" w:rsidRDefault="00F4654E">
      <w:pPr>
        <w:pStyle w:val="a4"/>
      </w:pPr>
      <w:r>
        <w:t>УДК 619.615.7.612.017.1.636.4</w:t>
      </w:r>
    </w:p>
    <w:p w:rsidR="00F4654E" w:rsidRDefault="00F4654E">
      <w:pPr>
        <w:pStyle w:val="1"/>
      </w:pPr>
      <w:bookmarkStart w:id="6310" w:name="_Toc10731678"/>
      <w:bookmarkStart w:id="6311" w:name="_Toc11138161"/>
      <w:bookmarkStart w:id="6312" w:name="_Toc11138579"/>
      <w:bookmarkStart w:id="6313" w:name="_Toc11138997"/>
      <w:bookmarkStart w:id="6314" w:name="_Toc11139415"/>
      <w:bookmarkStart w:id="6315" w:name="_Toc11139833"/>
      <w:bookmarkStart w:id="6316" w:name="_Toc11140251"/>
      <w:bookmarkStart w:id="6317" w:name="_Toc11140669"/>
      <w:bookmarkStart w:id="6318" w:name="_Toc11390763"/>
      <w:bookmarkStart w:id="6319" w:name="_Toc11840452"/>
      <w:bookmarkStart w:id="6320" w:name="_Toc11937988"/>
      <w:r>
        <w:t>МОРФОЛОГИЧЕСКАЯ ОЦЕНКА БЕЗВРЕДНОСТИ ПРЕПАРАТА «ЭНТЕРОСАН»</w:t>
      </w:r>
      <w:bookmarkEnd w:id="6310"/>
      <w:bookmarkEnd w:id="6311"/>
      <w:bookmarkEnd w:id="6312"/>
      <w:bookmarkEnd w:id="6313"/>
      <w:bookmarkEnd w:id="6314"/>
      <w:bookmarkEnd w:id="6315"/>
      <w:bookmarkEnd w:id="6316"/>
      <w:bookmarkEnd w:id="6317"/>
      <w:bookmarkEnd w:id="6318"/>
      <w:bookmarkEnd w:id="6319"/>
      <w:bookmarkEnd w:id="6320"/>
    </w:p>
    <w:p w:rsidR="00F4654E" w:rsidRDefault="00F4654E">
      <w:pPr>
        <w:pStyle w:val="2"/>
      </w:pPr>
      <w:bookmarkStart w:id="6321" w:name="_Toc10731679"/>
      <w:bookmarkStart w:id="6322" w:name="_Toc11032444"/>
      <w:bookmarkStart w:id="6323" w:name="_Toc11138162"/>
      <w:bookmarkStart w:id="6324" w:name="_Toc11138580"/>
      <w:bookmarkStart w:id="6325" w:name="_Toc11138998"/>
      <w:bookmarkStart w:id="6326" w:name="_Toc11139416"/>
      <w:bookmarkStart w:id="6327" w:name="_Toc11139834"/>
      <w:bookmarkStart w:id="6328" w:name="_Toc11140252"/>
      <w:bookmarkStart w:id="6329" w:name="_Toc11140670"/>
      <w:bookmarkStart w:id="6330" w:name="_Toc11390764"/>
      <w:bookmarkStart w:id="6331" w:name="_Toc11937989"/>
      <w:r>
        <w:t>Штукарева М. Ю., Гладских Л. В.</w:t>
      </w:r>
      <w:bookmarkEnd w:id="6321"/>
      <w:bookmarkEnd w:id="6322"/>
      <w:bookmarkEnd w:id="6323"/>
      <w:bookmarkEnd w:id="6324"/>
      <w:bookmarkEnd w:id="6325"/>
      <w:bookmarkEnd w:id="6326"/>
      <w:bookmarkEnd w:id="6327"/>
      <w:bookmarkEnd w:id="6328"/>
      <w:bookmarkEnd w:id="6329"/>
      <w:bookmarkEnd w:id="6330"/>
      <w:bookmarkEnd w:id="6331"/>
    </w:p>
    <w:p w:rsidR="00F4654E" w:rsidRDefault="00F4654E">
      <w:pPr>
        <w:pStyle w:val="a5"/>
      </w:pPr>
      <w:r>
        <w:t>ЗАО «Медминипром»</w:t>
      </w:r>
    </w:p>
    <w:p w:rsidR="00F4654E" w:rsidRDefault="00F4654E">
      <w:pPr>
        <w:pStyle w:val="a6"/>
      </w:pPr>
      <w:r>
        <w:t>С целью гистоморфологической оценки действия препарата «Энтер</w:t>
      </w:r>
      <w:r>
        <w:t>о</w:t>
      </w:r>
      <w:r>
        <w:t>сан» были проведены опыты на 20 половозрелых крысах, которым в теч</w:t>
      </w:r>
      <w:r>
        <w:t>е</w:t>
      </w:r>
      <w:r>
        <w:t>ние 30 дней ежедневно вводился внутрижелудочно препарат «Энтеросан» в дозе 150 мг/кг массы животных. Контрольной группой служили 10 пол</w:t>
      </w:r>
      <w:r>
        <w:t>о</w:t>
      </w:r>
      <w:r>
        <w:t>возрелых крыс, которые не получали указанного препарата. Помимо ма</w:t>
      </w:r>
      <w:r>
        <w:t>к</w:t>
      </w:r>
      <w:r>
        <w:t>роскопического описания органов после забоя животных, проводилось гистологическое исследование внутренних органов: печени, почек, сердца, легких и мозга для оценки их морфофункционального состояния при окр</w:t>
      </w:r>
      <w:r>
        <w:t>а</w:t>
      </w:r>
      <w:r>
        <w:t>ске парафиновых срезов гематоксилин-эозином.</w:t>
      </w:r>
    </w:p>
    <w:p w:rsidR="00F4654E" w:rsidRDefault="00F4654E">
      <w:pPr>
        <w:pStyle w:val="a6"/>
      </w:pPr>
      <w:r>
        <w:t xml:space="preserve">При вскрытии животных выведенных из опыта через 30 дней после постановки эксперимента, видимых патологических отклонений от нормы со стороны внутренних органов не отмечалось. </w:t>
      </w:r>
    </w:p>
    <w:p w:rsidR="00F4654E" w:rsidRPr="00D75866" w:rsidRDefault="00F4654E">
      <w:pPr>
        <w:pStyle w:val="a6"/>
        <w:rPr>
          <w:spacing w:val="-2"/>
        </w:rPr>
      </w:pPr>
      <w:r w:rsidRPr="00D75866">
        <w:rPr>
          <w:spacing w:val="-2"/>
        </w:rPr>
        <w:lastRenderedPageBreak/>
        <w:t>При гистологическом исследовании печени практически во всех иссл</w:t>
      </w:r>
      <w:r w:rsidRPr="00D75866">
        <w:rPr>
          <w:spacing w:val="-2"/>
        </w:rPr>
        <w:t>е</w:t>
      </w:r>
      <w:r w:rsidRPr="00D75866">
        <w:rPr>
          <w:spacing w:val="-2"/>
        </w:rPr>
        <w:t>дованных случаях через 30 суток после введения препарата, не было обн</w:t>
      </w:r>
      <w:r w:rsidRPr="00D75866">
        <w:rPr>
          <w:spacing w:val="-2"/>
        </w:rPr>
        <w:t>а</w:t>
      </w:r>
      <w:r w:rsidRPr="00D75866">
        <w:rPr>
          <w:spacing w:val="-2"/>
        </w:rPr>
        <w:t>ружено дистрофически – деструктивных изменений печеночной п</w:t>
      </w:r>
      <w:r w:rsidRPr="00D75866">
        <w:rPr>
          <w:spacing w:val="-2"/>
        </w:rPr>
        <w:t>а</w:t>
      </w:r>
      <w:r w:rsidRPr="00D75866">
        <w:rPr>
          <w:spacing w:val="-2"/>
        </w:rPr>
        <w:t>ренхимы. Гистоархитектоника печеночных балок была не нарушена. О</w:t>
      </w:r>
      <w:r w:rsidRPr="00D75866">
        <w:rPr>
          <w:spacing w:val="-2"/>
        </w:rPr>
        <w:t>с</w:t>
      </w:r>
      <w:r w:rsidRPr="00D75866">
        <w:rPr>
          <w:spacing w:val="-2"/>
        </w:rPr>
        <w:t>новная масса гепатоцитов не изменена. Ядра печеночных клеток были преимущественно округлой формы с умеренно просветленной кариоплазмой и предоболоче</w:t>
      </w:r>
      <w:r w:rsidRPr="00D75866">
        <w:rPr>
          <w:spacing w:val="-2"/>
        </w:rPr>
        <w:t>ч</w:t>
      </w:r>
      <w:r w:rsidRPr="00D75866">
        <w:rPr>
          <w:spacing w:val="-2"/>
        </w:rPr>
        <w:t>ной конденсацией хроматина. Среди основной массы практически не изм</w:t>
      </w:r>
      <w:r w:rsidRPr="00D75866">
        <w:rPr>
          <w:spacing w:val="-2"/>
        </w:rPr>
        <w:t>е</w:t>
      </w:r>
      <w:r w:rsidRPr="00D75866">
        <w:rPr>
          <w:spacing w:val="-2"/>
        </w:rPr>
        <w:t>ненных гепатоцитов встречались гипертрофированные клетки с несколько просветленной цитоплазмой и базофильным ядром, в котором наблюдалось скопление конденсированного гетерохроматина, заполняющего практич</w:t>
      </w:r>
      <w:r w:rsidRPr="00D75866">
        <w:rPr>
          <w:spacing w:val="-2"/>
        </w:rPr>
        <w:t>е</w:t>
      </w:r>
      <w:r w:rsidRPr="00D75866">
        <w:rPr>
          <w:spacing w:val="-2"/>
        </w:rPr>
        <w:t>ски всю кариоплазму. Междольковые и внутридольковые сосуды с нескол</w:t>
      </w:r>
      <w:r w:rsidRPr="00D75866">
        <w:rPr>
          <w:spacing w:val="-2"/>
        </w:rPr>
        <w:t>ь</w:t>
      </w:r>
      <w:r w:rsidRPr="00D75866">
        <w:rPr>
          <w:spacing w:val="-2"/>
        </w:rPr>
        <w:t>ко расширенным просветом и хорошо выраженной эндотелиальной высти</w:t>
      </w:r>
      <w:r w:rsidRPr="00D75866">
        <w:rPr>
          <w:spacing w:val="-2"/>
        </w:rPr>
        <w:t>л</w:t>
      </w:r>
      <w:r w:rsidRPr="00D75866">
        <w:rPr>
          <w:spacing w:val="-2"/>
        </w:rPr>
        <w:t>кой. Внутридольковые желчные протоки не расш</w:t>
      </w:r>
      <w:r w:rsidRPr="00D75866">
        <w:rPr>
          <w:spacing w:val="-2"/>
        </w:rPr>
        <w:t>и</w:t>
      </w:r>
      <w:r w:rsidRPr="00D75866">
        <w:rPr>
          <w:spacing w:val="-2"/>
        </w:rPr>
        <w:t>рены, а выстилающие их просвет звездчатые купферовские клетки не и</w:t>
      </w:r>
      <w:r w:rsidRPr="00D75866">
        <w:rPr>
          <w:spacing w:val="-2"/>
        </w:rPr>
        <w:t>з</w:t>
      </w:r>
      <w:r w:rsidRPr="00D75866">
        <w:rPr>
          <w:spacing w:val="-2"/>
        </w:rPr>
        <w:t>менены.</w:t>
      </w:r>
    </w:p>
    <w:p w:rsidR="00F4654E" w:rsidRDefault="00F4654E">
      <w:pPr>
        <w:pStyle w:val="a6"/>
      </w:pPr>
      <w:r>
        <w:t>Гистологическое исследование легких показало, что во всех иссл</w:t>
      </w:r>
      <w:r>
        <w:t>е</w:t>
      </w:r>
      <w:r>
        <w:t>дуемых случаях гистоархитектоника легочной паренхимы была не нар</w:t>
      </w:r>
      <w:r>
        <w:t>у</w:t>
      </w:r>
      <w:r>
        <w:t>шена и практически мало, чем отличалась от их нормального состояния. Среди неизмененной легочной паренхимы наблюдается очаговое расшир</w:t>
      </w:r>
      <w:r>
        <w:t>е</w:t>
      </w:r>
      <w:r>
        <w:t>ние альвеол без нарушения целостности их стенок. Обращало на себя вн</w:t>
      </w:r>
      <w:r>
        <w:t>и</w:t>
      </w:r>
      <w:r>
        <w:t>мание практически полное отсутствие перибронхиальной лимфоиднокл</w:t>
      </w:r>
      <w:r>
        <w:t>е</w:t>
      </w:r>
      <w:r>
        <w:t>точной инфильтрации, а если и наблюдались очаговые преимущественно перибронхиальные скопления лимфоидных клеток, то эти процессы нос</w:t>
      </w:r>
      <w:r>
        <w:t>и</w:t>
      </w:r>
      <w:r>
        <w:t>ли строго ограниченный очаговый характер.</w:t>
      </w:r>
    </w:p>
    <w:p w:rsidR="00F4654E" w:rsidRDefault="00F4654E">
      <w:pPr>
        <w:pStyle w:val="a6"/>
      </w:pPr>
      <w:r>
        <w:t>Гистологическое исследование сердца через 30 суток после введения препарата показало, что во всех случаях видимых изменений со стороны кардиомиоцитов и микроциркулярного сосудистого русла не обнаружено.</w:t>
      </w:r>
    </w:p>
    <w:p w:rsidR="00F4654E" w:rsidRDefault="00F4654E">
      <w:pPr>
        <w:pStyle w:val="a6"/>
      </w:pPr>
      <w:r>
        <w:t>Гистологические изменения в почках после введения препарата через 30 суток характеризовались умеренно выраженным расширением просвета системы извитых отделов проксимальных и дистальных канальцев корк</w:t>
      </w:r>
      <w:r>
        <w:t>о</w:t>
      </w:r>
      <w:r>
        <w:t>вого слоя почки с отеком части эпителиальных клеток канальцев на фоне практически не нарушенного интраорганного кровообращения. В части клубочков наблюдалось лишь неравномерное расширение полости капс</w:t>
      </w:r>
      <w:r>
        <w:t>у</w:t>
      </w:r>
      <w:r>
        <w:t>лы. Канальцевая система мозгового слоя почек и области лоханок практ</w:t>
      </w:r>
      <w:r>
        <w:t>и</w:t>
      </w:r>
      <w:r>
        <w:t>чески не изменена.</w:t>
      </w:r>
    </w:p>
    <w:p w:rsidR="00F4654E" w:rsidRDefault="00F4654E">
      <w:pPr>
        <w:pStyle w:val="a6"/>
      </w:pPr>
      <w:r>
        <w:t>На основании проведенного гистоморфологического исследования внутренних органов животных, которым в течение 30 дней вводился пр</w:t>
      </w:r>
      <w:r>
        <w:t>е</w:t>
      </w:r>
      <w:r>
        <w:t>парат «Э</w:t>
      </w:r>
      <w:r>
        <w:t>н</w:t>
      </w:r>
      <w:r>
        <w:t>теросан», установлено, что 30-суточное введение препарата не вызывает ра</w:t>
      </w:r>
      <w:r>
        <w:t>з</w:t>
      </w:r>
      <w:r>
        <w:t>витие дистрофически-деструктивных изменений со стороны внутренних органов, ведущих к нарушению их морфофункционального состояния.</w:t>
      </w:r>
    </w:p>
    <w:p w:rsidR="00D75866" w:rsidRDefault="00D75866">
      <w:pPr>
        <w:pStyle w:val="a6"/>
      </w:pPr>
    </w:p>
    <w:p w:rsidR="00D75866" w:rsidRDefault="00D75866">
      <w:pPr>
        <w:pStyle w:val="a6"/>
      </w:pPr>
    </w:p>
    <w:p w:rsidR="00F4654E" w:rsidRDefault="00F4654E">
      <w:pPr>
        <w:pStyle w:val="a4"/>
      </w:pPr>
      <w:r>
        <w:lastRenderedPageBreak/>
        <w:t>УДК 619.616.981.48.08-636.5</w:t>
      </w:r>
    </w:p>
    <w:p w:rsidR="00F4654E" w:rsidRDefault="00F4654E">
      <w:pPr>
        <w:pStyle w:val="1"/>
        <w:rPr>
          <w:i/>
        </w:rPr>
      </w:pPr>
      <w:bookmarkStart w:id="6332" w:name="_Toc10731680"/>
      <w:bookmarkStart w:id="6333" w:name="_Toc11138163"/>
      <w:bookmarkStart w:id="6334" w:name="_Toc11138581"/>
      <w:bookmarkStart w:id="6335" w:name="_Toc11138999"/>
      <w:bookmarkStart w:id="6336" w:name="_Toc11139417"/>
      <w:bookmarkStart w:id="6337" w:name="_Toc11139835"/>
      <w:bookmarkStart w:id="6338" w:name="_Toc11140253"/>
      <w:bookmarkStart w:id="6339" w:name="_Toc11140671"/>
      <w:bookmarkStart w:id="6340" w:name="_Toc11390765"/>
      <w:bookmarkStart w:id="6341" w:name="_Toc11840454"/>
      <w:bookmarkStart w:id="6342" w:name="_Toc11937990"/>
      <w:r>
        <w:t>ДЕЙСТВИЕ АНТИБИОТИКОВ НА E. coli , ВЫДЕЛЕННЫХ ОТ ПТИЦ</w:t>
      </w:r>
      <w:bookmarkEnd w:id="6332"/>
      <w:bookmarkEnd w:id="6333"/>
      <w:bookmarkEnd w:id="6334"/>
      <w:bookmarkEnd w:id="6335"/>
      <w:bookmarkEnd w:id="6336"/>
      <w:bookmarkEnd w:id="6337"/>
      <w:bookmarkEnd w:id="6338"/>
      <w:bookmarkEnd w:id="6339"/>
      <w:bookmarkEnd w:id="6340"/>
      <w:bookmarkEnd w:id="6341"/>
      <w:bookmarkEnd w:id="6342"/>
      <w:r>
        <w:rPr>
          <w:i/>
        </w:rPr>
        <w:t xml:space="preserve"> </w:t>
      </w:r>
    </w:p>
    <w:p w:rsidR="00F4654E" w:rsidRDefault="00F4654E">
      <w:pPr>
        <w:pStyle w:val="2"/>
      </w:pPr>
      <w:bookmarkStart w:id="6343" w:name="_Toc10731681"/>
      <w:bookmarkStart w:id="6344" w:name="_Toc11032445"/>
      <w:bookmarkStart w:id="6345" w:name="_Toc11138164"/>
      <w:bookmarkStart w:id="6346" w:name="_Toc11138582"/>
      <w:bookmarkStart w:id="6347" w:name="_Toc11139000"/>
      <w:bookmarkStart w:id="6348" w:name="_Toc11139418"/>
      <w:bookmarkStart w:id="6349" w:name="_Toc11139836"/>
      <w:bookmarkStart w:id="6350" w:name="_Toc11140254"/>
      <w:bookmarkStart w:id="6351" w:name="_Toc11140672"/>
      <w:bookmarkStart w:id="6352" w:name="_Toc11390766"/>
      <w:bookmarkStart w:id="6353" w:name="_Toc11937991"/>
      <w:r>
        <w:t>Шукуров Ш. М.</w:t>
      </w:r>
      <w:bookmarkEnd w:id="6343"/>
      <w:bookmarkEnd w:id="6344"/>
      <w:bookmarkEnd w:id="6345"/>
      <w:bookmarkEnd w:id="6346"/>
      <w:bookmarkEnd w:id="6347"/>
      <w:bookmarkEnd w:id="6348"/>
      <w:bookmarkEnd w:id="6349"/>
      <w:bookmarkEnd w:id="6350"/>
      <w:bookmarkEnd w:id="6351"/>
      <w:bookmarkEnd w:id="6352"/>
      <w:bookmarkEnd w:id="6353"/>
    </w:p>
    <w:p w:rsidR="00F4654E" w:rsidRDefault="00F4654E">
      <w:pPr>
        <w:pStyle w:val="a5"/>
      </w:pPr>
      <w:r>
        <w:t>Узбекский научно-исследовательский институт ветеринарии</w:t>
      </w:r>
    </w:p>
    <w:p w:rsidR="00F4654E" w:rsidRDefault="00F4654E">
      <w:pPr>
        <w:pStyle w:val="a6"/>
      </w:pPr>
      <w:r>
        <w:t>В связи с широким применением антибиотиков в птицеводстве, из</w:t>
      </w:r>
      <w:r>
        <w:t>у</w:t>
      </w:r>
      <w:r>
        <w:t>чение множественной устойчивости к патогенным микроорганизмам, пр</w:t>
      </w:r>
      <w:r>
        <w:t>и</w:t>
      </w:r>
      <w:r>
        <w:t>обретает особую актуальность для ветеринарных специалистов.</w:t>
      </w:r>
    </w:p>
    <w:p w:rsidR="00F4654E" w:rsidRDefault="00F4654E">
      <w:pPr>
        <w:pStyle w:val="a6"/>
      </w:pPr>
      <w:r>
        <w:t>В задачу наших исследований входило изучение антибиотикоусто</w:t>
      </w:r>
      <w:r>
        <w:t>й</w:t>
      </w:r>
      <w:r>
        <w:t xml:space="preserve">чивости культур </w:t>
      </w:r>
      <w:r>
        <w:rPr>
          <w:i/>
        </w:rPr>
        <w:t>E. coli</w:t>
      </w:r>
      <w:r>
        <w:t xml:space="preserve">, выделенных от птиц. </w:t>
      </w:r>
    </w:p>
    <w:p w:rsidR="00F4654E" w:rsidRDefault="00F4654E">
      <w:pPr>
        <w:pStyle w:val="a6"/>
      </w:pPr>
      <w:r>
        <w:t xml:space="preserve">Объектом исследования были культуры </w:t>
      </w:r>
      <w:r>
        <w:rPr>
          <w:i/>
        </w:rPr>
        <w:t>E. coli</w:t>
      </w:r>
      <w:r>
        <w:t xml:space="preserve"> серотипы О 26, О 55, О 78 и О 111, выделенных от цыплят, эмбрионов – задохликов, кормов и кормодобавок. Предварительно каждый выделенный штамм – изолят </w:t>
      </w:r>
      <w:r>
        <w:rPr>
          <w:i/>
        </w:rPr>
        <w:t>E.coli</w:t>
      </w:r>
      <w:r>
        <w:t xml:space="preserve"> высевался на обычные питательные среды. Предстояло определить их п</w:t>
      </w:r>
      <w:r>
        <w:t>а</w:t>
      </w:r>
      <w:r>
        <w:t>тогенность, с этой целью нами были заражены белые мыши и цыплята. Спустя 72 ч зараженные белые мыши гибли и от них реизолировали и</w:t>
      </w:r>
      <w:r>
        <w:t>с</w:t>
      </w:r>
      <w:r>
        <w:t xml:space="preserve">ходные культуры. </w:t>
      </w:r>
    </w:p>
    <w:p w:rsidR="00F4654E" w:rsidRDefault="00F4654E">
      <w:pPr>
        <w:pStyle w:val="a6"/>
      </w:pPr>
      <w:r>
        <w:t>При патологоанатомическом вскрытии павших цыплят отмечали и</w:t>
      </w:r>
      <w:r>
        <w:t>с</w:t>
      </w:r>
      <w:r>
        <w:t>тощение, бледность и некоторую желтушность слизистых оболочек. На эпикарде и эндокарде точечные или полосчатые кровоизлияния, в тонком отделе кишечника наблюдали катаральное воспаление. Печень имела гл</w:t>
      </w:r>
      <w:r>
        <w:t>и</w:t>
      </w:r>
      <w:r>
        <w:t>нистый цвет и серовато-желтые фокусы на поверхности и разрезе. Края с</w:t>
      </w:r>
      <w:r>
        <w:t>е</w:t>
      </w:r>
      <w:r>
        <w:t>лезенки были сглажены, реже закругленные.</w:t>
      </w:r>
    </w:p>
    <w:p w:rsidR="00F4654E" w:rsidRDefault="00F4654E">
      <w:pPr>
        <w:pStyle w:val="a6"/>
      </w:pPr>
      <w:r>
        <w:t xml:space="preserve">Принадлежность выделенных штаммов </w:t>
      </w:r>
      <w:r>
        <w:rPr>
          <w:i/>
        </w:rPr>
        <w:t>E. coli</w:t>
      </w:r>
      <w:r>
        <w:t xml:space="preserve"> определяли серолог</w:t>
      </w:r>
      <w:r>
        <w:t>и</w:t>
      </w:r>
      <w:r>
        <w:t>ческой постановкой реакции агглютинации (РА) со специфической сыв</w:t>
      </w:r>
      <w:r>
        <w:t>о</w:t>
      </w:r>
      <w:r>
        <w:t>роткой. И в этом случае нами была подтверждена принадлежность выд</w:t>
      </w:r>
      <w:r>
        <w:t>е</w:t>
      </w:r>
      <w:r>
        <w:t>ленных культур к вышеназванным серогруппам. Морфологические, кул</w:t>
      </w:r>
      <w:r>
        <w:t>ь</w:t>
      </w:r>
      <w:r>
        <w:t xml:space="preserve">туральные и биохимические свойства выделенных культур </w:t>
      </w:r>
      <w:r>
        <w:rPr>
          <w:i/>
        </w:rPr>
        <w:t>E. coli</w:t>
      </w:r>
      <w:r>
        <w:t xml:space="preserve"> были т</w:t>
      </w:r>
      <w:r>
        <w:t>и</w:t>
      </w:r>
      <w:r>
        <w:t>пичными для этого вида бактерий. Из исследованных материалов (эмбри</w:t>
      </w:r>
      <w:r>
        <w:t>о</w:t>
      </w:r>
      <w:r>
        <w:t>ны-задохлики, погибшие цыплята, образцы комбикормов, кормодобавок – мясо-костной муки, соевого и хлопкового шрота) были выделены типи</w:t>
      </w:r>
      <w:r>
        <w:t>ч</w:t>
      </w:r>
      <w:r>
        <w:t>ные для этого вида бактерии. Всего было выделено 98 культур, отнесенных к следующим серологическим группам: 015, 020, 026, 055, 078, 086, 0111 и 0119. Выделенные культуры были патогенными для белых мышей (весом 18-20 г). При введении им в брюшную полость 200 млн. м.т. мыши погиб</w:t>
      </w:r>
      <w:r>
        <w:t>а</w:t>
      </w:r>
      <w:r>
        <w:t xml:space="preserve">ли через 24 часа.  Устойчивость выделенных штаммов </w:t>
      </w:r>
      <w:r>
        <w:rPr>
          <w:i/>
        </w:rPr>
        <w:t>E. coli</w:t>
      </w:r>
      <w:r>
        <w:t xml:space="preserve"> составляла к стрептомицину и левомицетину – 190-710 мкг/мл; неомицину, канамицину – 180-290 и ампициллину – 700-900 мкг/мл.</w:t>
      </w:r>
    </w:p>
    <w:p w:rsidR="00F4654E" w:rsidRDefault="00F4654E">
      <w:pPr>
        <w:pStyle w:val="a6"/>
      </w:pPr>
      <w:r>
        <w:t>Лечебное действие указанных антибиотиков при колибактериозе пр</w:t>
      </w:r>
      <w:r>
        <w:t>о</w:t>
      </w:r>
      <w:r>
        <w:t>веряли на птицефабрике яичного направления продуктивности, где отм</w:t>
      </w:r>
      <w:r>
        <w:t>е</w:t>
      </w:r>
      <w:r>
        <w:t>чался значительный падеж цыплят. Так, в зоне реммолодняка в апреле б</w:t>
      </w:r>
      <w:r>
        <w:t>ы</w:t>
      </w:r>
      <w:r>
        <w:t>ло высажено около 40,0 тысяч голов, около 8% из них заболели колибакт</w:t>
      </w:r>
      <w:r>
        <w:t>е</w:t>
      </w:r>
      <w:r>
        <w:lastRenderedPageBreak/>
        <w:t>риозом, были отмечены случаи летальных исходов. Из паренхиматозных органов трупов выделяли кишечную палочку вирулентную для белых м</w:t>
      </w:r>
      <w:r>
        <w:t>ы</w:t>
      </w:r>
      <w:r>
        <w:t>шей. Эти бактерии оказались чувствительными к ампициллину (4,2-5,8 мкг/мл и неомицину – 110 мкг/мл).</w:t>
      </w:r>
    </w:p>
    <w:p w:rsidR="00F4654E" w:rsidRDefault="00F4654E">
      <w:pPr>
        <w:pStyle w:val="a6"/>
      </w:pPr>
      <w:r>
        <w:t>Следовательно нами в лабораторных опытах и производственных и</w:t>
      </w:r>
      <w:r>
        <w:t>с</w:t>
      </w:r>
      <w:r>
        <w:t>пытаниях установлена устойчивость культур кишечной палочки и ее чу</w:t>
      </w:r>
      <w:r>
        <w:t>в</w:t>
      </w:r>
      <w:r>
        <w:t xml:space="preserve">ствительность к указанным антибиотикам. </w:t>
      </w:r>
    </w:p>
    <w:p w:rsidR="00F4654E" w:rsidRDefault="00F4654E">
      <w:pPr>
        <w:pStyle w:val="a4"/>
      </w:pPr>
      <w:r>
        <w:t>УДК 619: 578.833.3: 636.22/.28: 616-079.4</w:t>
      </w:r>
    </w:p>
    <w:p w:rsidR="00F4654E" w:rsidRDefault="00F4654E">
      <w:pPr>
        <w:pStyle w:val="1"/>
      </w:pPr>
      <w:bookmarkStart w:id="6354" w:name="_Toc11138165"/>
      <w:bookmarkStart w:id="6355" w:name="_Toc11138583"/>
      <w:bookmarkStart w:id="6356" w:name="_Toc11139001"/>
      <w:bookmarkStart w:id="6357" w:name="_Toc11139419"/>
      <w:bookmarkStart w:id="6358" w:name="_Toc11139837"/>
      <w:bookmarkStart w:id="6359" w:name="_Toc11140255"/>
      <w:bookmarkStart w:id="6360" w:name="_Toc11140673"/>
      <w:bookmarkStart w:id="6361" w:name="_Toc11390767"/>
      <w:bookmarkStart w:id="6362" w:name="_Toc11840456"/>
      <w:bookmarkStart w:id="6363" w:name="_Toc11937992"/>
      <w:r>
        <w:t>Выявление маркера вируса диареи КРС у животных различных возрастных групп</w:t>
      </w:r>
      <w:bookmarkEnd w:id="6354"/>
      <w:bookmarkEnd w:id="6355"/>
      <w:bookmarkEnd w:id="6356"/>
      <w:bookmarkEnd w:id="6357"/>
      <w:bookmarkEnd w:id="6358"/>
      <w:bookmarkEnd w:id="6359"/>
      <w:bookmarkEnd w:id="6360"/>
      <w:bookmarkEnd w:id="6361"/>
      <w:bookmarkEnd w:id="6362"/>
      <w:bookmarkEnd w:id="6363"/>
      <w:r>
        <w:t xml:space="preserve"> </w:t>
      </w:r>
    </w:p>
    <w:p w:rsidR="00F4654E" w:rsidRDefault="00F4654E">
      <w:pPr>
        <w:pStyle w:val="2"/>
      </w:pPr>
      <w:bookmarkStart w:id="6364" w:name="_Toc11032446"/>
      <w:bookmarkStart w:id="6365" w:name="_Toc11138166"/>
      <w:bookmarkStart w:id="6366" w:name="_Toc11138584"/>
      <w:bookmarkStart w:id="6367" w:name="_Toc11139002"/>
      <w:bookmarkStart w:id="6368" w:name="_Toc11139420"/>
      <w:bookmarkStart w:id="6369" w:name="_Toc11139838"/>
      <w:bookmarkStart w:id="6370" w:name="_Toc11140256"/>
      <w:bookmarkStart w:id="6371" w:name="_Toc11140674"/>
      <w:bookmarkStart w:id="6372" w:name="_Toc11390768"/>
      <w:bookmarkStart w:id="6373" w:name="_Toc11937993"/>
      <w:r>
        <w:t>Шульпин М.И., Мищенко В.А., Аянот П.К.</w:t>
      </w:r>
      <w:bookmarkEnd w:id="6364"/>
      <w:bookmarkEnd w:id="6365"/>
      <w:bookmarkEnd w:id="6366"/>
      <w:bookmarkEnd w:id="6367"/>
      <w:bookmarkEnd w:id="6368"/>
      <w:bookmarkEnd w:id="6369"/>
      <w:bookmarkEnd w:id="6370"/>
      <w:bookmarkEnd w:id="6371"/>
      <w:bookmarkEnd w:id="6372"/>
      <w:bookmarkEnd w:id="6373"/>
    </w:p>
    <w:p w:rsidR="00F4654E" w:rsidRDefault="00F4654E">
      <w:pPr>
        <w:pStyle w:val="a5"/>
      </w:pPr>
      <w:r>
        <w:t>Всероссийский научно-исследовательский институт защиты животных</w:t>
      </w:r>
    </w:p>
    <w:p w:rsidR="00F4654E" w:rsidRDefault="00F4654E">
      <w:pPr>
        <w:pStyle w:val="a6"/>
      </w:pPr>
      <w:r>
        <w:t>Вирус диареи КРС (ВД КРС) по современной классификации отн</w:t>
      </w:r>
      <w:r>
        <w:t>о</w:t>
      </w:r>
      <w:r>
        <w:t>сится к роду Pestivirus семейства Flaviviridae. Также к роду Pestivirus отн</w:t>
      </w:r>
      <w:r>
        <w:t>о</w:t>
      </w:r>
      <w:r>
        <w:t>сятся вирус классической чумы свиней и вирус пограничной болезни овец. ВД КРС является этиологическим агентом заболеваний вирусной диареи и болезни слизистых (ВД/БС). ВД/БС характеризуется поражением органов дыхательной системы и желудочно-кишечного тракта. Заболевание нан</w:t>
      </w:r>
      <w:r>
        <w:t>о</w:t>
      </w:r>
      <w:r>
        <w:t>сит значительный экономический ущерб, который обусловлен смертн</w:t>
      </w:r>
      <w:r>
        <w:t>о</w:t>
      </w:r>
      <w:r>
        <w:t>стью телят, абортированием плодов и снижением продуктивности моло</w:t>
      </w:r>
      <w:r>
        <w:t>ч</w:t>
      </w:r>
      <w:r>
        <w:t>ного животноводства. Симптомы болезни, тяжесть переболевания и пр</w:t>
      </w:r>
      <w:r>
        <w:t>о</w:t>
      </w:r>
      <w:r>
        <w:t>цент летальности зависят от вирулентности штамма вируса, чувствител</w:t>
      </w:r>
      <w:r>
        <w:t>ь</w:t>
      </w:r>
      <w:r>
        <w:t>ности животных и наличия неблагоприятных факторов. Различают острое, подострое, хроническое и латентное течение заболевания. В естественных условиях клиническое проявление заболевания чаще наблюдается у ж</w:t>
      </w:r>
      <w:r>
        <w:t>и</w:t>
      </w:r>
      <w:r>
        <w:t xml:space="preserve">вотных до двух лет. </w:t>
      </w:r>
    </w:p>
    <w:p w:rsidR="00F4654E" w:rsidRDefault="00F4654E">
      <w:pPr>
        <w:pStyle w:val="a6"/>
      </w:pPr>
      <w:r>
        <w:t>Диагностику заболевания проводят на основе клинических, эпизоот</w:t>
      </w:r>
      <w:r>
        <w:t>о</w:t>
      </w:r>
      <w:r>
        <w:t>логических данных и результатов лабораторных методов исследования. Однако эпизоотологические и клинические данные позволяют лишь сд</w:t>
      </w:r>
      <w:r>
        <w:t>е</w:t>
      </w:r>
      <w:r>
        <w:t>лать предположение о данном заболевании, поскольку вирусную диарею сложно дифференцировать от многих вирусных инфекций, в связи с чем, лабораторные исследования в диагностике вирусной диареи имеют р</w:t>
      </w:r>
      <w:r>
        <w:t>е</w:t>
      </w:r>
      <w:r>
        <w:t>шающее значение. Одним из перспективных направлений в диагностике заболевания вирусной диареи является применение метода полимеразной цепной реакции (ПЦР). В сравнении с серологическими методами, ПЦР обладает более высокой чувствительностью и специфичностью.</w:t>
      </w:r>
    </w:p>
    <w:p w:rsidR="00F4654E" w:rsidRDefault="00F4654E">
      <w:pPr>
        <w:pStyle w:val="a6"/>
      </w:pPr>
      <w:r>
        <w:t>В качестве маркера ВД КРС нами выбран фрагмент 5’- нетранслиру</w:t>
      </w:r>
      <w:r>
        <w:t>е</w:t>
      </w:r>
      <w:r>
        <w:t>мой области вирусного генома. С помощью реакции обратной транскри</w:t>
      </w:r>
      <w:r>
        <w:t>п</w:t>
      </w:r>
      <w:r>
        <w:t>ции с вирусной РНК синтезируется ДНК-копия фрагмента 5’-нетранс-лируемой области. Затем посредством ПЦР увеличивается количество данных ДНК-копий до концентрации, при которой фрагмент генома (ма</w:t>
      </w:r>
      <w:r>
        <w:t>р</w:t>
      </w:r>
      <w:r>
        <w:lastRenderedPageBreak/>
        <w:t>кер) может выявляться при электрофорезе в 2% агарозном геле с добавл</w:t>
      </w:r>
      <w:r>
        <w:t>е</w:t>
      </w:r>
      <w:r>
        <w:t>нием бромистого этидия в виде полосы величиной 170 п.н.</w:t>
      </w:r>
    </w:p>
    <w:p w:rsidR="00F4654E" w:rsidRDefault="00F4654E">
      <w:pPr>
        <w:pStyle w:val="a6"/>
      </w:pPr>
      <w:r>
        <w:t xml:space="preserve">С помощью разработанного нами метода амплификации фрагмента 5’-нетранслируемой области генома ВД КРС, проанализирован материал от 144 животных различных возрастных групп: телят (до 6 мес.), молодняк (от 6 до 18 мес.) и взрослых животных (нетели, коровы). Материал получен из 51 животноводческого хозяйства 16 регионов РФ. </w:t>
      </w:r>
    </w:p>
    <w:p w:rsidR="00F4654E" w:rsidRDefault="00F4654E">
      <w:pPr>
        <w:pStyle w:val="a6"/>
      </w:pPr>
      <w:r>
        <w:t>Материал брали от животных в различных стадиях заболевания с кл</w:t>
      </w:r>
      <w:r>
        <w:t>и</w:t>
      </w:r>
      <w:r>
        <w:t>ническими признаками характерными для ВД/БС. Для исследований и</w:t>
      </w:r>
      <w:r>
        <w:t>с</w:t>
      </w:r>
      <w:r>
        <w:t>пользовались смывы со слизистых носовой полости и влагалища, носовые истечения, фекалии, а также фрагменты внутренних органов павших и в</w:t>
      </w:r>
      <w:r>
        <w:t>ы</w:t>
      </w:r>
      <w:r>
        <w:t>нуждено убитых животных.</w:t>
      </w:r>
    </w:p>
    <w:p w:rsidR="00F4654E" w:rsidRDefault="00F4654E">
      <w:pPr>
        <w:pStyle w:val="a6"/>
      </w:pPr>
      <w:r>
        <w:t>С помощью ПЦР геном ВД КРС выявили в материале, поступившем из 20 животноводческих хозяйств Владимирской, Вологодской, Костро</w:t>
      </w:r>
      <w:r>
        <w:t>м</w:t>
      </w:r>
      <w:r>
        <w:t>ской, Нижегородской, Тамбовской и Тульской областей. Таким образом, из 51 хозяйств, в которых проводились исследования материала на ВД КРС, примерно в 40% выявлялся геном данного вируса. На основании получе</w:t>
      </w:r>
      <w:r>
        <w:t>н</w:t>
      </w:r>
      <w:r>
        <w:t>ных данных можно сказать, что в европейской части РФ вирус диареи КРС распространен достаточно широко.</w:t>
      </w:r>
    </w:p>
    <w:p w:rsidR="00F4654E" w:rsidRDefault="00F4654E">
      <w:pPr>
        <w:pStyle w:val="a6"/>
      </w:pPr>
      <w:r>
        <w:t>По данным J.C.Baker (1990 г)  ВД/БС обычно болеют животные в во</w:t>
      </w:r>
      <w:r>
        <w:t>з</w:t>
      </w:r>
      <w:r>
        <w:t>расте до двух лет, при этом наиболее часто в возрасте от 6 до 12 месяцев. При исследовании материала от животных, имеющих  поражения органов желудочно-кишечного тракта и дыхательных путей, частота выявления инфекции ВД КРС у телят и молодняка существенно не отличалась и с</w:t>
      </w:r>
      <w:r>
        <w:t>о</w:t>
      </w:r>
      <w:r>
        <w:t>ставляла 39% и 43% соответственно. У взрослых животных также выявл</w:t>
      </w:r>
      <w:r>
        <w:t>я</w:t>
      </w:r>
      <w:r>
        <w:t>ли ВД КРС, но значительно реже, только в 18 % случаев. При этом в одном случае у животного наблюдались анарексия, гипертермия, диарея, а при вскрытии гиперемия сычуга и тонкого отдела кишечника. В остальных случаях у коров наблюдались нарушения репродуктивных процессов, что проявлялось в таких патологиях, как аборты на 3-4 месяце стельности, увеличение сервис-периода до 160-180 дней (в норме этот срок составляет 30-60 дней), задержание последа.</w:t>
      </w:r>
    </w:p>
    <w:p w:rsidR="00F4654E" w:rsidRDefault="00F4654E">
      <w:pPr>
        <w:pStyle w:val="a6"/>
      </w:pPr>
      <w:r>
        <w:t>Следует отметить, что примерно в 70% случаев выявления генома ВД КРС в исследуемом материале были также обнаружены фрагменты генома других вирусов, вызывающих заболевания у КРС, в различных сочетаниях. Чаще всего наряду с ВД КРС выявляли ротавирус, коронавирус, а также вирус герпеса КРС первого типа (вирус инфекционного ринотрахе</w:t>
      </w:r>
      <w:r>
        <w:t>и</w:t>
      </w:r>
      <w:r>
        <w:t>та/пустулезного вульвавагинита). В некоторых случаях были выявлены в</w:t>
      </w:r>
      <w:r>
        <w:t>и</w:t>
      </w:r>
      <w:r>
        <w:t>рус парагриппа-3 и герпесвирус КРС четвертого типа.</w:t>
      </w:r>
    </w:p>
    <w:p w:rsidR="00F4654E" w:rsidRDefault="00F4654E">
      <w:pPr>
        <w:pStyle w:val="a6"/>
      </w:pPr>
      <w:r>
        <w:t>ВД КРС выявили во внутренних органах павших и вынуждено убитых животных, таких как легкие, трахея, селезенка, лимфатические узлы (м</w:t>
      </w:r>
      <w:r>
        <w:t>е</w:t>
      </w:r>
      <w:r>
        <w:t xml:space="preserve">зентериальные, средостенные, бронхиальные), тонкий и толстый отделы </w:t>
      </w:r>
      <w:r>
        <w:lastRenderedPageBreak/>
        <w:t>кишечника, а также в смывах со слизистой оболочки носовой полости, вл</w:t>
      </w:r>
      <w:r>
        <w:t>а</w:t>
      </w:r>
      <w:r>
        <w:t>галища и в фекалиях.</w:t>
      </w:r>
    </w:p>
    <w:p w:rsidR="00F4654E" w:rsidRDefault="00F4654E">
      <w:pPr>
        <w:pStyle w:val="a6"/>
      </w:pPr>
      <w:r>
        <w:t>Чаще всего ВД КРС, вопреки своему названию, выявлялся в легких, реже в слизистой кишечника, и его содержимом. При этом у исследуемых животных могла наблюдаться патология органов желудочно-кишечного тракта и дыхательных путей, как вместе, так и по отдельности. Данный факт можно объяснить тем, что слизистая дыхательных путей, по-видимому, является основными «воротами» инфекции ВД КРС, и уже на этом этапе могут проявляться клинические признаки заболевания. В дал</w:t>
      </w:r>
      <w:r>
        <w:t>ь</w:t>
      </w:r>
      <w:r>
        <w:t>нейшем вирус распространяется с помощью лимфатической системы по всему организму, поэтому его можно обнаружить почти во всех органах.</w:t>
      </w:r>
    </w:p>
    <w:p w:rsidR="00F4654E" w:rsidRDefault="00F4654E">
      <w:pPr>
        <w:pStyle w:val="a6"/>
      </w:pPr>
      <w:r>
        <w:t>A.W. McClurkin и соавторы (1979 г) показали, что сперма быков, хр</w:t>
      </w:r>
      <w:r>
        <w:t>о</w:t>
      </w:r>
      <w:r>
        <w:t>нически инфицированных ВД КРС, может содержать данный вирус. При этом может снижаться качество спермы из-за малой подвижности и мо</w:t>
      </w:r>
      <w:r>
        <w:t>р</w:t>
      </w:r>
      <w:r>
        <w:t>фологических аномалий сперматозоидов. В дальнейшем, в работе H.L.Grahn и соавторов (1984 г) было показано, что ВД КРС содержащийся в сперме быков-производителей может приводить к неспособности к опл</w:t>
      </w:r>
      <w:r>
        <w:t>о</w:t>
      </w:r>
      <w:r>
        <w:t>дотворению. С помощью ПЦР нами исследовано 37 образцов спермы, пр</w:t>
      </w:r>
      <w:r>
        <w:t>и</w:t>
      </w:r>
      <w:r>
        <w:t>сланных из племенного хозяйства Владимирской области. В одном из п</w:t>
      </w:r>
      <w:r>
        <w:t>о</w:t>
      </w:r>
      <w:r>
        <w:t>лученных образцов спермы нами выявлен ВД КРС. Таким образом, нами показано, что с помощью ПЦР можно проводить контроль спермы, прим</w:t>
      </w:r>
      <w:r>
        <w:t>е</w:t>
      </w:r>
      <w:r>
        <w:t>няемой для искусственного осеменения.</w:t>
      </w:r>
    </w:p>
    <w:p w:rsidR="00F4654E" w:rsidRDefault="00F4654E">
      <w:pPr>
        <w:pStyle w:val="a6"/>
      </w:pPr>
      <w:r>
        <w:t>На основе полученных данных можно сказать, что ВД КРС распр</w:t>
      </w:r>
      <w:r>
        <w:t>о</w:t>
      </w:r>
      <w:r>
        <w:t>странен на территории европейской части РФ достаточно широко. Геном данного вируса выявляется у животных, имеющих  поражения органов ж</w:t>
      </w:r>
      <w:r>
        <w:t>е</w:t>
      </w:r>
      <w:r>
        <w:t>лудочно-кишечного тракта и дыхательных путей до 18 месяцев с одинак</w:t>
      </w:r>
      <w:r>
        <w:t>о</w:t>
      </w:r>
      <w:r>
        <w:t>вой частотой, составляющей примерно 40%. При этом геном ВД КРС м</w:t>
      </w:r>
      <w:r>
        <w:t>о</w:t>
      </w:r>
      <w:r>
        <w:t>жет выявляться во всех отделах кишечника, в том числе в его содержимом и фекалиях, в лимфоидных органах (лимфатических узлах и селезенке), в органах дыхательных путей, носовых смывах и истечениях, а также в см</w:t>
      </w:r>
      <w:r>
        <w:t>ы</w:t>
      </w:r>
      <w:r>
        <w:t>вах со слизистой влагалища у коров. Также показана возможность прим</w:t>
      </w:r>
      <w:r>
        <w:t>е</w:t>
      </w:r>
      <w:r>
        <w:t>нения разработанного нами метода амплификации фрагмента 5’-нетранс-лируемой области генома ВД КРС для выявления генома ВД КРС в сперме быков-производителей.</w:t>
      </w:r>
    </w:p>
    <w:p w:rsidR="00F4654E" w:rsidRDefault="00F4654E">
      <w:pPr>
        <w:pStyle w:val="a4"/>
      </w:pPr>
      <w:r>
        <w:t>УДК 619:616:615:577.4:636</w:t>
      </w:r>
    </w:p>
    <w:p w:rsidR="00F4654E" w:rsidRDefault="00F4654E">
      <w:pPr>
        <w:pStyle w:val="1"/>
      </w:pPr>
      <w:bookmarkStart w:id="6374" w:name="_Toc11138171"/>
      <w:bookmarkStart w:id="6375" w:name="_Toc11138589"/>
      <w:bookmarkStart w:id="6376" w:name="_Toc11139007"/>
      <w:bookmarkStart w:id="6377" w:name="_Toc11139425"/>
      <w:bookmarkStart w:id="6378" w:name="_Toc11139843"/>
      <w:bookmarkStart w:id="6379" w:name="_Toc11140261"/>
      <w:bookmarkStart w:id="6380" w:name="_Toc11140679"/>
      <w:bookmarkStart w:id="6381" w:name="_Toc11390773"/>
      <w:bookmarkStart w:id="6382" w:name="_Toc11840458"/>
      <w:bookmarkStart w:id="6383" w:name="_Toc11937994"/>
      <w:r>
        <w:t>Тяжелые металлы и их роль в загрязнении объектов животноводства</w:t>
      </w:r>
      <w:bookmarkEnd w:id="6374"/>
      <w:bookmarkEnd w:id="6375"/>
      <w:bookmarkEnd w:id="6376"/>
      <w:bookmarkEnd w:id="6377"/>
      <w:bookmarkEnd w:id="6378"/>
      <w:bookmarkEnd w:id="6379"/>
      <w:bookmarkEnd w:id="6380"/>
      <w:bookmarkEnd w:id="6381"/>
      <w:bookmarkEnd w:id="6382"/>
      <w:bookmarkEnd w:id="6383"/>
    </w:p>
    <w:p w:rsidR="00F4654E" w:rsidRDefault="00F4654E">
      <w:pPr>
        <w:pStyle w:val="2"/>
      </w:pPr>
      <w:bookmarkStart w:id="6384" w:name="_Toc11032449"/>
      <w:bookmarkStart w:id="6385" w:name="_Toc11138172"/>
      <w:bookmarkStart w:id="6386" w:name="_Toc11138590"/>
      <w:bookmarkStart w:id="6387" w:name="_Toc11139008"/>
      <w:bookmarkStart w:id="6388" w:name="_Toc11139426"/>
      <w:bookmarkStart w:id="6389" w:name="_Toc11139844"/>
      <w:bookmarkStart w:id="6390" w:name="_Toc11140262"/>
      <w:bookmarkStart w:id="6391" w:name="_Toc11140680"/>
      <w:bookmarkStart w:id="6392" w:name="_Toc11390774"/>
      <w:bookmarkStart w:id="6393" w:name="_Toc11937995"/>
      <w:r>
        <w:t>Щедров И.Н., Жуков И.В., Дедяев В.И., Василенко В.В.</w:t>
      </w:r>
      <w:bookmarkEnd w:id="6384"/>
      <w:bookmarkEnd w:id="6385"/>
      <w:bookmarkEnd w:id="6386"/>
      <w:bookmarkEnd w:id="6387"/>
      <w:bookmarkEnd w:id="6388"/>
      <w:bookmarkEnd w:id="6389"/>
      <w:bookmarkEnd w:id="6390"/>
      <w:bookmarkEnd w:id="6391"/>
      <w:bookmarkEnd w:id="6392"/>
      <w:bookmarkEnd w:id="6393"/>
    </w:p>
    <w:p w:rsidR="00F4654E" w:rsidRDefault="00F4654E">
      <w:pPr>
        <w:pStyle w:val="a5"/>
      </w:pPr>
      <w:r>
        <w:t>Липецкая областная ветеринарная лаборатория</w:t>
      </w:r>
    </w:p>
    <w:p w:rsidR="00F4654E" w:rsidRDefault="00F4654E">
      <w:pPr>
        <w:pStyle w:val="a6"/>
      </w:pPr>
      <w:r>
        <w:t>Липецкая область является одной из экологически неблагополучных областей России. Климатические условия оказывают влияние на эколог</w:t>
      </w:r>
      <w:r>
        <w:t>и</w:t>
      </w:r>
      <w:r>
        <w:lastRenderedPageBreak/>
        <w:t>ческую ситуацию с учетом выбросов промышленных предприятий и авт</w:t>
      </w:r>
      <w:r>
        <w:t>о</w:t>
      </w:r>
      <w:r>
        <w:t>транспорта, а также на скорость разрушения химических веществ в возд</w:t>
      </w:r>
      <w:r>
        <w:t>у</w:t>
      </w:r>
      <w:r>
        <w:t>хе, воде и почве, в т. ч. и агрохимикатов, вносимых при ведении сельск</w:t>
      </w:r>
      <w:r>
        <w:t>о</w:t>
      </w:r>
      <w:r>
        <w:t>хозяйственных работ. Широкое применение минеральных удобрений и ядохимикатов, в особенности в 80-е годы, с нарушением регламентов и норм применения привело к проблемам загрязнения почв, продукции ра</w:t>
      </w:r>
      <w:r>
        <w:t>с</w:t>
      </w:r>
      <w:r>
        <w:t>тениеводства и ухудшению состояния почв. На территории области выя</w:t>
      </w:r>
      <w:r>
        <w:t>в</w:t>
      </w:r>
      <w:r>
        <w:t>лены участки почвы, загрязненные тяжелыми металлами, а после аварии на Чернобыльской АЭС и радионуклидами.</w:t>
      </w:r>
    </w:p>
    <w:p w:rsidR="00F4654E" w:rsidRDefault="00F4654E">
      <w:pPr>
        <w:pStyle w:val="a6"/>
      </w:pPr>
      <w:r>
        <w:t>Для изучения взаимосвязи заболеваемости и гибели крупного рогат</w:t>
      </w:r>
      <w:r>
        <w:t>о</w:t>
      </w:r>
      <w:r>
        <w:t>го скота с загрязнением внешней среды выбросами крупного металлург</w:t>
      </w:r>
      <w:r>
        <w:t>и</w:t>
      </w:r>
      <w:r>
        <w:t>ческого комбината проведены исследования в хозяйстве (ОГУП «Россия»), расположенном в 6 км от комбината по ходу розы ветров.</w:t>
      </w:r>
    </w:p>
    <w:p w:rsidR="00F4654E" w:rsidRDefault="00F4654E">
      <w:pPr>
        <w:pStyle w:val="a6"/>
      </w:pPr>
      <w:r>
        <w:t>Диспансерное обследование поголовья крупного рогатого скота пок</w:t>
      </w:r>
      <w:r>
        <w:t>а</w:t>
      </w:r>
      <w:r>
        <w:t>зало, что в хозяйстве заболеваемость животных преимущественно связана с нарушениями условий содержания и кормления. В среднем болезни о</w:t>
      </w:r>
      <w:r>
        <w:t>р</w:t>
      </w:r>
      <w:r>
        <w:t>ганов дыхания от всего поголовья составляли 1,25%, органов пищеварения – 4%; обмена веществ – 63%, болезни органов размножения – 87,7%.</w:t>
      </w:r>
    </w:p>
    <w:p w:rsidR="00F4654E" w:rsidRDefault="00F4654E">
      <w:pPr>
        <w:pStyle w:val="a6"/>
      </w:pPr>
      <w:r>
        <w:t>Для выявления неспецифических изменений, отражающихся на с</w:t>
      </w:r>
      <w:r>
        <w:t>о</w:t>
      </w:r>
      <w:r>
        <w:t>стоянии многих систем организма, использовали комплекс клинико-морфологических, биохимических, токсикологических, иммунологич</w:t>
      </w:r>
      <w:r>
        <w:t>е</w:t>
      </w:r>
      <w:r>
        <w:t>ских, бактериологических, биологических, радиологических и микроск</w:t>
      </w:r>
      <w:r>
        <w:t>о</w:t>
      </w:r>
      <w:r>
        <w:t>пических исследований.</w:t>
      </w:r>
    </w:p>
    <w:p w:rsidR="00F4654E" w:rsidRDefault="00F4654E">
      <w:pPr>
        <w:pStyle w:val="a6"/>
      </w:pPr>
      <w:r>
        <w:t>Распознавание степени адаптации и функциональных возможностей организма проводилось необходимым минимумом исследований по опр</w:t>
      </w:r>
      <w:r>
        <w:t>е</w:t>
      </w:r>
      <w:r>
        <w:t>делению количества эритроцитов, гемоглобина, лейкоцитов, общего белка, липидов, опсонофагоцитарной реакции нейтрофилов, Т- и В-лимфоцитов, солей тяжелых металлов в кормах, воде, молоке, мясе, печени.</w:t>
      </w:r>
    </w:p>
    <w:p w:rsidR="00F4654E" w:rsidRDefault="00F4654E">
      <w:pPr>
        <w:pStyle w:val="a6"/>
      </w:pPr>
      <w:r>
        <w:t>Гематологическое исследование показало, что у обследованных ж</w:t>
      </w:r>
      <w:r>
        <w:t>и</w:t>
      </w:r>
      <w:r>
        <w:t xml:space="preserve">вотных количество эритроцитов было в пределах физиологической нормы и составляло в среднем 6,87 </w:t>
      </w:r>
      <w:r>
        <w:sym w:font="Symbol" w:char="F0B1"/>
      </w:r>
      <w:r>
        <w:t xml:space="preserve">  0,23 млн./мкл. Содержание лейкоцитов в пер</w:t>
      </w:r>
      <w:r>
        <w:t>и</w:t>
      </w:r>
      <w:r>
        <w:t>ферической крови телок в среднем составляло 8,34 ± 0,34 тыс./мкл., гемоглобина 10,6 ± 0,32 г %. Содержание эозинофилов находилось в пр</w:t>
      </w:r>
      <w:r>
        <w:t>е</w:t>
      </w:r>
      <w:r>
        <w:t>делах физиологической нормы- 7,7 ± 1,2%, количество юных форм не</w:t>
      </w:r>
      <w:r>
        <w:t>й</w:t>
      </w:r>
      <w:r>
        <w:t>трофилов несколько превышало норму. Концентрация сегментоядерных клеток была на нижнем пределе физиологической нормы и составляла 24,5 ± 2,02 %, лимфоцитов было в среднем 61,5 ± 1,8 %, что приближалось к верхнему пределу. Фагоцитарная активность составляла 83,3 ± 0,62. Ур</w:t>
      </w:r>
      <w:r>
        <w:t>о</w:t>
      </w:r>
      <w:r>
        <w:t>вень Т- и В- лимфоцитов был 56 ± 2,4 и 21,7 ± 0,95 % соответственно при норме 40-70 и 15-30 %. Из биохимических показателей значительно ниже нормы содержалось каротина, кальция, общего белка, сахара, железа, ма</w:t>
      </w:r>
      <w:r>
        <w:t>г</w:t>
      </w:r>
      <w:r>
        <w:t>ния. Концентрация билирубина превышала физиологическую норму в 6 раз.</w:t>
      </w:r>
    </w:p>
    <w:p w:rsidR="00F4654E" w:rsidRDefault="00F4654E">
      <w:pPr>
        <w:pStyle w:val="a6"/>
      </w:pPr>
      <w:r>
        <w:lastRenderedPageBreak/>
        <w:t>При исследовании солей тяжелых металлов в кормах установлено превышение предельно допустимой нормы (ПДК) по кадмию в 18,5 раза, никелю в 4,2 раза, хрома в 8 раз, железа в 1,6 раза. При исследовании воды ПДК по свинцу составило 130 %, по кадмию – 200 %. Превышение ПДК по свинцу в пробах молока составило 167 %. В пробах мяса и печени ПДК было превышено по кадмию в 5 и 6 раз соответственно, а по свинцу в п</w:t>
      </w:r>
      <w:r>
        <w:t>е</w:t>
      </w:r>
      <w:r>
        <w:t>чени в 1,25 раза.</w:t>
      </w:r>
    </w:p>
    <w:p w:rsidR="00F4654E" w:rsidRDefault="00F4654E">
      <w:pPr>
        <w:pStyle w:val="a6"/>
      </w:pPr>
      <w:r>
        <w:t>В печени изменения носили токсический характер (отсутствие глик</w:t>
      </w:r>
      <w:r>
        <w:t>о</w:t>
      </w:r>
      <w:r>
        <w:t>гена, наличие ареактивных некробиотических участков, набухание пла</w:t>
      </w:r>
      <w:r>
        <w:t>з</w:t>
      </w:r>
      <w:r>
        <w:t>молеммы, отсутствие сосудистой реакции, наличие атипизма в строении печеночных балок).При этом отмечено нарушение мембранных структур гепатоцитов, в частности гранулярной эндоплазматической сети.</w:t>
      </w:r>
    </w:p>
    <w:p w:rsidR="00F4654E" w:rsidRDefault="00F4654E">
      <w:pPr>
        <w:pStyle w:val="a6"/>
      </w:pPr>
      <w:r>
        <w:t>Следовательно, в этиологии заболеваемости животных, находящихся в непосредственной близости от крупного металлургического комбината, в значительной мере играет роль накопление в их организме солей тяжелых металлов, и для профилактики их накопления в организме необходимо применять кормовые добавки, обладающие энтеросорбционным действием (цеолиты, бентониты, МКЦ и др.)</w:t>
      </w:r>
    </w:p>
    <w:p w:rsidR="00F4654E" w:rsidRDefault="00F4654E">
      <w:pPr>
        <w:pStyle w:val="a4"/>
      </w:pPr>
      <w:r>
        <w:t>УДК  619:616.33:615.32:636.082.35</w:t>
      </w:r>
    </w:p>
    <w:p w:rsidR="00F4654E" w:rsidRDefault="00F4654E">
      <w:pPr>
        <w:pStyle w:val="1"/>
      </w:pPr>
      <w:bookmarkStart w:id="6394" w:name="_Toc10731684"/>
      <w:bookmarkStart w:id="6395" w:name="_Toc11138169"/>
      <w:bookmarkStart w:id="6396" w:name="_Toc11138587"/>
      <w:bookmarkStart w:id="6397" w:name="_Toc11139005"/>
      <w:bookmarkStart w:id="6398" w:name="_Toc11139423"/>
      <w:bookmarkStart w:id="6399" w:name="_Toc11139841"/>
      <w:bookmarkStart w:id="6400" w:name="_Toc11140259"/>
      <w:bookmarkStart w:id="6401" w:name="_Toc11140677"/>
      <w:bookmarkStart w:id="6402" w:name="_Toc11390771"/>
      <w:bookmarkStart w:id="6403" w:name="_Toc11840460"/>
      <w:bookmarkStart w:id="6404" w:name="_Toc11937996"/>
      <w:r>
        <w:t>К  использованию аллилсата при гипотонии рубца у  молодняка крупного рогатого скота</w:t>
      </w:r>
      <w:bookmarkEnd w:id="6394"/>
      <w:bookmarkEnd w:id="6395"/>
      <w:bookmarkEnd w:id="6396"/>
      <w:bookmarkEnd w:id="6397"/>
      <w:bookmarkEnd w:id="6398"/>
      <w:bookmarkEnd w:id="6399"/>
      <w:bookmarkEnd w:id="6400"/>
      <w:bookmarkEnd w:id="6401"/>
      <w:bookmarkEnd w:id="6402"/>
      <w:bookmarkEnd w:id="6403"/>
      <w:bookmarkEnd w:id="6404"/>
    </w:p>
    <w:p w:rsidR="00F4654E" w:rsidRDefault="00F4654E">
      <w:pPr>
        <w:pStyle w:val="2"/>
      </w:pPr>
      <w:bookmarkStart w:id="6405" w:name="_Toc10731685"/>
      <w:bookmarkStart w:id="6406" w:name="_Toc11032448"/>
      <w:bookmarkStart w:id="6407" w:name="_Toc11138170"/>
      <w:bookmarkStart w:id="6408" w:name="_Toc11138588"/>
      <w:bookmarkStart w:id="6409" w:name="_Toc11139006"/>
      <w:bookmarkStart w:id="6410" w:name="_Toc11139424"/>
      <w:bookmarkStart w:id="6411" w:name="_Toc11139842"/>
      <w:bookmarkStart w:id="6412" w:name="_Toc11140260"/>
      <w:bookmarkStart w:id="6413" w:name="_Toc11140678"/>
      <w:bookmarkStart w:id="6414" w:name="_Toc11390772"/>
      <w:bookmarkStart w:id="6415" w:name="_Toc11937997"/>
      <w:r>
        <w:t>Шураева И.Ю.</w:t>
      </w:r>
      <w:bookmarkEnd w:id="6405"/>
      <w:bookmarkEnd w:id="6406"/>
      <w:bookmarkEnd w:id="6407"/>
      <w:bookmarkEnd w:id="6408"/>
      <w:bookmarkEnd w:id="6409"/>
      <w:bookmarkEnd w:id="6410"/>
      <w:bookmarkEnd w:id="6411"/>
      <w:bookmarkEnd w:id="6412"/>
      <w:bookmarkEnd w:id="6413"/>
      <w:bookmarkEnd w:id="6414"/>
      <w:bookmarkEnd w:id="6415"/>
    </w:p>
    <w:p w:rsidR="00F4654E" w:rsidRDefault="00F4654E">
      <w:pPr>
        <w:pStyle w:val="a5"/>
      </w:pPr>
      <w:r>
        <w:t xml:space="preserve">Воронежский государственный аграрный университет им. К.Д. Глинки </w:t>
      </w:r>
    </w:p>
    <w:p w:rsidR="00F4654E" w:rsidRDefault="00F4654E">
      <w:pPr>
        <w:pStyle w:val="a6"/>
      </w:pPr>
      <w:r>
        <w:t>Внутренние незаразные болезни жвачных животных, проявляющиеся нарушением моторной деятельности преджелудков, составляют 40-45% всех болезней преджелудков. Большое значение в профилактике желудо</w:t>
      </w:r>
      <w:r>
        <w:t>ч</w:t>
      </w:r>
      <w:r>
        <w:t xml:space="preserve">но-кишечных заболеваний и нарушений обмена веществ у жвачных имеет состояние биологических процессов в рубце, которые осуществляются за счет инфузорий, грибов, дрожжей и т.д. </w:t>
      </w:r>
    </w:p>
    <w:p w:rsidR="00F4654E" w:rsidRDefault="00F4654E">
      <w:pPr>
        <w:pStyle w:val="a6"/>
      </w:pPr>
      <w:r>
        <w:t>Нарушение кормления и другие неблагоприятные факторы вызывают расстройство функции преджелудков, возникновение атоний, которые с</w:t>
      </w:r>
      <w:r>
        <w:t>о</w:t>
      </w:r>
      <w:r>
        <w:t>провождаются изменением рН среды рубцового содержимого. Это прив</w:t>
      </w:r>
      <w:r>
        <w:t>о</w:t>
      </w:r>
      <w:r>
        <w:t>дит к угнетению жизнедеятельности симбионтов или к их гибели. Многие исследователи считают показатель численности простейших своеобразным «зеркалом» состояния рубцового пищеварения.</w:t>
      </w:r>
    </w:p>
    <w:p w:rsidR="00F4654E" w:rsidRDefault="00F4654E">
      <w:pPr>
        <w:pStyle w:val="a6"/>
      </w:pPr>
      <w:r>
        <w:t>По нашим данным при гипотонии и атонии преджелудков у молодн</w:t>
      </w:r>
      <w:r>
        <w:t>я</w:t>
      </w:r>
      <w:r>
        <w:t>ка крупного рогатого скота подвижность и активность инфузорий сниж</w:t>
      </w:r>
      <w:r>
        <w:t>а</w:t>
      </w:r>
      <w:r>
        <w:t>ется в 4-5 раз, их количество уменьшается на 60-80% в зависимости от т</w:t>
      </w:r>
      <w:r>
        <w:t>я</w:t>
      </w:r>
      <w:r>
        <w:t xml:space="preserve">жести болезни. </w:t>
      </w:r>
    </w:p>
    <w:p w:rsidR="00F4654E" w:rsidRDefault="00F4654E">
      <w:pPr>
        <w:pStyle w:val="a6"/>
      </w:pPr>
      <w:r>
        <w:t>Руминаторные средства, применяемые при гипотонии и атонии пре</w:t>
      </w:r>
      <w:r>
        <w:t>д</w:t>
      </w:r>
      <w:r>
        <w:t>желудков, восстанавливают их сокращения в течение 2-3 дней, но не но</w:t>
      </w:r>
      <w:r>
        <w:t>р</w:t>
      </w:r>
      <w:r>
        <w:lastRenderedPageBreak/>
        <w:t>мализуют биологические процессы в рубце. В связи с этим особого вним</w:t>
      </w:r>
      <w:r>
        <w:t>а</w:t>
      </w:r>
      <w:r>
        <w:t>ния заслуживает вопрос об изыскании доступных, дешевых и эффекти</w:t>
      </w:r>
      <w:r>
        <w:t>в</w:t>
      </w:r>
      <w:r>
        <w:t>ных лекарственных средств, которые влияют не только на моторику рубца, но также повышают активность рубцовой микрофлоры, секрецию пищев</w:t>
      </w:r>
      <w:r>
        <w:t>а</w:t>
      </w:r>
      <w:r>
        <w:t>рительных желез. Одним из таких средств является препарат чеснока – а</w:t>
      </w:r>
      <w:r>
        <w:t>л</w:t>
      </w:r>
      <w:r>
        <w:t>лилсат. Под влиянием этого препарата уже на 2-3 день усиливается мото</w:t>
      </w:r>
      <w:r>
        <w:t>р</w:t>
      </w:r>
      <w:r>
        <w:t>ная функция преджелудков, учащается жвачка и увеличивается количество жвачных периодов, улучшается аппетит, повышается активность рубцовой микрофлоры. Отмечалось увеличение количества инфузорий на 50-60%. Кроме того, аллилсат содержит витамин С, который стимулирует окисл</w:t>
      </w:r>
      <w:r>
        <w:t>и</w:t>
      </w:r>
      <w:r>
        <w:t>тельно-восстановительные процессы в организме, подавляет бродильные и гнилостные процессы в рубце, повышает естественную резистентность о</w:t>
      </w:r>
      <w:r>
        <w:t>р</w:t>
      </w:r>
      <w:r>
        <w:t>ганизма. Как показали опыты, препарат следует вводить больному моло</w:t>
      </w:r>
      <w:r>
        <w:t>д</w:t>
      </w:r>
      <w:r>
        <w:t>няку крупного рогатого скота внутрь 2-3 раза в день за 30 минут до кор</w:t>
      </w:r>
      <w:r>
        <w:t>м</w:t>
      </w:r>
      <w:r>
        <w:t>ления в дозе 0,3-0,5 мл на 1 кг массы тела, предварительно разбавив водой в соотношении 1:2.</w:t>
      </w:r>
    </w:p>
    <w:p w:rsidR="00F4654E" w:rsidRDefault="00F4654E">
      <w:pPr>
        <w:pStyle w:val="a4"/>
      </w:pPr>
      <w:r>
        <w:t>УДК 619:616.33:615.32:636.082.35</w:t>
      </w:r>
    </w:p>
    <w:p w:rsidR="00F4654E" w:rsidRDefault="00F4654E">
      <w:pPr>
        <w:pStyle w:val="1"/>
      </w:pPr>
      <w:bookmarkStart w:id="6416" w:name="_Toc10731682"/>
      <w:bookmarkStart w:id="6417" w:name="_Toc11138167"/>
      <w:bookmarkStart w:id="6418" w:name="_Toc11138585"/>
      <w:bookmarkStart w:id="6419" w:name="_Toc11139003"/>
      <w:bookmarkStart w:id="6420" w:name="_Toc11139421"/>
      <w:bookmarkStart w:id="6421" w:name="_Toc11139839"/>
      <w:bookmarkStart w:id="6422" w:name="_Toc11140257"/>
      <w:bookmarkStart w:id="6423" w:name="_Toc11140675"/>
      <w:bookmarkStart w:id="6424" w:name="_Toc11390769"/>
      <w:bookmarkStart w:id="6425" w:name="_Toc11840462"/>
      <w:bookmarkStart w:id="6426" w:name="_Toc11937998"/>
      <w:r>
        <w:t>Использование спиртовой настойки лука при гипотонии и атонии рубца у молодняка  крупного рогатого скота</w:t>
      </w:r>
      <w:bookmarkEnd w:id="6416"/>
      <w:bookmarkEnd w:id="6417"/>
      <w:bookmarkEnd w:id="6418"/>
      <w:bookmarkEnd w:id="6419"/>
      <w:bookmarkEnd w:id="6420"/>
      <w:bookmarkEnd w:id="6421"/>
      <w:bookmarkEnd w:id="6422"/>
      <w:bookmarkEnd w:id="6423"/>
      <w:bookmarkEnd w:id="6424"/>
      <w:bookmarkEnd w:id="6425"/>
      <w:bookmarkEnd w:id="6426"/>
    </w:p>
    <w:p w:rsidR="00F4654E" w:rsidRDefault="00F4654E">
      <w:pPr>
        <w:pStyle w:val="2"/>
      </w:pPr>
      <w:bookmarkStart w:id="6427" w:name="_Toc10731683"/>
      <w:bookmarkStart w:id="6428" w:name="_Toc11032447"/>
      <w:bookmarkStart w:id="6429" w:name="_Toc11138168"/>
      <w:bookmarkStart w:id="6430" w:name="_Toc11138586"/>
      <w:bookmarkStart w:id="6431" w:name="_Toc11139004"/>
      <w:bookmarkStart w:id="6432" w:name="_Toc11139422"/>
      <w:bookmarkStart w:id="6433" w:name="_Toc11139840"/>
      <w:bookmarkStart w:id="6434" w:name="_Toc11140258"/>
      <w:bookmarkStart w:id="6435" w:name="_Toc11140676"/>
      <w:bookmarkStart w:id="6436" w:name="_Toc11390770"/>
      <w:bookmarkStart w:id="6437" w:name="_Toc11937999"/>
      <w:r>
        <w:t>Шураева И.Ю.</w:t>
      </w:r>
      <w:bookmarkEnd w:id="6427"/>
      <w:bookmarkEnd w:id="6428"/>
      <w:bookmarkEnd w:id="6429"/>
      <w:bookmarkEnd w:id="6430"/>
      <w:bookmarkEnd w:id="6431"/>
      <w:bookmarkEnd w:id="6432"/>
      <w:bookmarkEnd w:id="6433"/>
      <w:bookmarkEnd w:id="6434"/>
      <w:bookmarkEnd w:id="6435"/>
      <w:bookmarkEnd w:id="6436"/>
      <w:bookmarkEnd w:id="6437"/>
    </w:p>
    <w:p w:rsidR="00F4654E" w:rsidRDefault="00F4654E">
      <w:pPr>
        <w:pStyle w:val="a5"/>
      </w:pPr>
      <w:r>
        <w:t>Воронежский государственный аграрный университет им. К.Д. Глинки</w:t>
      </w:r>
    </w:p>
    <w:p w:rsidR="00F4654E" w:rsidRDefault="00F4654E">
      <w:pPr>
        <w:pStyle w:val="a6"/>
      </w:pPr>
      <w:r>
        <w:t>В рубце жвачных обитает огромное количество разнообразных ми</w:t>
      </w:r>
      <w:r>
        <w:t>к</w:t>
      </w:r>
      <w:r>
        <w:t>роорганизмов – бактерий и простейших. Благодаря их активной деятельн</w:t>
      </w:r>
      <w:r>
        <w:t>о</w:t>
      </w:r>
      <w:r>
        <w:t>сти, питательные вещества корма подвергаются сложным превращениям. Однако при нарушении моторной функции преджелудков нарушается жвачка, что приводит к нарушению пищеварения в рубце, изменению рН содержимого рубца в кислую сторону, усилению процессов брожения. В таких условиях жизнедеятельность симбионтов в рубце угнетается или они погибают с последующим их разложением и образованием токсических продуктов, которые всасываются в кровь и вызывают интоксикацию орг</w:t>
      </w:r>
      <w:r>
        <w:t>а</w:t>
      </w:r>
      <w:r>
        <w:t>низма. Учитывая сказанное, возникает необходимость изыскания и и</w:t>
      </w:r>
      <w:r>
        <w:t>с</w:t>
      </w:r>
      <w:r>
        <w:t>пользования средств, которые стимулируют не только моторику рубца, но нормализуют биологические процессы в рубце, протекающие с участием инфузорий, грибов, дрожжей.</w:t>
      </w:r>
    </w:p>
    <w:p w:rsidR="00F4654E" w:rsidRDefault="00F4654E">
      <w:pPr>
        <w:pStyle w:val="a6"/>
      </w:pPr>
      <w:r>
        <w:t>В своих опытах мы решили использовать спиртовую настойку лука. Изучение действия этого препарата проводилось в зимне-стойловый пер</w:t>
      </w:r>
      <w:r>
        <w:t>и</w:t>
      </w:r>
      <w:r>
        <w:t>од на молодняке крупного рогатого скота 5-7 месячного возраста, прина</w:t>
      </w:r>
      <w:r>
        <w:t>д</w:t>
      </w:r>
      <w:r>
        <w:t>лежащего учебно-производственному хозяйству Чаплыгинского агроко</w:t>
      </w:r>
      <w:r>
        <w:t>л</w:t>
      </w:r>
      <w:r>
        <w:t xml:space="preserve">леджа Липецкой области. </w:t>
      </w:r>
    </w:p>
    <w:p w:rsidR="00F4654E" w:rsidRDefault="00F4654E">
      <w:pPr>
        <w:pStyle w:val="a6"/>
      </w:pPr>
      <w:r>
        <w:t>На 4-5 день после введения препарата у больных животных отмеч</w:t>
      </w:r>
      <w:r>
        <w:t>а</w:t>
      </w:r>
      <w:r>
        <w:t xml:space="preserve">лось усиление сокращений рубца, появлялся аппетит, улучшалась жвачка, </w:t>
      </w:r>
      <w:r>
        <w:lastRenderedPageBreak/>
        <w:t xml:space="preserve">увеличивалось количество жвачных периодов. На 5-7 день наблюдалось повышение активности рубцовой микрофлоры и количества инфузорий на 35-40%. Препарат вводили внутрь в дозе 0,6-0,8мл на 1 кг массы тела за 30 минут до кормления в первые 2 дня кормления – 3 раза, с 3 по 4 день – 2 раза, с 5 и до выздоровления – 1 раз в сутки. Перед введением препарат разбавляли водой в соотношении 1:2.  </w:t>
      </w:r>
    </w:p>
    <w:p w:rsidR="00F4654E" w:rsidRDefault="00F4654E">
      <w:pPr>
        <w:pStyle w:val="a4"/>
      </w:pPr>
      <w:r>
        <w:t>УДК 619.116.591.8.053.2</w:t>
      </w:r>
    </w:p>
    <w:p w:rsidR="00F4654E" w:rsidRDefault="00F4654E">
      <w:pPr>
        <w:pStyle w:val="1"/>
      </w:pPr>
      <w:bookmarkStart w:id="6438" w:name="_Toc10731686"/>
      <w:bookmarkStart w:id="6439" w:name="_Toc11138173"/>
      <w:bookmarkStart w:id="6440" w:name="_Toc11138591"/>
      <w:bookmarkStart w:id="6441" w:name="_Toc11139009"/>
      <w:bookmarkStart w:id="6442" w:name="_Toc11139427"/>
      <w:bookmarkStart w:id="6443" w:name="_Toc11139845"/>
      <w:bookmarkStart w:id="6444" w:name="_Toc11140263"/>
      <w:bookmarkStart w:id="6445" w:name="_Toc11140681"/>
      <w:bookmarkStart w:id="6446" w:name="_Toc11390775"/>
      <w:bookmarkStart w:id="6447" w:name="_Toc11840464"/>
      <w:bookmarkStart w:id="6448" w:name="_Toc11938000"/>
      <w:r>
        <w:t>СМЕШАННЫЕ ИНФЕКЦИИ ТЕЛЯТ</w:t>
      </w:r>
      <w:bookmarkEnd w:id="6438"/>
      <w:bookmarkEnd w:id="6439"/>
      <w:bookmarkEnd w:id="6440"/>
      <w:bookmarkEnd w:id="6441"/>
      <w:bookmarkEnd w:id="6442"/>
      <w:bookmarkEnd w:id="6443"/>
      <w:bookmarkEnd w:id="6444"/>
      <w:bookmarkEnd w:id="6445"/>
      <w:bookmarkEnd w:id="6446"/>
      <w:bookmarkEnd w:id="6447"/>
      <w:bookmarkEnd w:id="6448"/>
      <w:r>
        <w:t xml:space="preserve"> </w:t>
      </w:r>
    </w:p>
    <w:p w:rsidR="00F4654E" w:rsidRDefault="00F4654E">
      <w:pPr>
        <w:pStyle w:val="2"/>
      </w:pPr>
      <w:bookmarkStart w:id="6449" w:name="_Toc10731687"/>
      <w:bookmarkStart w:id="6450" w:name="_Toc11032450"/>
      <w:bookmarkStart w:id="6451" w:name="_Toc11138174"/>
      <w:bookmarkStart w:id="6452" w:name="_Toc11138592"/>
      <w:bookmarkStart w:id="6453" w:name="_Toc11139010"/>
      <w:bookmarkStart w:id="6454" w:name="_Toc11139428"/>
      <w:bookmarkStart w:id="6455" w:name="_Toc11139846"/>
      <w:bookmarkStart w:id="6456" w:name="_Toc11140264"/>
      <w:bookmarkStart w:id="6457" w:name="_Toc11140682"/>
      <w:bookmarkStart w:id="6458" w:name="_Toc11390776"/>
      <w:bookmarkStart w:id="6459" w:name="_Toc11938001"/>
      <w:r>
        <w:t>Эльмурадов Б.А.</w:t>
      </w:r>
      <w:bookmarkEnd w:id="6449"/>
      <w:bookmarkEnd w:id="6450"/>
      <w:bookmarkEnd w:id="6451"/>
      <w:bookmarkEnd w:id="6452"/>
      <w:bookmarkEnd w:id="6453"/>
      <w:bookmarkEnd w:id="6454"/>
      <w:bookmarkEnd w:id="6455"/>
      <w:bookmarkEnd w:id="6456"/>
      <w:bookmarkEnd w:id="6457"/>
      <w:bookmarkEnd w:id="6458"/>
      <w:bookmarkEnd w:id="6459"/>
    </w:p>
    <w:p w:rsidR="00F4654E" w:rsidRDefault="00F4654E">
      <w:pPr>
        <w:pStyle w:val="a5"/>
      </w:pPr>
      <w:r>
        <w:t>Узбекский научно-исследовательский институт ветеринарии.</w:t>
      </w:r>
    </w:p>
    <w:p w:rsidR="00F4654E" w:rsidRDefault="00F4654E">
      <w:pPr>
        <w:pStyle w:val="a6"/>
      </w:pPr>
      <w:r>
        <w:t>Смешанные бактериальные, вирусно-бактериальные пищеварител</w:t>
      </w:r>
      <w:r>
        <w:t>ь</w:t>
      </w:r>
      <w:r>
        <w:t>ных и респираторных органов телят приобретают актуальность в хозяйс</w:t>
      </w:r>
      <w:r>
        <w:t>т</w:t>
      </w:r>
      <w:r>
        <w:t>вах. При эпизоотологических обследованиях хозяйств у телят установили болезни респираторных  органов и органов пищеварения которые в пода</w:t>
      </w:r>
      <w:r>
        <w:t>в</w:t>
      </w:r>
      <w:r>
        <w:t>ляющем большинстве имели полиэтиологическую природу и многих о</w:t>
      </w:r>
      <w:r>
        <w:t>т</w:t>
      </w:r>
      <w:r>
        <w:t>ношениях, до наших исследовании можно сказать не были изучены.</w:t>
      </w:r>
    </w:p>
    <w:p w:rsidR="00F4654E" w:rsidRDefault="00F4654E">
      <w:pPr>
        <w:pStyle w:val="a6"/>
      </w:pPr>
      <w:r>
        <w:t>При вскрытиях павших и вынужденно убитых телят в 70,5 % случаев обнаруживали поражения респираторных и пищеварительных органов ра</w:t>
      </w:r>
      <w:r>
        <w:t>з</w:t>
      </w:r>
      <w:r>
        <w:t>личной степени и характера (от катарального состояния до выраженного энтерита и пневмония). Они в ветеринарной литературе нередко именую</w:t>
      </w:r>
      <w:r>
        <w:t>т</w:t>
      </w:r>
      <w:r>
        <w:t>ся «пневмоэнтеритами».</w:t>
      </w:r>
    </w:p>
    <w:p w:rsidR="00F4654E" w:rsidRDefault="00F4654E">
      <w:pPr>
        <w:pStyle w:val="a6"/>
      </w:pPr>
      <w:r>
        <w:t>По нашим наблюдениями, смешанная инфекция протекает в первые недели жизни телят в острой или подострой формах поражается кишечник, понос и истечение из носа, кашель, угнетены. У телят старшего возраста в подавляющем большинстве протекают хронически, задерживается рост и развитие, температура тела в начале болезни часто в пределах нормы при значительным развитии она может подниматься до 40,0-42,0.</w:t>
      </w:r>
    </w:p>
    <w:p w:rsidR="00F4654E" w:rsidRDefault="00F4654E">
      <w:pPr>
        <w:pStyle w:val="a6"/>
      </w:pPr>
      <w:r>
        <w:t>Следует отметить что инфекционные болезни молодняка телят, мон</w:t>
      </w:r>
      <w:r>
        <w:t>о</w:t>
      </w:r>
      <w:r>
        <w:t>инфекции и смешанные инфекции, как правило, проявляются и протекают с примерно одинаковыми симптомами, хотя их этиология весьма неодин</w:t>
      </w:r>
      <w:r>
        <w:t>а</w:t>
      </w:r>
      <w:r>
        <w:t>кова, что связано с одинаковой схемой развития болезни. Это обычно з</w:t>
      </w:r>
      <w:r>
        <w:t>а</w:t>
      </w:r>
      <w:r>
        <w:t>трудняет их дифференцирование.</w:t>
      </w:r>
    </w:p>
    <w:p w:rsidR="00F4654E" w:rsidRDefault="00F4654E">
      <w:pPr>
        <w:pStyle w:val="a6"/>
      </w:pPr>
      <w:r>
        <w:t>Как было сказано выше течение смешанных инфекций в естественных условиях изучено на 15-и телятах в хозяйствах Республики. При этом они были разделены на 2 группы, первая 8 телят 5 – 15-дневного возраста, вт</w:t>
      </w:r>
      <w:r>
        <w:t>о</w:t>
      </w:r>
      <w:r>
        <w:t>рая 7 телят 1-2 месячного возраста.</w:t>
      </w:r>
    </w:p>
    <w:p w:rsidR="00F4654E" w:rsidRDefault="00F4654E">
      <w:pPr>
        <w:pStyle w:val="a6"/>
      </w:pPr>
      <w:r>
        <w:t>У телят первой группы наблюдали кровавый понос, повышение те</w:t>
      </w:r>
      <w:r>
        <w:t>м</w:t>
      </w:r>
      <w:r>
        <w:t xml:space="preserve">пературы тела до 40,5-41,0 </w:t>
      </w:r>
      <w:r>
        <w:sym w:font="Symbol" w:char="F0B0"/>
      </w:r>
      <w:r>
        <w:t>С, отеки в области шеи, живота и паха, увел</w:t>
      </w:r>
      <w:r>
        <w:t>и</w:t>
      </w:r>
      <w:r>
        <w:t>чение подчелюстных и предлопаточных лимфоузлов, а также болезне</w:t>
      </w:r>
      <w:r>
        <w:t>н</w:t>
      </w:r>
      <w:r>
        <w:t>ность в области живота.</w:t>
      </w:r>
    </w:p>
    <w:p w:rsidR="00F4654E" w:rsidRDefault="00F4654E">
      <w:pPr>
        <w:pStyle w:val="a6"/>
      </w:pPr>
      <w:r>
        <w:lastRenderedPageBreak/>
        <w:t>Вторая группы в начале болезни также наблюдаются тяжелые клин</w:t>
      </w:r>
      <w:r>
        <w:t>и</w:t>
      </w:r>
      <w:r>
        <w:t>ческие признаки. При этом установили слизистое истечение из носа, ан</w:t>
      </w:r>
      <w:r>
        <w:t>е</w:t>
      </w:r>
      <w:r>
        <w:t>мичность видимых слизистых оболочек, повышение температуры тела 41,0-42,0 С ускорении пульса и дыхания, кровавый понос. Некоторые ж</w:t>
      </w:r>
      <w:r>
        <w:t>и</w:t>
      </w:r>
      <w:r>
        <w:t>вотные становятся слабыми и долга лежат.</w:t>
      </w:r>
    </w:p>
    <w:p w:rsidR="00F4654E" w:rsidRDefault="00F4654E">
      <w:pPr>
        <w:pStyle w:val="a6"/>
      </w:pPr>
      <w:r>
        <w:t>Течение и сложность патологоанатомических изменений и их прина</w:t>
      </w:r>
      <w:r>
        <w:t>д</w:t>
      </w:r>
      <w:r>
        <w:t>лежность тому или другому заболеванию зависят от вида и вирулентности возбудителей а также возраста животных.</w:t>
      </w:r>
    </w:p>
    <w:p w:rsidR="00F4654E" w:rsidRDefault="00F4654E">
      <w:pPr>
        <w:pStyle w:val="a6"/>
      </w:pPr>
      <w:r>
        <w:t>Первый группа 5-15 дневного телята в основном, истощенные, кон</w:t>
      </w:r>
      <w:r>
        <w:t>ь</w:t>
      </w:r>
      <w:r>
        <w:t>юнктива у них гиперемирована, шерсть взъерошена, вокруг ануса испачк</w:t>
      </w:r>
      <w:r>
        <w:t>а</w:t>
      </w:r>
      <w:r>
        <w:t>на желтоватыми каловыми массами. При вскрытии у них в брюшной п</w:t>
      </w:r>
      <w:r>
        <w:t>о</w:t>
      </w:r>
      <w:r>
        <w:t>лость обнаруживаются желтовато-красная жидкость в пределах 150 мл. У некоторых телят кутикулярный слой желудка легко отторгается, под кот</w:t>
      </w:r>
      <w:r>
        <w:t>о</w:t>
      </w:r>
      <w:r>
        <w:t>рым обнажаются различные геморрагии.</w:t>
      </w:r>
    </w:p>
    <w:p w:rsidR="00F4654E" w:rsidRDefault="00F4654E">
      <w:pPr>
        <w:pStyle w:val="a6"/>
      </w:pPr>
      <w:r>
        <w:t>У телят, болевших в течение 8-10 дней часто в сычуге и тонком к</w:t>
      </w:r>
      <w:r>
        <w:t>и</w:t>
      </w:r>
      <w:r>
        <w:t>шечнике развиваются эрозия и язвы. Печень, селезенка и почки увеличены, очень часто с мелкоточечными кровоизлияниями и некротическими очаг</w:t>
      </w:r>
      <w:r>
        <w:t>а</w:t>
      </w:r>
      <w:r>
        <w:t>ми, легкие отечные, сосуды застойные, бронхи заполнены пенистым эк</w:t>
      </w:r>
      <w:r>
        <w:t>с</w:t>
      </w:r>
      <w:r>
        <w:t>судатом. У некоторых телят развивается некротическая  плевропневмония.</w:t>
      </w:r>
    </w:p>
    <w:p w:rsidR="00F4654E" w:rsidRDefault="00F4654E">
      <w:pPr>
        <w:pStyle w:val="a6"/>
      </w:pPr>
      <w:r>
        <w:t>Вторая группа 1-2-месячные телята. Здесь смертность несколько меньше, чем в первой группе. В большинстве случаев заболевание прот</w:t>
      </w:r>
      <w:r>
        <w:t>е</w:t>
      </w:r>
      <w:r>
        <w:t>кает хронически и телята отстают в росте.</w:t>
      </w:r>
    </w:p>
    <w:p w:rsidR="00F4654E" w:rsidRDefault="00F4654E">
      <w:pPr>
        <w:pStyle w:val="a6"/>
      </w:pPr>
      <w:r>
        <w:t>При вскрытии все сосуды подкожной клетчатки застойные, область шеи, предлопаток  и  паха гиперемированы и инфильтрированы желтой слизистой массой. Большинство лимфоузлов увеличены, некоторые с ди</w:t>
      </w:r>
      <w:r>
        <w:t>а</w:t>
      </w:r>
      <w:r>
        <w:t>педезными геморрагиями. В грудной и брюшной полостях  скопление же</w:t>
      </w:r>
      <w:r>
        <w:t>л</w:t>
      </w:r>
      <w:r>
        <w:t>товатой жидкости. Сосуды желудка застойные, на слизистой пятнистые кровоизлияния, в у некоторых животных эрозия и язвы. Печень и селезе</w:t>
      </w:r>
      <w:r>
        <w:t>н</w:t>
      </w:r>
      <w:r>
        <w:t>ка увеличены, на поверхности сосуды застойные. В кишечные возникают точечные и пятнистые кровоизлияния, эрозия и язва а также катарально-геморрагической воспаление.</w:t>
      </w:r>
    </w:p>
    <w:p w:rsidR="00F4654E" w:rsidRDefault="00F4654E">
      <w:pPr>
        <w:pStyle w:val="a6"/>
      </w:pPr>
      <w:r>
        <w:t>Из 15 телят, у которых мы установили смешанных инфекции, у телят 5–15-дневного возраста изменения были свойственны колибактериозу и сальмонеллезу, а у 7 голов 1-2 месячных изменение были не очень серье</w:t>
      </w:r>
      <w:r>
        <w:t>з</w:t>
      </w:r>
      <w:r>
        <w:t>ными и при бактериологическом исследовании выделили возбудителей  пастереллеза и сальмонеллеза.</w:t>
      </w:r>
    </w:p>
    <w:p w:rsidR="00F4654E" w:rsidRDefault="00F4654E">
      <w:pPr>
        <w:pStyle w:val="a6"/>
      </w:pPr>
      <w:r>
        <w:t>Таким образом, анализ патологоанатомических изменений у живо</w:t>
      </w:r>
      <w:r>
        <w:t>т</w:t>
      </w:r>
      <w:r>
        <w:t>ных, заболевших смешанным инфекциями в естественных условиях, пок</w:t>
      </w:r>
      <w:r>
        <w:t>а</w:t>
      </w:r>
      <w:r>
        <w:t xml:space="preserve">зал что развитие и проявление патологоанатомических процессов при этом отличаются от процессов, свойственных отдельно взятому заболеванию. Кроме  того  они отличаются между собой также в зависимости от возраста животных, вида и количества возбудителей.       </w:t>
      </w:r>
    </w:p>
    <w:p w:rsidR="00F4654E" w:rsidRDefault="00F4654E">
      <w:pPr>
        <w:pStyle w:val="a4"/>
        <w:rPr>
          <w:snapToGrid w:val="0"/>
        </w:rPr>
      </w:pPr>
      <w:r>
        <w:rPr>
          <w:snapToGrid w:val="0"/>
        </w:rPr>
        <w:lastRenderedPageBreak/>
        <w:t>УДК 619:619.981.718</w:t>
      </w:r>
    </w:p>
    <w:p w:rsidR="00F4654E" w:rsidRDefault="00F4654E">
      <w:pPr>
        <w:pStyle w:val="1"/>
        <w:rPr>
          <w:snapToGrid w:val="0"/>
        </w:rPr>
      </w:pPr>
      <w:bookmarkStart w:id="6460" w:name="_Toc10731688"/>
      <w:bookmarkStart w:id="6461" w:name="_Toc11138175"/>
      <w:bookmarkStart w:id="6462" w:name="_Toc11138593"/>
      <w:bookmarkStart w:id="6463" w:name="_Toc11139011"/>
      <w:bookmarkStart w:id="6464" w:name="_Toc11139429"/>
      <w:bookmarkStart w:id="6465" w:name="_Toc11139847"/>
      <w:bookmarkStart w:id="6466" w:name="_Toc11140265"/>
      <w:bookmarkStart w:id="6467" w:name="_Toc11140683"/>
      <w:bookmarkStart w:id="6468" w:name="_Toc11390777"/>
      <w:bookmarkStart w:id="6469" w:name="_Toc11840466"/>
      <w:bookmarkStart w:id="6470" w:name="_Toc11938002"/>
      <w:r>
        <w:rPr>
          <w:snapToGrid w:val="0"/>
        </w:rPr>
        <w:t>РОЛЬ БИОЛОГИЧЕСКИХ И ФИЗИКО-ХИМИЧЕСКИХ ФАКТОРОВ В ВОЗНИКНОВЕНИИ ВТОРИЧНОГО ИММУНОДЕФИЦИТА У ЖИВОТНЫХ</w:t>
      </w:r>
      <w:bookmarkEnd w:id="6460"/>
      <w:bookmarkEnd w:id="6461"/>
      <w:bookmarkEnd w:id="6462"/>
      <w:bookmarkEnd w:id="6463"/>
      <w:bookmarkEnd w:id="6464"/>
      <w:bookmarkEnd w:id="6465"/>
      <w:bookmarkEnd w:id="6466"/>
      <w:bookmarkEnd w:id="6467"/>
      <w:bookmarkEnd w:id="6468"/>
      <w:bookmarkEnd w:id="6469"/>
      <w:bookmarkEnd w:id="6470"/>
    </w:p>
    <w:p w:rsidR="00F4654E" w:rsidRDefault="00F4654E">
      <w:pPr>
        <w:pStyle w:val="2"/>
        <w:rPr>
          <w:snapToGrid w:val="0"/>
        </w:rPr>
      </w:pPr>
      <w:bookmarkStart w:id="6471" w:name="_Toc10731689"/>
      <w:bookmarkStart w:id="6472" w:name="_Toc11032451"/>
      <w:bookmarkStart w:id="6473" w:name="_Toc11138176"/>
      <w:bookmarkStart w:id="6474" w:name="_Toc11138594"/>
      <w:bookmarkStart w:id="6475" w:name="_Toc11139012"/>
      <w:bookmarkStart w:id="6476" w:name="_Toc11139430"/>
      <w:bookmarkStart w:id="6477" w:name="_Toc11139848"/>
      <w:bookmarkStart w:id="6478" w:name="_Toc11140266"/>
      <w:bookmarkStart w:id="6479" w:name="_Toc11140684"/>
      <w:bookmarkStart w:id="6480" w:name="_Toc11390778"/>
      <w:bookmarkStart w:id="6481" w:name="_Toc11938003"/>
      <w:r>
        <w:rPr>
          <w:snapToGrid w:val="0"/>
        </w:rPr>
        <w:t>Юсупов Р.X.</w:t>
      </w:r>
      <w:bookmarkEnd w:id="6471"/>
      <w:bookmarkEnd w:id="6472"/>
      <w:bookmarkEnd w:id="6473"/>
      <w:bookmarkEnd w:id="6474"/>
      <w:bookmarkEnd w:id="6475"/>
      <w:bookmarkEnd w:id="6476"/>
      <w:bookmarkEnd w:id="6477"/>
      <w:bookmarkEnd w:id="6478"/>
      <w:bookmarkEnd w:id="6479"/>
      <w:bookmarkEnd w:id="6480"/>
      <w:bookmarkEnd w:id="6481"/>
    </w:p>
    <w:p w:rsidR="00F4654E" w:rsidRDefault="00F4654E">
      <w:pPr>
        <w:pStyle w:val="a5"/>
        <w:rPr>
          <w:snapToGrid w:val="0"/>
        </w:rPr>
      </w:pPr>
      <w:r>
        <w:rPr>
          <w:snapToGrid w:val="0"/>
        </w:rPr>
        <w:t>Всероссийский научно-исследовательский ветеринарный институт</w:t>
      </w:r>
    </w:p>
    <w:p w:rsidR="00D75866" w:rsidRDefault="00F4654E">
      <w:pPr>
        <w:pStyle w:val="a6"/>
        <w:rPr>
          <w:snapToGrid w:val="0"/>
        </w:rPr>
      </w:pPr>
      <w:r>
        <w:rPr>
          <w:snapToGrid w:val="0"/>
        </w:rPr>
        <w:t>Одним из мощных агентов, влияющих на иммунное состояние чел</w:t>
      </w:r>
      <w:r>
        <w:rPr>
          <w:snapToGrid w:val="0"/>
        </w:rPr>
        <w:t>о</w:t>
      </w:r>
      <w:r>
        <w:rPr>
          <w:snapToGrid w:val="0"/>
        </w:rPr>
        <w:t>века и животных, являются вирусы. Как известно, пораженные клетки ч</w:t>
      </w:r>
      <w:r>
        <w:rPr>
          <w:snapToGrid w:val="0"/>
        </w:rPr>
        <w:t>е</w:t>
      </w:r>
      <w:r>
        <w:rPr>
          <w:snapToGrid w:val="0"/>
        </w:rPr>
        <w:t>ловека или животного синтезируют вирусные белки "по команде", привн</w:t>
      </w:r>
      <w:r>
        <w:rPr>
          <w:snapToGrid w:val="0"/>
        </w:rPr>
        <w:t>е</w:t>
      </w:r>
      <w:r>
        <w:rPr>
          <w:snapToGrid w:val="0"/>
        </w:rPr>
        <w:t xml:space="preserve">сенной вирусным геномом. </w:t>
      </w:r>
    </w:p>
    <w:p w:rsidR="00F4654E" w:rsidRDefault="00F4654E">
      <w:pPr>
        <w:pStyle w:val="a6"/>
        <w:rPr>
          <w:snapToGrid w:val="0"/>
        </w:rPr>
      </w:pPr>
      <w:r>
        <w:rPr>
          <w:snapToGrid w:val="0"/>
        </w:rPr>
        <w:t>Среди вирусных инфекций имеются быстро развивающиеся (напр</w:t>
      </w:r>
      <w:r>
        <w:rPr>
          <w:snapToGrid w:val="0"/>
        </w:rPr>
        <w:t>и</w:t>
      </w:r>
      <w:r>
        <w:rPr>
          <w:snapToGrid w:val="0"/>
        </w:rPr>
        <w:t>мер, вирус классической, чумы свиньи, грипп и др.), при которых колич</w:t>
      </w:r>
      <w:r>
        <w:rPr>
          <w:snapToGrid w:val="0"/>
        </w:rPr>
        <w:t>е</w:t>
      </w:r>
      <w:r>
        <w:rPr>
          <w:snapToGrid w:val="0"/>
        </w:rPr>
        <w:t>ство вирусных частиц, следовательно, антигенного м</w:t>
      </w:r>
      <w:r>
        <w:rPr>
          <w:snapToGrid w:val="0"/>
        </w:rPr>
        <w:t>а</w:t>
      </w:r>
      <w:r>
        <w:rPr>
          <w:snapToGrid w:val="0"/>
        </w:rPr>
        <w:t>териала в организме нарастает буквально по часам. Так, заражение свиней вирусом чумы уб</w:t>
      </w:r>
      <w:r>
        <w:rPr>
          <w:snapToGrid w:val="0"/>
        </w:rPr>
        <w:t>е</w:t>
      </w:r>
      <w:r>
        <w:rPr>
          <w:snapToGrid w:val="0"/>
        </w:rPr>
        <w:t>дительно продемонстрировало, что вирус обнаруживается в крови, секр</w:t>
      </w:r>
      <w:r>
        <w:rPr>
          <w:snapToGrid w:val="0"/>
        </w:rPr>
        <w:t>е</w:t>
      </w:r>
      <w:r>
        <w:rPr>
          <w:snapToGrid w:val="0"/>
        </w:rPr>
        <w:t>тах и экскретах уже через 8-10 часов после заражения. При этом одновр</w:t>
      </w:r>
      <w:r>
        <w:rPr>
          <w:snapToGrid w:val="0"/>
        </w:rPr>
        <w:t>е</w:t>
      </w:r>
      <w:r>
        <w:rPr>
          <w:snapToGrid w:val="0"/>
        </w:rPr>
        <w:t>менно происходит уменьшение количества лейкоцитов в крови, особенно Т- и В-лимфоцитов. Прогрессирующая лейкопения отм</w:t>
      </w:r>
      <w:r>
        <w:rPr>
          <w:snapToGrid w:val="0"/>
        </w:rPr>
        <w:t>е</w:t>
      </w:r>
      <w:r>
        <w:rPr>
          <w:snapToGrid w:val="0"/>
        </w:rPr>
        <w:t>чалась у животных до их гибели. Через 6-7 дней в крови у животных оставалось лишь 20% лейкоцитов.</w:t>
      </w:r>
    </w:p>
    <w:p w:rsidR="00D75866" w:rsidRDefault="00F4654E">
      <w:pPr>
        <w:pStyle w:val="a6"/>
        <w:rPr>
          <w:snapToGrid w:val="0"/>
        </w:rPr>
      </w:pPr>
      <w:r>
        <w:rPr>
          <w:snapToGrid w:val="0"/>
        </w:rPr>
        <w:t>Иммунодепрессивным действием обладает также внешнее гамма-облучение. Различные дозы гамма-облучения оказывают супрессирующее действие на иммунную систему (В.А.Киршин, 1980; Р.X. Юсупов, 1981 и др.). Летальной для мышей является доза 9-10 Гр (в зависимости от линии мышей). Эту дозу обычно применяют для полного подавления иммунит</w:t>
      </w:r>
      <w:r>
        <w:rPr>
          <w:snapToGrid w:val="0"/>
        </w:rPr>
        <w:t>е</w:t>
      </w:r>
      <w:r>
        <w:rPr>
          <w:snapToGrid w:val="0"/>
        </w:rPr>
        <w:t>та, например, при получении радиационных химер (Onocetal,1980).</w:t>
      </w:r>
    </w:p>
    <w:p w:rsidR="00F4654E" w:rsidRDefault="00F4654E">
      <w:pPr>
        <w:pStyle w:val="a6"/>
        <w:rPr>
          <w:snapToGrid w:val="0"/>
        </w:rPr>
      </w:pPr>
      <w:r>
        <w:rPr>
          <w:snapToGrid w:val="0"/>
        </w:rPr>
        <w:t>Доза 4,5-5 Гр является сублетальной, подавляет преимущественно Т-клеточный иммунитет, часто применяется при системном адаптивном п</w:t>
      </w:r>
      <w:r>
        <w:rPr>
          <w:snapToGrid w:val="0"/>
        </w:rPr>
        <w:t>е</w:t>
      </w:r>
      <w:r>
        <w:rPr>
          <w:snapToGrid w:val="0"/>
        </w:rPr>
        <w:t>реносе иммунитета, (Seffort, 1983). Из лимфоидных клеток наибольшей чувствительн</w:t>
      </w:r>
      <w:r>
        <w:rPr>
          <w:snapToGrid w:val="0"/>
        </w:rPr>
        <w:t>о</w:t>
      </w:r>
      <w:r>
        <w:rPr>
          <w:snapToGrid w:val="0"/>
        </w:rPr>
        <w:t>стью к облучению обладают Т-супрессоры (1,5-2 Гр).</w:t>
      </w:r>
    </w:p>
    <w:p w:rsidR="00F4654E" w:rsidRDefault="00F4654E">
      <w:pPr>
        <w:pStyle w:val="a6"/>
        <w:rPr>
          <w:snapToGrid w:val="0"/>
        </w:rPr>
      </w:pPr>
      <w:r>
        <w:rPr>
          <w:snapToGrid w:val="0"/>
        </w:rPr>
        <w:t>К одним из наиболее широко применяемых иммунодепрессантов о</w:t>
      </w:r>
      <w:r>
        <w:rPr>
          <w:snapToGrid w:val="0"/>
        </w:rPr>
        <w:t>т</w:t>
      </w:r>
      <w:r>
        <w:rPr>
          <w:snapToGrid w:val="0"/>
        </w:rPr>
        <w:t>носится циклофосфан, который является алкирующим цитотоксическим препаратом. Его введение в достаточно высоких дозах (более 300 мг/кг) вместе с антигеном, индуцирующим иммунологическую толерантность, использование меньших доз циклофосфана или антигена может привести к подавлению иммунитета (Л.Н. Фонтамин и др., 1978).</w:t>
      </w:r>
    </w:p>
    <w:p w:rsidR="00F4654E" w:rsidRDefault="00F4654E">
      <w:pPr>
        <w:pStyle w:val="a6"/>
        <w:rPr>
          <w:snapToGrid w:val="0"/>
        </w:rPr>
      </w:pPr>
      <w:r>
        <w:rPr>
          <w:snapToGrid w:val="0"/>
        </w:rPr>
        <w:t>Таким образом, вторичный иммунодефицит у животных возникает под действием различных факторов, что требует применения иммуном</w:t>
      </w:r>
      <w:r>
        <w:rPr>
          <w:snapToGrid w:val="0"/>
        </w:rPr>
        <w:t>о</w:t>
      </w:r>
      <w:r>
        <w:rPr>
          <w:snapToGrid w:val="0"/>
        </w:rPr>
        <w:t>дуляторов  для повышения их иммунологического статуса.</w:t>
      </w:r>
    </w:p>
    <w:p w:rsidR="00D75866" w:rsidRDefault="00D75866">
      <w:pPr>
        <w:pStyle w:val="a4"/>
      </w:pPr>
    </w:p>
    <w:p w:rsidR="00D75866" w:rsidRDefault="00D75866">
      <w:pPr>
        <w:pStyle w:val="a4"/>
      </w:pPr>
    </w:p>
    <w:p w:rsidR="00F4654E" w:rsidRDefault="00F4654E">
      <w:pPr>
        <w:pStyle w:val="a4"/>
      </w:pPr>
      <w:r>
        <w:lastRenderedPageBreak/>
        <w:t>УДК 619.618.177-636</w:t>
      </w:r>
    </w:p>
    <w:p w:rsidR="00F4654E" w:rsidRDefault="00F4654E">
      <w:pPr>
        <w:pStyle w:val="1"/>
      </w:pPr>
      <w:bookmarkStart w:id="6482" w:name="_Toc10731690"/>
      <w:bookmarkStart w:id="6483" w:name="_Toc11138177"/>
      <w:bookmarkStart w:id="6484" w:name="_Toc11138595"/>
      <w:bookmarkStart w:id="6485" w:name="_Toc11139013"/>
      <w:bookmarkStart w:id="6486" w:name="_Toc11139431"/>
      <w:bookmarkStart w:id="6487" w:name="_Toc11139849"/>
      <w:bookmarkStart w:id="6488" w:name="_Toc11140267"/>
      <w:bookmarkStart w:id="6489" w:name="_Toc11140685"/>
      <w:bookmarkStart w:id="6490" w:name="_Toc11390779"/>
      <w:bookmarkStart w:id="6491" w:name="_Toc11840468"/>
      <w:bookmarkStart w:id="6492" w:name="_Toc11938004"/>
      <w:r>
        <w:t>Влияние наружного вибромассажа на физиологические показатели коров</w:t>
      </w:r>
      <w:bookmarkEnd w:id="6482"/>
      <w:bookmarkEnd w:id="6483"/>
      <w:bookmarkEnd w:id="6484"/>
      <w:bookmarkEnd w:id="6485"/>
      <w:bookmarkEnd w:id="6486"/>
      <w:bookmarkEnd w:id="6487"/>
      <w:bookmarkEnd w:id="6488"/>
      <w:bookmarkEnd w:id="6489"/>
      <w:bookmarkEnd w:id="6490"/>
      <w:bookmarkEnd w:id="6491"/>
      <w:bookmarkEnd w:id="6492"/>
    </w:p>
    <w:p w:rsidR="00F4654E" w:rsidRDefault="00F4654E">
      <w:pPr>
        <w:pStyle w:val="2"/>
      </w:pPr>
      <w:bookmarkStart w:id="6493" w:name="_Toc10731691"/>
      <w:bookmarkStart w:id="6494" w:name="_Toc11032452"/>
      <w:bookmarkStart w:id="6495" w:name="_Toc11138178"/>
      <w:bookmarkStart w:id="6496" w:name="_Toc11138596"/>
      <w:bookmarkStart w:id="6497" w:name="_Toc11139014"/>
      <w:bookmarkStart w:id="6498" w:name="_Toc11139432"/>
      <w:bookmarkStart w:id="6499" w:name="_Toc11139850"/>
      <w:bookmarkStart w:id="6500" w:name="_Toc11140268"/>
      <w:bookmarkStart w:id="6501" w:name="_Toc11140686"/>
      <w:bookmarkStart w:id="6502" w:name="_Toc11390780"/>
      <w:bookmarkStart w:id="6503" w:name="_Toc11938005"/>
      <w:r>
        <w:t>Юшков Ю. Г.</w:t>
      </w:r>
      <w:bookmarkEnd w:id="6493"/>
      <w:bookmarkEnd w:id="6494"/>
      <w:bookmarkEnd w:id="6495"/>
      <w:bookmarkEnd w:id="6496"/>
      <w:bookmarkEnd w:id="6497"/>
      <w:bookmarkEnd w:id="6498"/>
      <w:bookmarkEnd w:id="6499"/>
      <w:bookmarkEnd w:id="6500"/>
      <w:bookmarkEnd w:id="6501"/>
      <w:bookmarkEnd w:id="6502"/>
      <w:bookmarkEnd w:id="6503"/>
    </w:p>
    <w:p w:rsidR="00F4654E" w:rsidRDefault="00F4654E">
      <w:pPr>
        <w:pStyle w:val="a5"/>
      </w:pPr>
      <w:r>
        <w:t>Институт экспериментальной ветеринарии Сибири и Дальнего Востока.</w:t>
      </w:r>
    </w:p>
    <w:p w:rsidR="00F4654E" w:rsidRDefault="00F4654E">
      <w:pPr>
        <w:pStyle w:val="a6"/>
      </w:pPr>
      <w:r>
        <w:t>На фермах России широко распространены акушерско-гинекологичес-кие болезни и маститы, низка эффективность воспроизводства стада. Те</w:t>
      </w:r>
      <w:r>
        <w:t>х</w:t>
      </w:r>
      <w:r>
        <w:t>нологические и специфические меры их профилактики и лечения, инте</w:t>
      </w:r>
      <w:r>
        <w:t>н</w:t>
      </w:r>
      <w:r>
        <w:t>сификация воспроизводства дороги и реализуются слабо. В связи с этим, перспективны безмедикаментозные, экологически чистые методы, гла</w:t>
      </w:r>
      <w:r>
        <w:t>в</w:t>
      </w:r>
      <w:r>
        <w:t>ным образом аппаратной физиотерапии, интенсивно разрабатываемые от</w:t>
      </w:r>
      <w:r>
        <w:t>е</w:t>
      </w:r>
      <w:r>
        <w:t>чественной наукой.</w:t>
      </w:r>
    </w:p>
    <w:p w:rsidR="00F4654E" w:rsidRDefault="00F4654E">
      <w:pPr>
        <w:pStyle w:val="a6"/>
      </w:pPr>
      <w:r>
        <w:t>В последние годы нами проведены всесторонние исследования по и</w:t>
      </w:r>
      <w:r>
        <w:t>с</w:t>
      </w:r>
      <w:r>
        <w:t>пользованию в ветеринарии и животноводстве наружного вибромассажа рефлексогенных зон специальными виброэлектромассажерами с целью стимуляции воспроизводительной и других функций самок, профилактики и лечения акушерско-гинекологических болезней и маститов. Важнейшей предпосылкой ожидаемого эффективного лечебно-профилактического и стимулирующего действия наружного вибромассажа при использовании в животноводстве и ветеринарии являлись экспериментальные данные ко</w:t>
      </w:r>
      <w:r>
        <w:t>м</w:t>
      </w:r>
      <w:r>
        <w:t>плексных исследований в медицине. Нами в опытах изучены некоторые вопросы механизма действия на организм коров наружного вибромассажа рефлексогенной пояснично-крестцовой зоны и его безвредность.</w:t>
      </w:r>
    </w:p>
    <w:p w:rsidR="00F4654E" w:rsidRDefault="00F4654E">
      <w:pPr>
        <w:pStyle w:val="a6"/>
      </w:pPr>
      <w:r>
        <w:t>При проведении опытов были использованы аппараты для виброма</w:t>
      </w:r>
      <w:r>
        <w:t>с</w:t>
      </w:r>
      <w:r>
        <w:t>сажа "Санатор" ("Вэлмас"). Сократительную способность матки у здор</w:t>
      </w:r>
      <w:r>
        <w:t>о</w:t>
      </w:r>
      <w:r>
        <w:t>вых коров в охоте при вибромассаже с целью повышения оплодотворяем</w:t>
      </w:r>
      <w:r>
        <w:t>о</w:t>
      </w:r>
      <w:r>
        <w:t>сти регистрировали при оценке по уровню внутриматочного давления да</w:t>
      </w:r>
      <w:r>
        <w:t>т</w:t>
      </w:r>
      <w:r>
        <w:t>чиками специального аппарата при профилактическом вибромассаже н</w:t>
      </w:r>
      <w:r>
        <w:t>о</w:t>
      </w:r>
      <w:r>
        <w:t>вотельных коров. Биохимические показатели крови определяли по униф</w:t>
      </w:r>
      <w:r>
        <w:t>и</w:t>
      </w:r>
      <w:r>
        <w:t>цированным методикам. Уровень гормонов в сыворотке крови определяли радиоиммунологическим методом.</w:t>
      </w:r>
    </w:p>
    <w:p w:rsidR="00F4654E" w:rsidRDefault="00F4654E">
      <w:pPr>
        <w:pStyle w:val="a6"/>
      </w:pPr>
      <w:r>
        <w:t>В опыте</w:t>
      </w:r>
      <w:r>
        <w:rPr>
          <w:b/>
        </w:rPr>
        <w:t xml:space="preserve"> </w:t>
      </w:r>
      <w:r>
        <w:t>на</w:t>
      </w:r>
      <w:r>
        <w:rPr>
          <w:b/>
        </w:rPr>
        <w:t xml:space="preserve"> </w:t>
      </w:r>
      <w:r>
        <w:t>новотельных коровах - первотелках провели сравнител</w:t>
      </w:r>
      <w:r>
        <w:t>ь</w:t>
      </w:r>
      <w:r>
        <w:t>ное изучение уровня половых, тиреоидных гормонов и кортизола в период охоты и искусственного осеменения опытных животных (вибромассаж в процессе искусственного осеменения с целью повышения оплодотворя</w:t>
      </w:r>
      <w:r>
        <w:t>е</w:t>
      </w:r>
      <w:r>
        <w:t>мости) и контрольные аналогов. Кровь исследовали в стадии возбуждения полового цикла за один час до искусственного осеменения, через 1 ч и 48 ч после него. Установлено, что уровень эстрадиола до осеменения опытных и контрольных коров не имел достоверных различий, а через 1 ч после н</w:t>
      </w:r>
      <w:r>
        <w:t>е</w:t>
      </w:r>
      <w:r>
        <w:t>го у опытных животных составлял 0,4 нг/мл, через 48 ч - 0,5 нг/мл, что с</w:t>
      </w:r>
      <w:r>
        <w:t>о</w:t>
      </w:r>
      <w:r>
        <w:t>ответственно в 4 и 2,2 раза выше, чем у контрольных (Р разности &lt; 0,05). Количество кортизола у опытных и контрольных коров не имело дост</w:t>
      </w:r>
      <w:r>
        <w:t>о</w:t>
      </w:r>
      <w:r>
        <w:lastRenderedPageBreak/>
        <w:t>верных различий, т.е. вибромассаж не оказывал стрессового воздействия. Уровень прогестерона и трийодтироксина у через 1 и 48 ч и индекс Т</w:t>
      </w:r>
      <w:r>
        <w:rPr>
          <w:vertAlign w:val="subscript"/>
        </w:rPr>
        <w:t>3</w:t>
      </w:r>
      <w:r>
        <w:t>/Т</w:t>
      </w:r>
      <w:r>
        <w:rPr>
          <w:vertAlign w:val="subscript"/>
        </w:rPr>
        <w:t>4</w:t>
      </w:r>
      <w:r>
        <w:t xml:space="preserve"> после вибромассажа был более выраженным, чем у контрольных коров.</w:t>
      </w:r>
    </w:p>
    <w:p w:rsidR="00F4654E" w:rsidRDefault="00F4654E">
      <w:pPr>
        <w:pStyle w:val="a6"/>
      </w:pPr>
      <w:r>
        <w:t>Полученные данные, указывающие на  повышение уровня половых и тиреоидных гормонов под влиянием наружного вибромассажа в экспер</w:t>
      </w:r>
      <w:r>
        <w:t>и</w:t>
      </w:r>
      <w:r>
        <w:t>ментальных режимах с целью повышения оплодотворяемости свидетел</w:t>
      </w:r>
      <w:r>
        <w:t>ь</w:t>
      </w:r>
      <w:r>
        <w:t>ствуют о его стимулирующем влиянии на гипоталамо-гипофизарную си</w:t>
      </w:r>
      <w:r>
        <w:t>с</w:t>
      </w:r>
      <w:r>
        <w:t>тему, функции яичников и щитовидной железы.</w:t>
      </w:r>
    </w:p>
    <w:p w:rsidR="00F4654E" w:rsidRDefault="00F4654E">
      <w:pPr>
        <w:pStyle w:val="a6"/>
      </w:pPr>
      <w:r>
        <w:t>В опытах при изучении уровня половых гормонов у новотельных к</w:t>
      </w:r>
      <w:r>
        <w:t>о</w:t>
      </w:r>
      <w:r>
        <w:t>ров, подвергнутых вибромассажу с 14 по 21-й дни после отела с целью стимуляции охоты, установлено, что количество прогестерона в их крови было выше, чем у контрольных аналогов через сутки на 0,65 нг/мл, в пе</w:t>
      </w:r>
      <w:r>
        <w:t>р</w:t>
      </w:r>
      <w:r>
        <w:t>вый день охоты на 0,71 нг/мл (Р&lt;0,05). Количество тестостерона у них б</w:t>
      </w:r>
      <w:r>
        <w:t>ы</w:t>
      </w:r>
      <w:r>
        <w:t>ло выше, соответственно, на 0,075 нг/мл, количество эстрадиола сниж</w:t>
      </w:r>
      <w:r>
        <w:t>а</w:t>
      </w:r>
      <w:r>
        <w:t>лось более выражено, чем у контрольных коров, т.е. установлена выраже</w:t>
      </w:r>
      <w:r>
        <w:t>н</w:t>
      </w:r>
      <w:r>
        <w:t xml:space="preserve">ная ответная реакция организма по выработке половых гормонов.                </w:t>
      </w:r>
    </w:p>
    <w:p w:rsidR="00F4654E" w:rsidRDefault="00F4654E">
      <w:pPr>
        <w:pStyle w:val="a6"/>
      </w:pPr>
      <w:r>
        <w:t>В опытах при оценке экспериментальных режимов стимуляции мол</w:t>
      </w:r>
      <w:r>
        <w:t>о</w:t>
      </w:r>
      <w:r>
        <w:t>коотдачи у дойных коров путем наружного вибромассажа рефлексогенной зоны в определенных режимах по частоте, амплитуде и продолжительн</w:t>
      </w:r>
      <w:r>
        <w:t>о</w:t>
      </w:r>
      <w:r>
        <w:t>сти циклов "вибрация/пауза" выявлено, что вибромассаж после машинного доения, додоя и ручного додоя вызывает дополнительное молокоотделение у 100% коров, выявляемое после вибрационного воздействия повторным ручным додоем. Он составил 153</w:t>
      </w:r>
      <w:r>
        <w:sym w:font="Symbol" w:char="F0B1"/>
      </w:r>
      <w:r>
        <w:t>14 мл, или 81,4% первого ручного додоя после машинного доения. Указанные результаты свидетельствуют о выр</w:t>
      </w:r>
      <w:r>
        <w:t>а</w:t>
      </w:r>
      <w:r>
        <w:t>женном стимулирующем влиянии вибромассажа на сократительную фун</w:t>
      </w:r>
      <w:r>
        <w:t>к</w:t>
      </w:r>
      <w:r>
        <w:t>цию миоэпителия альвеол, молочных канальцев и цистерн, на образование и выделение молока.</w:t>
      </w:r>
    </w:p>
    <w:p w:rsidR="00F4654E" w:rsidRDefault="00F4654E">
      <w:pPr>
        <w:pStyle w:val="a6"/>
      </w:pPr>
      <w:r>
        <w:t>При изучении в динамике уровня гормона гипофиза окситоцина при экспериментальном вибромассаже пояснично-крестцовой зоны с целью стимуляции молокоотдачи установили, что в крови коров до начала ви</w:t>
      </w:r>
      <w:r>
        <w:t>б</w:t>
      </w:r>
      <w:r>
        <w:t>ромассажа и типовых процедур по подготовке вымени к доению ( подм</w:t>
      </w:r>
      <w:r>
        <w:t>ы</w:t>
      </w:r>
      <w:r>
        <w:t xml:space="preserve">вание, одевание стаканов и др.) уровень окситоцина составил 8,6 ±2,6 пкг/мл. Через 1 мин. после начала вибромассажа составил 18,2 </w:t>
      </w:r>
      <w:r>
        <w:rPr>
          <w:i/>
        </w:rPr>
        <w:t xml:space="preserve">± </w:t>
      </w:r>
      <w:r>
        <w:t>1,66 пкг/мл или возрос в 2,1 раза (Р&lt; 0,05), через 3 мин.-17,8 ± 4,6, а через 5 мин. 7,65 ± 3,0 пкг/мл, что достоверно ниже уровня через 1 и 3 мин. после вибрационного воздействия.</w:t>
      </w:r>
    </w:p>
    <w:p w:rsidR="00F4654E" w:rsidRDefault="00F4654E">
      <w:pPr>
        <w:pStyle w:val="a6"/>
      </w:pPr>
      <w:r>
        <w:t>Таким образом, вибромассаж пояснично-крестцовой рефлексогенной зоны коров в экспериментальном режиме вызывает рефлекторно усиле</w:t>
      </w:r>
      <w:r>
        <w:t>н</w:t>
      </w:r>
      <w:r>
        <w:t>ную секрецию окситоцина, количество которого закономерно повышается уже через 1 мин. и поддерживается на высоком уровне в течении 3 минут, что безусловно обеспечивает активную молокоотдачу в указанные сроки. У опытных коров, по сравнению с аналогами без вибромассажа, был до</w:t>
      </w:r>
      <w:r>
        <w:t>с</w:t>
      </w:r>
      <w:r>
        <w:lastRenderedPageBreak/>
        <w:t>товерно выше на 0,76 кг суточный удой и скорость молокоотдачи, ниже число раздражении вымени на 7,6%, субклинического мастита на 16,7%.</w:t>
      </w:r>
    </w:p>
    <w:p w:rsidR="00F4654E" w:rsidRDefault="00F4654E">
      <w:pPr>
        <w:pStyle w:val="a6"/>
      </w:pPr>
      <w:r>
        <w:t>В опытах по оценке влияния наружного вибромассажа коров с целью стимуляции овуляции немедленно при наступлении признаков течки и п</w:t>
      </w:r>
      <w:r>
        <w:t>о</w:t>
      </w:r>
      <w:r>
        <w:t>вторно при осеменении в наступившую охоту наряду с увеличением числа овуляций на 26,7% по сравнению с контрольными аналогами без вибр</w:t>
      </w:r>
      <w:r>
        <w:t>о</w:t>
      </w:r>
      <w:r>
        <w:t>массажа, установлены повышение уровня эстрадиола и прогестерона.</w:t>
      </w:r>
    </w:p>
    <w:p w:rsidR="00F4654E" w:rsidRDefault="00F4654E">
      <w:pPr>
        <w:pStyle w:val="a6"/>
      </w:pPr>
      <w:r>
        <w:t>Наружный вибромассаж пояснично-крестцовой рефлексогенной зоны у новотельных коров с 3-го дня после отела с целью профилактики посл</w:t>
      </w:r>
      <w:r>
        <w:t>е</w:t>
      </w:r>
      <w:r>
        <w:t>родовых субинволюций и эндометритов, вызывает у коров сокращения матки длительностью 6-8 секунд, амплитудой 12-18 см/водного столба и паузой между сокращениями 8-11 сек. с существенным повышением вну</w:t>
      </w:r>
      <w:r>
        <w:t>т</w:t>
      </w:r>
      <w:r>
        <w:t>риматочного давления.</w:t>
      </w:r>
    </w:p>
    <w:p w:rsidR="00F4654E" w:rsidRDefault="00F4654E">
      <w:pPr>
        <w:pStyle w:val="a6"/>
      </w:pPr>
      <w:r>
        <w:t>При вибропрофилактике послеродовых патологий у коров установили по сравнению с контрольными животными повышение уровня фагоцитоза по суммарному эффекту поглощения на 1,0 тыс./мм, средней поглотител</w:t>
      </w:r>
      <w:r>
        <w:t>ь</w:t>
      </w:r>
      <w:r>
        <w:t>ной способности нейтрофилов, а также повышение уровня нормальных г</w:t>
      </w:r>
      <w:r>
        <w:t>е</w:t>
      </w:r>
      <w:r>
        <w:t>молизинов, общей гемолитической активности сыворотки крови и резер</w:t>
      </w:r>
      <w:r>
        <w:t>в</w:t>
      </w:r>
      <w:r>
        <w:t>ной щелочности.</w:t>
      </w:r>
    </w:p>
    <w:p w:rsidR="00F4654E" w:rsidRDefault="00F4654E">
      <w:pPr>
        <w:pStyle w:val="a6"/>
      </w:pPr>
      <w:r>
        <w:t>При вибротерапии мастита, задержания последа, профилактике энд</w:t>
      </w:r>
      <w:r>
        <w:t>о</w:t>
      </w:r>
      <w:r>
        <w:t>метрита у коров установлены видовой состав микрофлоры, снижение о</w:t>
      </w:r>
      <w:r>
        <w:t>б</w:t>
      </w:r>
      <w:r>
        <w:t>щей бактериальной обсемененности молока и маточного содержимого, о</w:t>
      </w:r>
      <w:r>
        <w:t>т</w:t>
      </w:r>
      <w:r>
        <w:t>носительного числа в них патогенных микроорганизмов, что уменьшает роль условно патогенной микрофлоры в их патогенезе.</w:t>
      </w:r>
    </w:p>
    <w:p w:rsidR="00F4654E" w:rsidRDefault="00F4654E">
      <w:pPr>
        <w:pStyle w:val="a6"/>
      </w:pPr>
      <w:r>
        <w:t>При оценке влияния указанных выше и других способов применения наружного вибромассажа специальными аппаратами типа "Санатор" ("Вэлмас") при однократном и многократном воздействии на организм и физиологическое состояние коров и овец, установили, что они не оказ</w:t>
      </w:r>
      <w:r>
        <w:t>ы</w:t>
      </w:r>
      <w:r>
        <w:t>вают отрицательного воздействия, т.е. безвредны. Отсутствовали выр</w:t>
      </w:r>
      <w:r>
        <w:t>а</w:t>
      </w:r>
      <w:r>
        <w:t>женная реакция на месте фиксации насадки аппарата, выраженное влияние на температуру тела, частоту пульса, дыхания, габитус, поедаемость ко</w:t>
      </w:r>
      <w:r>
        <w:t>р</w:t>
      </w:r>
      <w:r>
        <w:t>мов, суточный удой у коров и гематологические показатели.</w:t>
      </w:r>
    </w:p>
    <w:p w:rsidR="00F4654E" w:rsidRDefault="00F4654E">
      <w:pPr>
        <w:pStyle w:val="a6"/>
      </w:pPr>
      <w:r>
        <w:t>Таким образом, наружный вибромассаж пояснично-крестцовой зоны специальным аппаратом "Вэлмас" ("Санатор") по разработанным нами м</w:t>
      </w:r>
      <w:r>
        <w:t>е</w:t>
      </w:r>
      <w:r>
        <w:t>тодикам и режимам безвреден, оказывает стимулирующее влияние на с</w:t>
      </w:r>
      <w:r>
        <w:t>о</w:t>
      </w:r>
      <w:r>
        <w:t>кратительную функцию матки и миоэпителия вымени, выработку половых и тиреоидных гормонов, гемопоэз, уровень клеточных и гуморальных п</w:t>
      </w:r>
      <w:r>
        <w:t>о</w:t>
      </w:r>
      <w:r>
        <w:t>казателей естественной резистентности и обмен веществ. Это обеспечивает высокий стимулирующий, профилактический и терапевтический эффект разработанных нами способов его применения с целью стимуляции охоты, овуляции, оплодотворяемости и многоплодия самок сельскохозяйственных животных, профилактики и терапии мастита, задержания последа, суби</w:t>
      </w:r>
      <w:r>
        <w:t>н</w:t>
      </w:r>
      <w:r>
        <w:t xml:space="preserve">волюции и эндометрита, дисфункций яичников и других болезней. </w:t>
      </w:r>
    </w:p>
    <w:p w:rsidR="00F4654E" w:rsidRDefault="00F4654E">
      <w:pPr>
        <w:pStyle w:val="a4"/>
      </w:pPr>
      <w:r>
        <w:lastRenderedPageBreak/>
        <w:t>УДК 636.5.085.12</w:t>
      </w:r>
    </w:p>
    <w:p w:rsidR="00F4654E" w:rsidRDefault="00F4654E">
      <w:pPr>
        <w:pStyle w:val="1"/>
      </w:pPr>
      <w:bookmarkStart w:id="6504" w:name="_Toc11138179"/>
      <w:bookmarkStart w:id="6505" w:name="_Toc11138597"/>
      <w:bookmarkStart w:id="6506" w:name="_Toc11139015"/>
      <w:bookmarkStart w:id="6507" w:name="_Toc11139433"/>
      <w:bookmarkStart w:id="6508" w:name="_Toc11139851"/>
      <w:bookmarkStart w:id="6509" w:name="_Toc11140269"/>
      <w:bookmarkStart w:id="6510" w:name="_Toc11140687"/>
      <w:bookmarkStart w:id="6511" w:name="_Toc11390781"/>
      <w:bookmarkStart w:id="6512" w:name="_Toc11840470"/>
      <w:bookmarkStart w:id="6513" w:name="_Toc11938006"/>
      <w:r>
        <w:t>Изучение токсичности аурола – адаптогена нового поколения</w:t>
      </w:r>
      <w:bookmarkEnd w:id="6504"/>
      <w:bookmarkEnd w:id="6505"/>
      <w:bookmarkEnd w:id="6506"/>
      <w:bookmarkEnd w:id="6507"/>
      <w:bookmarkEnd w:id="6508"/>
      <w:bookmarkEnd w:id="6509"/>
      <w:bookmarkEnd w:id="6510"/>
      <w:bookmarkEnd w:id="6511"/>
      <w:bookmarkEnd w:id="6512"/>
      <w:bookmarkEnd w:id="6513"/>
    </w:p>
    <w:p w:rsidR="00F4654E" w:rsidRDefault="00F4654E">
      <w:pPr>
        <w:pStyle w:val="2"/>
      </w:pPr>
      <w:bookmarkStart w:id="6514" w:name="_Toc11032453"/>
      <w:bookmarkStart w:id="6515" w:name="_Toc11138180"/>
      <w:bookmarkStart w:id="6516" w:name="_Toc11138598"/>
      <w:bookmarkStart w:id="6517" w:name="_Toc11139016"/>
      <w:bookmarkStart w:id="6518" w:name="_Toc11139434"/>
      <w:bookmarkStart w:id="6519" w:name="_Toc11139852"/>
      <w:bookmarkStart w:id="6520" w:name="_Toc11140270"/>
      <w:bookmarkStart w:id="6521" w:name="_Toc11140688"/>
      <w:bookmarkStart w:id="6522" w:name="_Toc11390782"/>
      <w:bookmarkStart w:id="6523" w:name="_Toc11938007"/>
      <w:r>
        <w:t>Юшков Ю.Г., Донченко О.А., Панова Н.Е., Брыкина Л.И.*</w:t>
      </w:r>
      <w:bookmarkEnd w:id="6514"/>
      <w:bookmarkEnd w:id="6515"/>
      <w:bookmarkEnd w:id="6516"/>
      <w:bookmarkEnd w:id="6517"/>
      <w:bookmarkEnd w:id="6518"/>
      <w:bookmarkEnd w:id="6519"/>
      <w:bookmarkEnd w:id="6520"/>
      <w:bookmarkEnd w:id="6521"/>
      <w:bookmarkEnd w:id="6522"/>
      <w:bookmarkEnd w:id="6523"/>
    </w:p>
    <w:p w:rsidR="00F4654E" w:rsidRDefault="00F4654E">
      <w:pPr>
        <w:pStyle w:val="a5"/>
      </w:pPr>
      <w:r>
        <w:t>Институт экспериментальной ветеринарии Сибири и Дальнего Востока СО РАСХН *Хабаровский государственный университет им. Н.Ф. Катанова</w:t>
      </w:r>
    </w:p>
    <w:p w:rsidR="00F4654E" w:rsidRDefault="00F4654E">
      <w:pPr>
        <w:pStyle w:val="a6"/>
      </w:pPr>
      <w:r>
        <w:t>В период адаптации к промышленным условиям выращивания орг</w:t>
      </w:r>
      <w:r>
        <w:t>а</w:t>
      </w:r>
      <w:r>
        <w:t>низм птицы испытывает многочисленные стрессовые воздействия. При п</w:t>
      </w:r>
      <w:r>
        <w:t>е</w:t>
      </w:r>
      <w:r>
        <w:t xml:space="preserve">ремещение птиц у них появляются симптомы стресса, прогрессирующего при отлове, взвешивании, вакцинации и посадке в клетки. </w:t>
      </w:r>
    </w:p>
    <w:p w:rsidR="00F4654E" w:rsidRDefault="00F4654E">
      <w:pPr>
        <w:pStyle w:val="a6"/>
      </w:pPr>
      <w:r>
        <w:t>При изменении состава рациона в пищеварительном тракте птиц и</w:t>
      </w:r>
      <w:r>
        <w:t>з</w:t>
      </w:r>
      <w:r>
        <w:t>меняется ферментативный фон. Для того чтобы он пришел в соответствие с вновь введенными ингредиентами, организму необходимо какое-то вр</w:t>
      </w:r>
      <w:r>
        <w:t>е</w:t>
      </w:r>
      <w:r>
        <w:t>мя. В этот период птица находится в стрессовом состоянии, которое выр</w:t>
      </w:r>
      <w:r>
        <w:t>а</w:t>
      </w:r>
      <w:r>
        <w:t xml:space="preserve">жается в снижении потребления корма и продуктивности.  </w:t>
      </w:r>
    </w:p>
    <w:p w:rsidR="00F4654E" w:rsidRDefault="00F4654E">
      <w:pPr>
        <w:pStyle w:val="a6"/>
      </w:pPr>
      <w:r>
        <w:t>Поиск новых препаратов, обладающих адаптогенными стресс-коррек-торными свойствами является актуальным направлением ветеринарной фармакологии и отвечает запросам производства.</w:t>
      </w:r>
    </w:p>
    <w:p w:rsidR="00F4654E" w:rsidRDefault="00F4654E">
      <w:pPr>
        <w:pStyle w:val="a6"/>
      </w:pPr>
      <w:r>
        <w:t>В связи с этим заслуживает внимания аурол, обладающий, как показ</w:t>
      </w:r>
      <w:r>
        <w:t>а</w:t>
      </w:r>
      <w:r>
        <w:t>ли предварительные исследования, стресс - корректорным действием.</w:t>
      </w:r>
    </w:p>
    <w:p w:rsidR="00F4654E" w:rsidRDefault="00F4654E">
      <w:pPr>
        <w:pStyle w:val="a6"/>
      </w:pPr>
      <w:r>
        <w:t>Аурол – синтетический аналог природному препарату – адаптогену, полученному из Родиолы розовой (золотого корня); представляет собой кристаллический порошок от белого до светло-желтого цвета со слабым запахом фенола, хорошо растворим в воде, толуоле, хлороформе.</w:t>
      </w:r>
    </w:p>
    <w:p w:rsidR="00F4654E" w:rsidRDefault="00F4654E">
      <w:pPr>
        <w:pStyle w:val="a6"/>
      </w:pPr>
      <w:r>
        <w:t>Препарат синтезирован и налажено его экспериментальное произво</w:t>
      </w:r>
      <w:r>
        <w:t>д</w:t>
      </w:r>
      <w:r>
        <w:t>ство в институте органической химии СО РАН.</w:t>
      </w:r>
    </w:p>
    <w:p w:rsidR="00F4654E" w:rsidRDefault="00F4654E">
      <w:pPr>
        <w:pStyle w:val="a6"/>
      </w:pPr>
      <w:r>
        <w:t xml:space="preserve"> При изучении стресс-корректорных свойств препарата на уровне о</w:t>
      </w:r>
      <w:r>
        <w:t>р</w:t>
      </w:r>
      <w:r>
        <w:t>ганизма млекопитающих в экспериментах использовали 56 лабораторных мышей и 28 белых крыс. Программа испытаний включала в себя три лаб</w:t>
      </w:r>
      <w:r>
        <w:t>о</w:t>
      </w:r>
      <w:r>
        <w:t>раторных теста: плавание мышей с грузом 5% от массы тела, модель г</w:t>
      </w:r>
      <w:r>
        <w:t>и</w:t>
      </w:r>
      <w:r>
        <w:t>поксической гиперкапнии и реализацию норкового рефлекса у крыс.</w:t>
      </w:r>
    </w:p>
    <w:p w:rsidR="00F4654E" w:rsidRDefault="00F4654E">
      <w:pPr>
        <w:pStyle w:val="a6"/>
      </w:pPr>
      <w:r>
        <w:t>Результаты проведенных опытов показали, что внутреннее примен</w:t>
      </w:r>
      <w:r>
        <w:t>е</w:t>
      </w:r>
      <w:r>
        <w:t>ние адаптогена – аурола, способствовало увеличению продолжительности жизни опытных животных в условиях нарастающей гипоксии на 25,7%, повысило выносливость при эмоционально-физической нагрузки на 21%, а также сп</w:t>
      </w:r>
      <w:r>
        <w:t>о</w:t>
      </w:r>
      <w:r>
        <w:t>собствовало более быстрому восстановлению после нагрузки и существенно усиливало поведенческие навыки (5,7%) по сравнению с группой контрол</w:t>
      </w:r>
      <w:r>
        <w:t>ь</w:t>
      </w:r>
      <w:r>
        <w:t>ных животных. Это свидетельствует о том, что препарат аурол обладает значительными стресс - корректорными свойствами. В н</w:t>
      </w:r>
      <w:r>
        <w:t>а</w:t>
      </w:r>
      <w:r>
        <w:t>стоящее время пров</w:t>
      </w:r>
      <w:r>
        <w:t>о</w:t>
      </w:r>
      <w:r>
        <w:t>дится глубокое изучение свойств этого адаптогена, для дальнейшего его освоения в промышленном птицеводстве и животн</w:t>
      </w:r>
      <w:r>
        <w:t>о</w:t>
      </w:r>
      <w:r>
        <w:t>водстве.</w:t>
      </w:r>
    </w:p>
    <w:p w:rsidR="00F4654E" w:rsidRDefault="00F4654E">
      <w:pPr>
        <w:pStyle w:val="a6"/>
      </w:pPr>
      <w:r>
        <w:lastRenderedPageBreak/>
        <w:t>Экспериментальное исследование препарата включает в себя изучение терапевтической активности, токсичности (острой и субхронической), сп</w:t>
      </w:r>
      <w:r>
        <w:t>е</w:t>
      </w:r>
      <w:r>
        <w:t>цифической токсичности (мутагенного и тератогенного действия).</w:t>
      </w:r>
    </w:p>
    <w:p w:rsidR="00F4654E" w:rsidRDefault="00F4654E">
      <w:pPr>
        <w:pStyle w:val="a6"/>
      </w:pPr>
      <w:r>
        <w:t>На начальном этапе этих исследований были проведены опыты по о</w:t>
      </w:r>
      <w:r>
        <w:t>п</w:t>
      </w:r>
      <w:r>
        <w:t>ределению ЛД</w:t>
      </w:r>
      <w:r>
        <w:rPr>
          <w:vertAlign w:val="subscript"/>
        </w:rPr>
        <w:t xml:space="preserve">50 </w:t>
      </w:r>
      <w:r>
        <w:t xml:space="preserve"> препарата адаптогена – аурола на: курах-несушках 15 м</w:t>
      </w:r>
      <w:r>
        <w:t>е</w:t>
      </w:r>
      <w:r>
        <w:t>сячного возраста и 7-ми дневных эмбрионах кур. В первом опыте испол</w:t>
      </w:r>
      <w:r>
        <w:t>ь</w:t>
      </w:r>
      <w:r>
        <w:t>зовали 18 кур-несушек, разделенных по принципу аналогов на 3 группы (по 6 голов в каждой). За 12 часов до опыта животных лишали корма. А</w:t>
      </w:r>
      <w:r>
        <w:t>у</w:t>
      </w:r>
      <w:r>
        <w:t>рол предварительно растворяли в воде и при помощи зонда вводили в п</w:t>
      </w:r>
      <w:r>
        <w:t>и</w:t>
      </w:r>
      <w:r>
        <w:t>щеварительный тракт птицы в дозах 1 гр. – 6 г/кг, 2 гр. – 8 г/кг, 3  гр. – 10 г/кг.  На следующий день у птицы третьей группы наблюдали сонливость, взъерошенность перьевого покрова, отмечали профузный понос. Полн</w:t>
      </w:r>
      <w:r>
        <w:t>о</w:t>
      </w:r>
      <w:r>
        <w:t>стью отсутствовала реакция на внешние раздражители, прекратилась яйц</w:t>
      </w:r>
      <w:r>
        <w:t>е</w:t>
      </w:r>
      <w:r>
        <w:t>кладка. Во второй группе рег</w:t>
      </w:r>
      <w:r>
        <w:t>и</w:t>
      </w:r>
      <w:r>
        <w:t>стрировали профузный понос, отсутстви</w:t>
      </w:r>
      <w:r w:rsidR="004D0DFB">
        <w:t>е яйцекладки, нарушение в поеда</w:t>
      </w:r>
      <w:r>
        <w:t>емости корма не отмечали.</w:t>
      </w:r>
    </w:p>
    <w:p w:rsidR="00F4654E" w:rsidRDefault="00F4654E">
      <w:pPr>
        <w:pStyle w:val="a6"/>
      </w:pPr>
      <w:r>
        <w:t>В первой группе изменений не наблюдали, кроме диареи. К концу второго дня в третьей группе пало 3 головы. На вскрытии у всех птиц о</w:t>
      </w:r>
      <w:r>
        <w:t>т</w:t>
      </w:r>
      <w:r>
        <w:t>мечали переполнение кровеносных сосудов свернувшейся кровью темного цвета, сердце кровенаполнено, расширено, печень гиперемирована. В о</w:t>
      </w:r>
      <w:r>
        <w:t>д</w:t>
      </w:r>
      <w:r>
        <w:t>ном случае отмечали капиллярное кровоизлияние в желудке. У двух др</w:t>
      </w:r>
      <w:r>
        <w:t>у</w:t>
      </w:r>
      <w:r>
        <w:t>гих кур наблюдали гиперемию слизистой кишечника и яйцевода. У в</w:t>
      </w:r>
      <w:r>
        <w:t>ы</w:t>
      </w:r>
      <w:r>
        <w:t>живших кур в третьей группе в течение четырех дней после дачи препар</w:t>
      </w:r>
      <w:r>
        <w:t>а</w:t>
      </w:r>
      <w:r>
        <w:t>та регистрировали диарею.</w:t>
      </w:r>
    </w:p>
    <w:p w:rsidR="00F4654E" w:rsidRDefault="00F4654E">
      <w:pPr>
        <w:pStyle w:val="a6"/>
      </w:pPr>
      <w:r>
        <w:t>На пятый день у птиц всех групп отмечали нормализацию работы к</w:t>
      </w:r>
      <w:r>
        <w:t>и</w:t>
      </w:r>
      <w:r>
        <w:t>шечника, восстановление яйценоскости. У птиц третьей группы заметно улучшилось состояние перьевого покрова. На одиннадцатый день опыта оставшихся кур подвергли убою. При послеубойном осмотре тушек и внутре</w:t>
      </w:r>
      <w:r>
        <w:t>н</w:t>
      </w:r>
      <w:r>
        <w:t>них органов птиц никаких видимых патологических изменений не отмечали. По результатам опыта был проведен расчет ЛД</w:t>
      </w:r>
      <w:r>
        <w:rPr>
          <w:vertAlign w:val="subscript"/>
        </w:rPr>
        <w:t>50</w:t>
      </w:r>
      <w:r>
        <w:t xml:space="preserve"> по методу Литчфильда и Уилкоксона (1949). Таким образом ЛД</w:t>
      </w:r>
      <w:r>
        <w:rPr>
          <w:vertAlign w:val="subscript"/>
        </w:rPr>
        <w:t>50</w:t>
      </w:r>
      <w:r>
        <w:t xml:space="preserve"> для кур составляет 10 г/кг.</w:t>
      </w:r>
    </w:p>
    <w:p w:rsidR="00F4654E" w:rsidRDefault="00F4654E">
      <w:pPr>
        <w:pStyle w:val="a6"/>
      </w:pPr>
      <w:r>
        <w:t>Во втором опыте использовали 100 эмбрионов кур. Испытуемый пр</w:t>
      </w:r>
      <w:r>
        <w:t>е</w:t>
      </w:r>
      <w:r>
        <w:t>парат вводили в желточный мешок в различных дозах от 1 до 8 г/кг (по 10 эмбрионов на каждую дозу) в объеме 0,1 мл. Параллельно с этим эмбри</w:t>
      </w:r>
      <w:r>
        <w:t>о</w:t>
      </w:r>
      <w:r>
        <w:t>нам контрольной группы в желточный мешок вводили по 0,1 мл раствор</w:t>
      </w:r>
      <w:r>
        <w:t>и</w:t>
      </w:r>
      <w:r>
        <w:t>теля. Эмбрионы инкубировали в течение 14 дней по общепринятому р</w:t>
      </w:r>
      <w:r>
        <w:t>е</w:t>
      </w:r>
      <w:r>
        <w:t>жиму инкубации куриных яиц. Ежедневно путем овоскопирования учит</w:t>
      </w:r>
      <w:r>
        <w:t>ы</w:t>
      </w:r>
      <w:r>
        <w:t>вали гибель эмбрионов. Максимально переносимая доза составила 2 г/кг, ЛД</w:t>
      </w:r>
      <w:r>
        <w:rPr>
          <w:vertAlign w:val="subscript"/>
        </w:rPr>
        <w:t xml:space="preserve">50 </w:t>
      </w:r>
      <w:r>
        <w:t xml:space="preserve"> - 4,5 г/кг, абсолютно смертельная доза – 8 г/кг.   </w:t>
      </w:r>
    </w:p>
    <w:p w:rsidR="00F4654E" w:rsidRDefault="00F4654E">
      <w:pPr>
        <w:pStyle w:val="a6"/>
      </w:pPr>
      <w:r>
        <w:t xml:space="preserve">Проведенные исследования на курах-несушках и эмбрионах кур, а также раннее проведенные опыты по определению острой токсичности на лабораторных животных  подтверждают, что адаптоген – аурол относится </w:t>
      </w:r>
      <w:r>
        <w:lastRenderedPageBreak/>
        <w:t>к 4 группе (мало опасным препаратам) и его дальнейшее изучение и вн</w:t>
      </w:r>
      <w:r>
        <w:t>е</w:t>
      </w:r>
      <w:r>
        <w:t>дрение в промышленное  животноводство является актуальной задачей.</w:t>
      </w:r>
    </w:p>
    <w:p w:rsidR="00F4654E" w:rsidRDefault="00F4654E">
      <w:pPr>
        <w:pStyle w:val="a6"/>
      </w:pPr>
      <w:r>
        <w:t>Предварительные исследования свидетельствуют о высокой проф</w:t>
      </w:r>
      <w:r>
        <w:t>и</w:t>
      </w:r>
      <w:r>
        <w:t>лактической эффективности, повышении сохранности цыплят, увеличение яйценоскости и титров поствакцинальных антител у обработанных аур</w:t>
      </w:r>
      <w:r>
        <w:t>о</w:t>
      </w:r>
      <w:r>
        <w:t>лом птиц.</w:t>
      </w:r>
    </w:p>
    <w:p w:rsidR="00F4654E" w:rsidRDefault="00F4654E">
      <w:pPr>
        <w:pStyle w:val="a4"/>
      </w:pPr>
      <w:r>
        <w:t>УДК 619:597.08</w:t>
      </w:r>
    </w:p>
    <w:p w:rsidR="00F4654E" w:rsidRDefault="00F4654E">
      <w:pPr>
        <w:pStyle w:val="1"/>
        <w:rPr>
          <w:b w:val="0"/>
        </w:rPr>
      </w:pPr>
      <w:bookmarkStart w:id="6524" w:name="_Toc10731692"/>
      <w:bookmarkStart w:id="6525" w:name="_Toc11138181"/>
      <w:bookmarkStart w:id="6526" w:name="_Toc11138599"/>
      <w:bookmarkStart w:id="6527" w:name="_Toc11139017"/>
      <w:bookmarkStart w:id="6528" w:name="_Toc11139435"/>
      <w:bookmarkStart w:id="6529" w:name="_Toc11139853"/>
      <w:bookmarkStart w:id="6530" w:name="_Toc11140271"/>
      <w:bookmarkStart w:id="6531" w:name="_Toc11140689"/>
      <w:bookmarkStart w:id="6532" w:name="_Toc11390783"/>
      <w:bookmarkStart w:id="6533" w:name="_Toc11840472"/>
      <w:bookmarkStart w:id="6534" w:name="_Toc11938008"/>
      <w:r>
        <w:t>ПАТОМОРФОЛОГИЧЕСКИЕ ИЗМЕНЕНИЯ ВО ВНУТРЕННИХ ОРГАНАХ  ТЕЛЯТ ПРИ ЭКСПЕРИМЕНТАЛЬНОМ ЦИНОГЛОССОТОКСИКОЗЕ</w:t>
      </w:r>
      <w:bookmarkEnd w:id="6524"/>
      <w:bookmarkEnd w:id="6525"/>
      <w:bookmarkEnd w:id="6526"/>
      <w:bookmarkEnd w:id="6527"/>
      <w:bookmarkEnd w:id="6528"/>
      <w:bookmarkEnd w:id="6529"/>
      <w:bookmarkEnd w:id="6530"/>
      <w:bookmarkEnd w:id="6531"/>
      <w:bookmarkEnd w:id="6532"/>
      <w:bookmarkEnd w:id="6533"/>
      <w:bookmarkEnd w:id="6534"/>
    </w:p>
    <w:p w:rsidR="00F4654E" w:rsidRDefault="00F4654E">
      <w:pPr>
        <w:pStyle w:val="2"/>
      </w:pPr>
      <w:bookmarkStart w:id="6535" w:name="_Toc10731693"/>
      <w:bookmarkStart w:id="6536" w:name="_Toc11032454"/>
      <w:bookmarkStart w:id="6537" w:name="_Toc11138182"/>
      <w:bookmarkStart w:id="6538" w:name="_Toc11138600"/>
      <w:bookmarkStart w:id="6539" w:name="_Toc11139018"/>
      <w:bookmarkStart w:id="6540" w:name="_Toc11139436"/>
      <w:bookmarkStart w:id="6541" w:name="_Toc11139854"/>
      <w:bookmarkStart w:id="6542" w:name="_Toc11140272"/>
      <w:bookmarkStart w:id="6543" w:name="_Toc11140690"/>
      <w:bookmarkStart w:id="6544" w:name="_Toc11390784"/>
      <w:bookmarkStart w:id="6545" w:name="_Toc11938009"/>
      <w:r>
        <w:t>Яковлева Е.Г</w:t>
      </w:r>
      <w:bookmarkEnd w:id="6535"/>
      <w:bookmarkEnd w:id="6536"/>
      <w:bookmarkEnd w:id="6537"/>
      <w:bookmarkEnd w:id="6538"/>
      <w:bookmarkEnd w:id="6539"/>
      <w:bookmarkEnd w:id="6540"/>
      <w:bookmarkEnd w:id="6541"/>
      <w:bookmarkEnd w:id="6542"/>
      <w:bookmarkEnd w:id="6543"/>
      <w:bookmarkEnd w:id="6544"/>
      <w:bookmarkEnd w:id="6545"/>
    </w:p>
    <w:p w:rsidR="00F4654E" w:rsidRDefault="00F4654E">
      <w:pPr>
        <w:pStyle w:val="a5"/>
        <w:rPr>
          <w:i/>
        </w:rPr>
      </w:pPr>
      <w:r>
        <w:t>Белгородская государственная сельскохозяйственная академия</w:t>
      </w:r>
      <w:r>
        <w:rPr>
          <w:i/>
        </w:rPr>
        <w:t>.</w:t>
      </w:r>
    </w:p>
    <w:p w:rsidR="00F4654E" w:rsidRDefault="00F4654E">
      <w:pPr>
        <w:pStyle w:val="a6"/>
      </w:pPr>
      <w:r>
        <w:t>В научной литературе долгое время не было обстоятельных исслед</w:t>
      </w:r>
      <w:r>
        <w:t>о</w:t>
      </w:r>
      <w:r>
        <w:t>ваний по отравлению животных чернокорнем (Cynoglossum officinale), так как считается, что это растение - прежде всего лекарственное (применяется в народной медицине), а на пастбище не поедается из-за его специфич</w:t>
      </w:r>
      <w:r>
        <w:t>е</w:t>
      </w:r>
      <w:r>
        <w:t>ского запаха. В 50-70-е годы прошлого столетия появились отдельные с</w:t>
      </w:r>
      <w:r>
        <w:t>о</w:t>
      </w:r>
      <w:r>
        <w:t>общения о спонтанном отравлении овец и крупного рогатого скота в сл</w:t>
      </w:r>
      <w:r>
        <w:t>у</w:t>
      </w:r>
      <w:r>
        <w:t>чае поедания ими сена с примесью чернокорня. В последующем чернок</w:t>
      </w:r>
      <w:r>
        <w:t>о</w:t>
      </w:r>
      <w:r>
        <w:t>рень, как ядовитое растение, мало интересовал исследователей и лишь в последние 3-4 года эта проблема приобрела серьезный характер. Описаны массовые отравления чернокорнем не только крупного рогатого скота, но и лошадей (Хмельницкий Г.А. с соавт., 1998), выявлены характерные пат</w:t>
      </w:r>
      <w:r>
        <w:t>о</w:t>
      </w:r>
      <w:r>
        <w:t>морфологические изменения в печени и других органах, определены усл</w:t>
      </w:r>
      <w:r>
        <w:t>о</w:t>
      </w:r>
      <w:r>
        <w:t>вия, при которых возможны  отравления, наносящие большой урон хозя</w:t>
      </w:r>
      <w:r>
        <w:t>й</w:t>
      </w:r>
      <w:r>
        <w:t>ствам (Левченко В. с соавт.,  1999).</w:t>
      </w:r>
    </w:p>
    <w:p w:rsidR="00F4654E" w:rsidRDefault="00F4654E">
      <w:pPr>
        <w:pStyle w:val="a6"/>
      </w:pPr>
      <w:r>
        <w:t>Известны результаты проведенных исследований по изучению пат</w:t>
      </w:r>
      <w:r>
        <w:t>о</w:t>
      </w:r>
      <w:r>
        <w:t>гистологических изменений в органах крупного рогатого скота при спо</w:t>
      </w:r>
      <w:r>
        <w:t>н</w:t>
      </w:r>
      <w:r>
        <w:t>танном их отравлении (Щетинский И.М. с соавт., 2001). Однако сведений о характере подобных изменений, полученных в «чистом эксперименте» на крупном рогатом скоте, нет. Необходимость же таких данных очевидна: они могут стать основой для поиска средств профилактики и  лечения о</w:t>
      </w:r>
      <w:r>
        <w:t>т</w:t>
      </w:r>
      <w:r>
        <w:t>равленных животных. Учитывая изложенное, мы задались целью изучить гистоструктуру внутренних органов телят при их экспериментальном о</w:t>
      </w:r>
      <w:r>
        <w:t>т</w:t>
      </w:r>
      <w:r>
        <w:t>равлении чернокорнем.</w:t>
      </w:r>
    </w:p>
    <w:p w:rsidR="00F4654E" w:rsidRDefault="00F4654E">
      <w:pPr>
        <w:pStyle w:val="a6"/>
      </w:pPr>
      <w:r>
        <w:t>Опыт проводили в АО «Тихая сосна» Красногвардейского района Бел-городской области на 6 телятах (бычках) в возрасте пяти месяцев. Телята содержались в станке без привязи и получали обычный рацион, в состав которого входила зеленая масса кукурузы и эспарцета, комбикорм. Трем опытным бычкам к зеленой массе добавляли 10-15% измельченной на</w:t>
      </w:r>
      <w:r>
        <w:t>д</w:t>
      </w:r>
      <w:r>
        <w:t>земной части растения чернокорня, свежескошенного в фазе формиров</w:t>
      </w:r>
      <w:r>
        <w:t>а</w:t>
      </w:r>
      <w:r>
        <w:t>ния семян. Три других теленка получали тот же корм без примеси черн</w:t>
      </w:r>
      <w:r>
        <w:t>о</w:t>
      </w:r>
      <w:r>
        <w:lastRenderedPageBreak/>
        <w:t>корня. Опыт длился в течение 49 суток. По окончании его у всех телят б</w:t>
      </w:r>
      <w:r>
        <w:t>ы</w:t>
      </w:r>
      <w:r>
        <w:t>ла проведена биопсия печени с помощью иглы, модифицированной Р.В. Роменским. Гистологические препараты из биоптата печени готовили в с</w:t>
      </w:r>
      <w:r>
        <w:t>о</w:t>
      </w:r>
      <w:r>
        <w:t>ответствии с методами классической гистотехники (Саркисов Д.С., Перов Ю.Л.,1996). В процессе опыта учитывали клиническое состояние живо</w:t>
      </w:r>
      <w:r>
        <w:t>т</w:t>
      </w:r>
      <w:r>
        <w:t>ных и некоторые показатели крови. Был проведен диагностический убой одного теленка из опытной группы, от которого взяты пробы печени, п</w:t>
      </w:r>
      <w:r>
        <w:t>о</w:t>
      </w:r>
      <w:r>
        <w:t>чек, селезенки, тонкого отдела кишечника и рубца для гистологических исследований. Гистосрезы изучали на сканирующем микроскопе «Ми</w:t>
      </w:r>
      <w:r>
        <w:t>к</w:t>
      </w:r>
      <w:r>
        <w:t xml:space="preserve">мед-2»  прибора «Видео-тест». </w:t>
      </w:r>
    </w:p>
    <w:p w:rsidR="00F4654E" w:rsidRDefault="00F4654E">
      <w:pPr>
        <w:pStyle w:val="a6"/>
      </w:pPr>
      <w:r>
        <w:t>В ходе эксперимента у опытных телят наблюдали перемежающуюся диарею, гипотонию рубца, отставание в росте от сверстников, расширение перкуторных границ печени. Температура тела, частота пульса и дыхания находились в пределах нормы. У контрольных животных каких-либо и</w:t>
      </w:r>
      <w:r>
        <w:t>з</w:t>
      </w:r>
      <w:r>
        <w:t>менений клинического состояния не выявлено. На гистосрезах паренхима их печени имела нормальную структуру: дольки четко выражены, бало</w:t>
      </w:r>
      <w:r>
        <w:t>ч</w:t>
      </w:r>
      <w:r>
        <w:t>ное расположение гепатоцитов не нарушено, в поле зрения нередко встр</w:t>
      </w:r>
      <w:r>
        <w:t>е</w:t>
      </w:r>
      <w:r>
        <w:t>чались двуядерные клетки.</w:t>
      </w:r>
    </w:p>
    <w:p w:rsidR="00F4654E" w:rsidRDefault="00F4654E">
      <w:pPr>
        <w:pStyle w:val="a6"/>
      </w:pPr>
      <w:r>
        <w:t>При исследовании биоптата печени опытных бычков выявлялись и</w:t>
      </w:r>
      <w:r>
        <w:t>з</w:t>
      </w:r>
      <w:r>
        <w:t>менения деструктивно-дегенеративного характера различной степени в</w:t>
      </w:r>
      <w:r>
        <w:t>ы</w:t>
      </w:r>
      <w:r>
        <w:t>раженности. У бычка-3 в целом балочное строение паренхимы сохран</w:t>
      </w:r>
      <w:r>
        <w:t>я</w:t>
      </w:r>
      <w:r>
        <w:t>лось, но встречались гепатоциты с мелко- и крупнокапельной жировой и</w:t>
      </w:r>
      <w:r>
        <w:t>н</w:t>
      </w:r>
      <w:r>
        <w:t>фильтрацией. У бычка-1 отмечалось явное поражение паренхимы печени: выявлялись очаги микронекроза и изменения ядер типа кариопикноза и к</w:t>
      </w:r>
      <w:r>
        <w:t>а</w:t>
      </w:r>
      <w:r>
        <w:t>риорексиса. Однако наиболее глубокая дискомплексация паренхимы выя</w:t>
      </w:r>
      <w:r>
        <w:t>в</w:t>
      </w:r>
      <w:r>
        <w:t>лялась у бычка-2: на срезах были видны крупные очаги жировой инфиль</w:t>
      </w:r>
      <w:r>
        <w:t>т</w:t>
      </w:r>
      <w:r>
        <w:t>рации, амилоидоз цитоплазмы и многочисленные случаи кариолиза.</w:t>
      </w:r>
    </w:p>
    <w:p w:rsidR="00F4654E" w:rsidRDefault="00F4654E">
      <w:pPr>
        <w:pStyle w:val="a6"/>
      </w:pPr>
      <w:r>
        <w:t>При диагностическом убое этого животного обнаружено увеличение печени; она была серо-глинистого цвета, плотная; в брюшинной полости – студенистый транссудат. Книжка была переполнена, ее рыхлые листочки легко рвались. При гистологическом исследовании срезов 12-перстной кишки не выявлено существенных нарушений ее типичной структуры. Х</w:t>
      </w:r>
      <w:r>
        <w:t>о</w:t>
      </w:r>
      <w:r>
        <w:t>рошо просматривались бокаловидные клетки, крипты были без изменений, изредка встречались митотически делящиеся клетки. Отмечались слабо выраженный отек основы ворсинки и десквамация эпителиоцитов на ее верхушке.</w:t>
      </w:r>
    </w:p>
    <w:p w:rsidR="00F4654E" w:rsidRDefault="00F4654E">
      <w:pPr>
        <w:pStyle w:val="a6"/>
      </w:pPr>
      <w:r>
        <w:t>Слизистая оболочка рубца была без значительных изменений, сохр</w:t>
      </w:r>
      <w:r>
        <w:t>а</w:t>
      </w:r>
      <w:r>
        <w:t xml:space="preserve">нялась целостность строения сосочков. Изредка в эпителии встречались клетки с набухшими ядрами, расширенные межклеточные пространства. Целостность поверхностного эпителиального пласта местами нарушалась за счет потери рогового слоя. </w:t>
      </w:r>
    </w:p>
    <w:p w:rsidR="00F4654E" w:rsidRPr="00D75866" w:rsidRDefault="00F4654E">
      <w:pPr>
        <w:pStyle w:val="a6"/>
        <w:rPr>
          <w:spacing w:val="-4"/>
        </w:rPr>
      </w:pPr>
      <w:r w:rsidRPr="00D75866">
        <w:rPr>
          <w:spacing w:val="-4"/>
        </w:rPr>
        <w:t>В почках в целом структура паренхимы сохранялась. В проксимал</w:t>
      </w:r>
      <w:r w:rsidRPr="00D75866">
        <w:rPr>
          <w:spacing w:val="-4"/>
        </w:rPr>
        <w:t>ь</w:t>
      </w:r>
      <w:r w:rsidRPr="00D75866">
        <w:rPr>
          <w:spacing w:val="-4"/>
        </w:rPr>
        <w:t xml:space="preserve">ных и дистальных канальцах отмечалось снижение высоты эпителиальных клеток </w:t>
      </w:r>
      <w:r w:rsidRPr="00D75866">
        <w:rPr>
          <w:spacing w:val="-4"/>
        </w:rPr>
        <w:lastRenderedPageBreak/>
        <w:t>и их множественная десквамация. Полость капсулы телец и глом</w:t>
      </w:r>
      <w:r w:rsidRPr="00D75866">
        <w:rPr>
          <w:spacing w:val="-4"/>
        </w:rPr>
        <w:t>е</w:t>
      </w:r>
      <w:r w:rsidRPr="00D75866">
        <w:rPr>
          <w:spacing w:val="-4"/>
        </w:rPr>
        <w:t>рулярные капилляры были расширены, мезангиальные клетки телец гипертрофиров</w:t>
      </w:r>
      <w:r w:rsidRPr="00D75866">
        <w:rPr>
          <w:spacing w:val="-4"/>
        </w:rPr>
        <w:t>а</w:t>
      </w:r>
      <w:r w:rsidRPr="00D75866">
        <w:rPr>
          <w:spacing w:val="-4"/>
        </w:rPr>
        <w:t>ны. Целостность стенки мочевых канальцев повсеместно нар</w:t>
      </w:r>
      <w:r w:rsidRPr="00D75866">
        <w:rPr>
          <w:spacing w:val="-4"/>
        </w:rPr>
        <w:t>у</w:t>
      </w:r>
      <w:r w:rsidRPr="00D75866">
        <w:rPr>
          <w:spacing w:val="-4"/>
        </w:rPr>
        <w:t>шалась.</w:t>
      </w:r>
    </w:p>
    <w:p w:rsidR="00F4654E" w:rsidRDefault="00F4654E">
      <w:pPr>
        <w:pStyle w:val="a6"/>
      </w:pPr>
      <w:r>
        <w:t>В селезенке выявлялись признаки иммунодефицита третьей степени: отсутствовала зональность строения селезеночных телец, зрелых лимф</w:t>
      </w:r>
      <w:r>
        <w:t>о</w:t>
      </w:r>
      <w:r>
        <w:t xml:space="preserve">идных клеток было мало, преобладали бластные формы и макрофагальные элементы. </w:t>
      </w:r>
    </w:p>
    <w:p w:rsidR="00F4654E" w:rsidRDefault="00F4654E">
      <w:pPr>
        <w:pStyle w:val="a6"/>
      </w:pPr>
      <w:r>
        <w:t>Гистологическая картина срезов печени диагностически убитого опытного теленка была аналогична его биоптату.</w:t>
      </w:r>
    </w:p>
    <w:p w:rsidR="00F4654E" w:rsidRDefault="00F4654E">
      <w:pPr>
        <w:pStyle w:val="a6"/>
      </w:pPr>
      <w:r>
        <w:t>Выявленные на экспериментальной модели патогистологические и</w:t>
      </w:r>
      <w:r>
        <w:t>з</w:t>
      </w:r>
      <w:r>
        <w:t>менения в печени полностью совпадают не только с гистокартиной, оп</w:t>
      </w:r>
      <w:r>
        <w:t>и</w:t>
      </w:r>
      <w:r>
        <w:t>санной другими исследователями в случаях спонтанного отравления кру</w:t>
      </w:r>
      <w:r>
        <w:t>п</w:t>
      </w:r>
      <w:r>
        <w:t>ного рогатого скота чернокорнем (В. Левченко с соавт, 1999; И.М. Щети</w:t>
      </w:r>
      <w:r>
        <w:t>н</w:t>
      </w:r>
      <w:r>
        <w:t>ский с соавт, 2001), но и результатами, ранее полученными нами на кр</w:t>
      </w:r>
      <w:r>
        <w:t>ы</w:t>
      </w:r>
      <w:r>
        <w:t>сах, которым выпаивали сок зеленой массы растения (Яковлева Е.Г., М</w:t>
      </w:r>
      <w:r>
        <w:t>у</w:t>
      </w:r>
      <w:r>
        <w:t xml:space="preserve">сиенко Н.А., в печати). </w:t>
      </w:r>
    </w:p>
    <w:p w:rsidR="00F4654E" w:rsidRDefault="00F4654E">
      <w:pPr>
        <w:pStyle w:val="a6"/>
      </w:pPr>
      <w:r>
        <w:t>По нашему мнению, согласно общепринятой классификации болезней печени (Уша Б.В., 1979; Серов В.В. с соавт., 1981; Логинов А.С., Аруин Л.И., 1985; Подымова С.Д., 1993) выявленные нами изменения являются типичными для токсического гепатита. Нарушения гистоструктуры других органов можно квалифицировать как прямое влияние на них ядовитых в</w:t>
      </w:r>
      <w:r>
        <w:t>е</w:t>
      </w:r>
      <w:r>
        <w:t>ществ, содержащихся в растении</w:t>
      </w:r>
      <w:r w:rsidR="004D0DFB">
        <w:t xml:space="preserve"> </w:t>
      </w:r>
      <w:r>
        <w:t>(слизистая оболочка кишечника, почки), или как следствие разрушения гепатоцитов и неизбежного при этом разв</w:t>
      </w:r>
      <w:r>
        <w:t>и</w:t>
      </w:r>
      <w:r>
        <w:t>тия аутоиммунных процессов (селезенка).</w:t>
      </w:r>
    </w:p>
    <w:p w:rsidR="00F4654E" w:rsidRPr="00D75866" w:rsidRDefault="00F4654E">
      <w:pPr>
        <w:pStyle w:val="a6"/>
        <w:rPr>
          <w:spacing w:val="-4"/>
        </w:rPr>
      </w:pPr>
      <w:r w:rsidRPr="00D75866">
        <w:rPr>
          <w:spacing w:val="-4"/>
        </w:rPr>
        <w:t>Таким образом, чернокорень лекарственный, добавленный в рацион в количестве 10-15% к общей массе корма, вызывает хроническое отравл</w:t>
      </w:r>
      <w:r w:rsidRPr="00D75866">
        <w:rPr>
          <w:spacing w:val="-4"/>
        </w:rPr>
        <w:t>е</w:t>
      </w:r>
      <w:r w:rsidRPr="00D75866">
        <w:rPr>
          <w:spacing w:val="-4"/>
        </w:rPr>
        <w:t>ние телят. При гистологическом исследовании биоптата в печени опытных ж</w:t>
      </w:r>
      <w:r w:rsidRPr="00D75866">
        <w:rPr>
          <w:spacing w:val="-4"/>
        </w:rPr>
        <w:t>и</w:t>
      </w:r>
      <w:r w:rsidRPr="00D75866">
        <w:rPr>
          <w:spacing w:val="-4"/>
        </w:rPr>
        <w:t>вотных выявлялись дегенеративные изменения паренхимы от незначител</w:t>
      </w:r>
      <w:r w:rsidRPr="00D75866">
        <w:rPr>
          <w:spacing w:val="-4"/>
        </w:rPr>
        <w:t>ь</w:t>
      </w:r>
      <w:r w:rsidRPr="00D75866">
        <w:rPr>
          <w:spacing w:val="-4"/>
        </w:rPr>
        <w:t>ной ее деструкции до явлений амилоидоза. В 12- перстной кишке, рубце и в канальцах нефронов отмечалась множественная десквамация клеток эпит</w:t>
      </w:r>
      <w:r w:rsidRPr="00D75866">
        <w:rPr>
          <w:spacing w:val="-4"/>
        </w:rPr>
        <w:t>е</w:t>
      </w:r>
      <w:r w:rsidRPr="00D75866">
        <w:rPr>
          <w:spacing w:val="-4"/>
        </w:rPr>
        <w:t>лия, нарушение целостности эпителиального пласта; в сел</w:t>
      </w:r>
      <w:r w:rsidRPr="00D75866">
        <w:rPr>
          <w:spacing w:val="-4"/>
        </w:rPr>
        <w:t>е</w:t>
      </w:r>
      <w:r w:rsidRPr="00D75866">
        <w:rPr>
          <w:spacing w:val="-4"/>
        </w:rPr>
        <w:t>зенке – явления, характерные для состояния иммунодефицита третьей ст</w:t>
      </w:r>
      <w:r w:rsidRPr="00D75866">
        <w:rPr>
          <w:spacing w:val="-4"/>
        </w:rPr>
        <w:t>е</w:t>
      </w:r>
      <w:r w:rsidRPr="00D75866">
        <w:rPr>
          <w:spacing w:val="-4"/>
        </w:rPr>
        <w:t>пени.</w:t>
      </w:r>
    </w:p>
    <w:p w:rsidR="00F4654E" w:rsidRDefault="00F4654E">
      <w:pPr>
        <w:pStyle w:val="a4"/>
      </w:pPr>
      <w:r>
        <w:t>УДК 619:616.9:658.513:681.14</w:t>
      </w:r>
    </w:p>
    <w:p w:rsidR="00F4654E" w:rsidRDefault="00F4654E">
      <w:pPr>
        <w:pStyle w:val="1"/>
      </w:pPr>
      <w:bookmarkStart w:id="6546" w:name="_Toc10731694"/>
      <w:bookmarkStart w:id="6547" w:name="_Toc11138183"/>
      <w:bookmarkStart w:id="6548" w:name="_Toc11138601"/>
      <w:bookmarkStart w:id="6549" w:name="_Toc11139019"/>
      <w:bookmarkStart w:id="6550" w:name="_Toc11139437"/>
      <w:bookmarkStart w:id="6551" w:name="_Toc11139855"/>
      <w:bookmarkStart w:id="6552" w:name="_Toc11140273"/>
      <w:bookmarkStart w:id="6553" w:name="_Toc11140691"/>
      <w:bookmarkStart w:id="6554" w:name="_Toc11390785"/>
      <w:bookmarkStart w:id="6555" w:name="_Toc11840474"/>
      <w:bookmarkStart w:id="6556" w:name="_Toc11938010"/>
      <w:r>
        <w:t>ПЛАНИРОВАНИЕ ПРОТИВОЭПИЗООТИЧЕСКИХ МЕРОПРИЯТИЙ С ИСПОЛЬЗОВАНИЕМ НОВЫХ ИНФОРМАЦИОННЫХ ТЕХНОЛОГИЙ</w:t>
      </w:r>
      <w:bookmarkEnd w:id="6546"/>
      <w:bookmarkEnd w:id="6547"/>
      <w:bookmarkEnd w:id="6548"/>
      <w:bookmarkEnd w:id="6549"/>
      <w:bookmarkEnd w:id="6550"/>
      <w:bookmarkEnd w:id="6551"/>
      <w:bookmarkEnd w:id="6552"/>
      <w:bookmarkEnd w:id="6553"/>
      <w:bookmarkEnd w:id="6554"/>
      <w:bookmarkEnd w:id="6555"/>
      <w:bookmarkEnd w:id="6556"/>
    </w:p>
    <w:p w:rsidR="00F4654E" w:rsidRDefault="00F4654E">
      <w:pPr>
        <w:pStyle w:val="2"/>
      </w:pPr>
      <w:bookmarkStart w:id="6557" w:name="_Toc10731695"/>
      <w:bookmarkStart w:id="6558" w:name="_Toc11032455"/>
      <w:bookmarkStart w:id="6559" w:name="_Toc11138184"/>
      <w:bookmarkStart w:id="6560" w:name="_Toc11138602"/>
      <w:bookmarkStart w:id="6561" w:name="_Toc11139020"/>
      <w:bookmarkStart w:id="6562" w:name="_Toc11139438"/>
      <w:bookmarkStart w:id="6563" w:name="_Toc11139856"/>
      <w:bookmarkStart w:id="6564" w:name="_Toc11140274"/>
      <w:bookmarkStart w:id="6565" w:name="_Toc11140692"/>
      <w:bookmarkStart w:id="6566" w:name="_Toc11390786"/>
      <w:bookmarkStart w:id="6567" w:name="_Toc11938011"/>
      <w:r>
        <w:t>Яровой П. Н., Кузьмин Г. Н.</w:t>
      </w:r>
      <w:bookmarkEnd w:id="6557"/>
      <w:bookmarkEnd w:id="6558"/>
      <w:bookmarkEnd w:id="6559"/>
      <w:bookmarkEnd w:id="6560"/>
      <w:bookmarkEnd w:id="6561"/>
      <w:bookmarkEnd w:id="6562"/>
      <w:bookmarkEnd w:id="6563"/>
      <w:bookmarkEnd w:id="6564"/>
      <w:bookmarkEnd w:id="6565"/>
      <w:bookmarkEnd w:id="6566"/>
      <w:bookmarkEnd w:id="6567"/>
    </w:p>
    <w:p w:rsidR="00F4654E" w:rsidRDefault="00F4654E">
      <w:pPr>
        <w:pStyle w:val="a5"/>
      </w:pPr>
      <w:r>
        <w:t>Воронежский государственный аграрный университет им. К.Д. Глинки</w:t>
      </w:r>
    </w:p>
    <w:p w:rsidR="00F4654E" w:rsidRDefault="00F4654E">
      <w:pPr>
        <w:pStyle w:val="a6"/>
      </w:pPr>
      <w:r>
        <w:t>При современном уровне развития электроники многие сферы де</w:t>
      </w:r>
      <w:r>
        <w:t>я</w:t>
      </w:r>
      <w:r>
        <w:t>тельности человека подвергаются автоматизации, что отражается на кач</w:t>
      </w:r>
      <w:r>
        <w:t>е</w:t>
      </w:r>
      <w:r>
        <w:t>стве, оперативности проведения различных работ в плане их улучшения по сравнению с традиционными, ручными методами.</w:t>
      </w:r>
    </w:p>
    <w:p w:rsidR="00F4654E" w:rsidRPr="00D75866" w:rsidRDefault="00F4654E">
      <w:pPr>
        <w:pStyle w:val="a6"/>
        <w:rPr>
          <w:spacing w:val="-4"/>
        </w:rPr>
      </w:pPr>
      <w:r w:rsidRPr="00D75866">
        <w:rPr>
          <w:spacing w:val="-4"/>
        </w:rPr>
        <w:lastRenderedPageBreak/>
        <w:t>Интеграция принципов планирования противоэпизоотических мер</w:t>
      </w:r>
      <w:r w:rsidRPr="00D75866">
        <w:rPr>
          <w:spacing w:val="-4"/>
        </w:rPr>
        <w:t>о</w:t>
      </w:r>
      <w:r w:rsidRPr="00D75866">
        <w:rPr>
          <w:spacing w:val="-4"/>
        </w:rPr>
        <w:t>приятий и высоких компьютерных технологий с использованием информ</w:t>
      </w:r>
      <w:r w:rsidRPr="00D75866">
        <w:rPr>
          <w:spacing w:val="-4"/>
        </w:rPr>
        <w:t>а</w:t>
      </w:r>
      <w:r w:rsidRPr="00D75866">
        <w:rPr>
          <w:spacing w:val="-4"/>
        </w:rPr>
        <w:t>ционного мониторинга эпизоотической ситуации позволит улучшить качес</w:t>
      </w:r>
      <w:r w:rsidRPr="00D75866">
        <w:rPr>
          <w:spacing w:val="-4"/>
        </w:rPr>
        <w:t>т</w:t>
      </w:r>
      <w:r w:rsidRPr="00D75866">
        <w:rPr>
          <w:spacing w:val="-4"/>
        </w:rPr>
        <w:t>во и эффективность ветеринарной работы (сокращение времени поиска и о</w:t>
      </w:r>
      <w:r w:rsidRPr="00D75866">
        <w:rPr>
          <w:spacing w:val="-4"/>
        </w:rPr>
        <w:t>б</w:t>
      </w:r>
      <w:r w:rsidRPr="00D75866">
        <w:rPr>
          <w:spacing w:val="-4"/>
        </w:rPr>
        <w:t>работки информации, времени принятия решений должностными лицами, повышение достоверности получаемых результатов), что благоприятно отр</w:t>
      </w:r>
      <w:r w:rsidRPr="00D75866">
        <w:rPr>
          <w:spacing w:val="-4"/>
        </w:rPr>
        <w:t>а</w:t>
      </w:r>
      <w:r w:rsidRPr="00D75866">
        <w:rPr>
          <w:spacing w:val="-4"/>
        </w:rPr>
        <w:t>зится на эпизоотической обстановке подконтрольной терр</w:t>
      </w:r>
      <w:r w:rsidRPr="00D75866">
        <w:rPr>
          <w:spacing w:val="-4"/>
        </w:rPr>
        <w:t>и</w:t>
      </w:r>
      <w:r w:rsidRPr="00D75866">
        <w:rPr>
          <w:spacing w:val="-4"/>
        </w:rPr>
        <w:t>тории.</w:t>
      </w:r>
    </w:p>
    <w:p w:rsidR="00F4654E" w:rsidRDefault="00F4654E">
      <w:pPr>
        <w:pStyle w:val="a6"/>
      </w:pPr>
      <w:r>
        <w:t>Нами реализуется компьютерная версия планирования противоэпиз</w:t>
      </w:r>
      <w:r>
        <w:t>о</w:t>
      </w:r>
      <w:r>
        <w:t>отических мероприятий на уровне как единицы хозяйства, так и группы хозяйств со схожей эпизоотической ситуацией.</w:t>
      </w:r>
    </w:p>
    <w:p w:rsidR="00F4654E" w:rsidRDefault="00F4654E">
      <w:pPr>
        <w:pStyle w:val="a6"/>
        <w:rPr>
          <w:b/>
          <w:i/>
        </w:rPr>
      </w:pPr>
      <w:r>
        <w:t>Программный комплекс работает в среде Microsoft Windows 9x, и</w:t>
      </w:r>
      <w:r>
        <w:t>н</w:t>
      </w:r>
      <w:r>
        <w:t>формационная база комплекса свободно интегрируется в пакет Microsoft Office (Word, Excel, Access).</w:t>
      </w:r>
    </w:p>
    <w:p w:rsidR="00F4654E" w:rsidRDefault="00F4654E">
      <w:pPr>
        <w:pStyle w:val="a6"/>
      </w:pPr>
      <w:r>
        <w:t>Комплекс состоит из набора программных модулей, связанных ед</w:t>
      </w:r>
      <w:r>
        <w:t>и</w:t>
      </w:r>
      <w:r>
        <w:t>ной информационной средой. В состав комплекса входят следующие подси</w:t>
      </w:r>
      <w:r>
        <w:t>с</w:t>
      </w:r>
      <w:r>
        <w:t>темы:</w:t>
      </w:r>
    </w:p>
    <w:p w:rsidR="00F4654E" w:rsidRDefault="00F4654E">
      <w:pPr>
        <w:pStyle w:val="a6"/>
      </w:pPr>
      <w:r>
        <w:t>1. Комплекс программ фиксирующих и анализирующих исходные п</w:t>
      </w:r>
      <w:r>
        <w:t>а</w:t>
      </w:r>
      <w:r>
        <w:t>раметры для разработки противоэпизоотического плана.</w:t>
      </w:r>
    </w:p>
    <w:p w:rsidR="00F4654E" w:rsidRDefault="00F4654E">
      <w:pPr>
        <w:pStyle w:val="a6"/>
      </w:pPr>
      <w:r>
        <w:t>1.1. Учет и анализ движения поголовья (количественный и качестве</w:t>
      </w:r>
      <w:r>
        <w:t>н</w:t>
      </w:r>
      <w:r>
        <w:t>ный состав групп, а также ожидаемый приплод) в расчетный период.</w:t>
      </w:r>
    </w:p>
    <w:p w:rsidR="00F4654E" w:rsidRDefault="00F4654E">
      <w:pPr>
        <w:pStyle w:val="a6"/>
      </w:pPr>
      <w:r>
        <w:t>1.2. Хранение, корректировка и анализ многогранных характеристик биопрепаратов и  диагностических приемов.</w:t>
      </w:r>
    </w:p>
    <w:p w:rsidR="00F4654E" w:rsidRDefault="00F4654E">
      <w:pPr>
        <w:pStyle w:val="a6"/>
      </w:pPr>
      <w:r>
        <w:t>2. Подсистема анализа экономической эффективности противоэпиз</w:t>
      </w:r>
      <w:r>
        <w:t>о</w:t>
      </w:r>
      <w:r>
        <w:t>отического плана.</w:t>
      </w:r>
    </w:p>
    <w:p w:rsidR="00F4654E" w:rsidRDefault="00F4654E">
      <w:pPr>
        <w:pStyle w:val="a6"/>
      </w:pPr>
      <w:r>
        <w:t>2.1. Хранение, корректировка экономических данных, необходимых для анализа противоэпизоотических планов.</w:t>
      </w:r>
    </w:p>
    <w:p w:rsidR="00F4654E" w:rsidRDefault="00F4654E">
      <w:pPr>
        <w:pStyle w:val="a6"/>
      </w:pPr>
      <w:r>
        <w:t>2.2. Анализ эффективности выполнения данного плана.</w:t>
      </w:r>
    </w:p>
    <w:p w:rsidR="00F4654E" w:rsidRDefault="00F4654E">
      <w:pPr>
        <w:pStyle w:val="a6"/>
      </w:pPr>
      <w:r>
        <w:t>3. Совокупность программ планирования противоэпизоотической с</w:t>
      </w:r>
      <w:r>
        <w:t>и</w:t>
      </w:r>
      <w:r>
        <w:t>туации на уровне территориальной единицы.</w:t>
      </w:r>
    </w:p>
    <w:p w:rsidR="00F4654E" w:rsidRDefault="00F4654E">
      <w:pPr>
        <w:pStyle w:val="a6"/>
      </w:pPr>
      <w:r>
        <w:t>3.1. Планирование диагностических исследований и профилактич</w:t>
      </w:r>
      <w:r>
        <w:t>е</w:t>
      </w:r>
      <w:r>
        <w:t>ских вакцинаций.</w:t>
      </w:r>
    </w:p>
    <w:p w:rsidR="00F4654E" w:rsidRDefault="00F4654E">
      <w:pPr>
        <w:pStyle w:val="a6"/>
      </w:pPr>
      <w:r>
        <w:t>3.2. Сохранение и представление составленных планов в электронном виде, а также получение твердой (бумажной) копии документа в устано</w:t>
      </w:r>
      <w:r>
        <w:t>в</w:t>
      </w:r>
      <w:r>
        <w:t>ленном исполнении.</w:t>
      </w:r>
    </w:p>
    <w:p w:rsidR="00F4654E" w:rsidRDefault="00F4654E">
      <w:pPr>
        <w:pStyle w:val="a6"/>
      </w:pPr>
      <w:r>
        <w:t>В настоящее время полностью реализованы комплекс программ фи</w:t>
      </w:r>
      <w:r>
        <w:t>к</w:t>
      </w:r>
      <w:r>
        <w:t>сирующих и анализирующих исходные параметры для разработки прот</w:t>
      </w:r>
      <w:r>
        <w:t>и</w:t>
      </w:r>
      <w:r>
        <w:t>воэпизоотического плана и подсистема анализа экономической эффекти</w:t>
      </w:r>
      <w:r>
        <w:t>в</w:t>
      </w:r>
      <w:r>
        <w:t>ности противоэпизоотического плана.</w:t>
      </w:r>
    </w:p>
    <w:p w:rsidR="00F4654E" w:rsidRDefault="00F4654E">
      <w:pPr>
        <w:pStyle w:val="a6"/>
      </w:pPr>
      <w:r>
        <w:tab/>
        <w:t>Внедрение компьютерных технологий в практику планирования пр</w:t>
      </w:r>
      <w:r>
        <w:t>о</w:t>
      </w:r>
      <w:r>
        <w:t>тивоэпизоотических мероприятий по опыту многих исследователей и ра</w:t>
      </w:r>
      <w:r>
        <w:t>с</w:t>
      </w:r>
      <w:r>
        <w:t>четным данным позволит качественно поднять процесс и результаты пл</w:t>
      </w:r>
      <w:r>
        <w:t>а</w:t>
      </w:r>
      <w:r>
        <w:t>нирования на более высокий уровень.</w:t>
      </w:r>
    </w:p>
    <w:p w:rsidR="00F4654E" w:rsidRDefault="00F4654E">
      <w:pPr>
        <w:pStyle w:val="a4"/>
      </w:pPr>
      <w:r>
        <w:lastRenderedPageBreak/>
        <w:t>УДК 619.616.98.579.841.11-084</w:t>
      </w:r>
    </w:p>
    <w:p w:rsidR="00F4654E" w:rsidRDefault="00F4654E">
      <w:pPr>
        <w:pStyle w:val="1"/>
      </w:pPr>
      <w:bookmarkStart w:id="6568" w:name="_Toc11138185"/>
      <w:bookmarkStart w:id="6569" w:name="_Toc11138603"/>
      <w:bookmarkStart w:id="6570" w:name="_Toc11139021"/>
      <w:bookmarkStart w:id="6571" w:name="_Toc11139439"/>
      <w:bookmarkStart w:id="6572" w:name="_Toc11139857"/>
      <w:bookmarkStart w:id="6573" w:name="_Toc11140275"/>
      <w:bookmarkStart w:id="6574" w:name="_Toc11140693"/>
      <w:bookmarkStart w:id="6575" w:name="_Toc11390787"/>
      <w:bookmarkStart w:id="6576" w:name="_Toc11840476"/>
      <w:bookmarkStart w:id="6577" w:name="_Toc11938012"/>
      <w:r>
        <w:t>ВОПРОСЫ ФАРМАКОТЕРАПИИ ПСЕВДОМОНОЗА СВИНЕЙ</w:t>
      </w:r>
      <w:bookmarkEnd w:id="6568"/>
      <w:bookmarkEnd w:id="6569"/>
      <w:bookmarkEnd w:id="6570"/>
      <w:bookmarkEnd w:id="6571"/>
      <w:bookmarkEnd w:id="6572"/>
      <w:bookmarkEnd w:id="6573"/>
      <w:bookmarkEnd w:id="6574"/>
      <w:bookmarkEnd w:id="6575"/>
      <w:bookmarkEnd w:id="6576"/>
      <w:bookmarkEnd w:id="6577"/>
    </w:p>
    <w:p w:rsidR="00F4654E" w:rsidRDefault="00F4654E">
      <w:pPr>
        <w:pStyle w:val="2"/>
      </w:pPr>
      <w:bookmarkStart w:id="6578" w:name="_Toc11032456"/>
      <w:bookmarkStart w:id="6579" w:name="_Toc11138186"/>
      <w:bookmarkStart w:id="6580" w:name="_Toc11138604"/>
      <w:bookmarkStart w:id="6581" w:name="_Toc11139022"/>
      <w:bookmarkStart w:id="6582" w:name="_Toc11139440"/>
      <w:bookmarkStart w:id="6583" w:name="_Toc11139858"/>
      <w:bookmarkStart w:id="6584" w:name="_Toc11140276"/>
      <w:bookmarkStart w:id="6585" w:name="_Toc11140694"/>
      <w:bookmarkStart w:id="6586" w:name="_Toc11390788"/>
      <w:bookmarkStart w:id="6587" w:name="_Toc11938013"/>
      <w:r>
        <w:t>Пруцаков С.В., Васильев А.К., Болоцкий И.А., Семенцов В.И.,</w:t>
      </w:r>
      <w:r>
        <w:br/>
        <w:t>Хурай В.И., Молчан С.К.</w:t>
      </w:r>
      <w:bookmarkEnd w:id="6578"/>
      <w:bookmarkEnd w:id="6579"/>
      <w:bookmarkEnd w:id="6580"/>
      <w:bookmarkEnd w:id="6581"/>
      <w:bookmarkEnd w:id="6582"/>
      <w:bookmarkEnd w:id="6583"/>
      <w:bookmarkEnd w:id="6584"/>
      <w:bookmarkEnd w:id="6585"/>
      <w:bookmarkEnd w:id="6586"/>
      <w:bookmarkEnd w:id="6587"/>
    </w:p>
    <w:p w:rsidR="00F4654E" w:rsidRDefault="00F4654E">
      <w:pPr>
        <w:pStyle w:val="a5"/>
      </w:pPr>
      <w:r>
        <w:t>Краснодарский научно-исследовательский ветеринарный институт</w:t>
      </w:r>
    </w:p>
    <w:p w:rsidR="00F4654E" w:rsidRDefault="00F4654E">
      <w:pPr>
        <w:pStyle w:val="a6"/>
      </w:pPr>
      <w:r>
        <w:t>Синегнойная палочка – возбудитель псевдомоноза проявляет пов</w:t>
      </w:r>
      <w:r>
        <w:t>ы</w:t>
      </w:r>
      <w:r>
        <w:t>шенную резистентность к внешним факторам, труднопреодолимую усто</w:t>
      </w:r>
      <w:r>
        <w:t>й</w:t>
      </w:r>
      <w:r>
        <w:t>чивость к лечебным препаратам, поэтому с целью подбора эффективных лечебных средств необходимо определять чувствительность возбудителя in vitro.</w:t>
      </w:r>
    </w:p>
    <w:p w:rsidR="00F4654E" w:rsidRDefault="00F4654E">
      <w:pPr>
        <w:pStyle w:val="a6"/>
      </w:pPr>
      <w:r>
        <w:t>Предварительные опыты показали, что возбудитель псевдомоноза (Ps. aeruginosa) наиболее чувствителен к полимиксину М, гентамицину, аба</w:t>
      </w:r>
      <w:r>
        <w:t>к</w:t>
      </w:r>
      <w:r>
        <w:t>тану, интрамицину, фармазину, коливету и фторхинолонам. Данные пр</w:t>
      </w:r>
      <w:r>
        <w:t>е</w:t>
      </w:r>
      <w:r>
        <w:t>параты вначале были испытаны на лабораторных животных, а потом на свиньях при псевдомонозе в ряде хозяйств. В одном из хозяйств примен</w:t>
      </w:r>
      <w:r>
        <w:t>я</w:t>
      </w:r>
      <w:r>
        <w:t>ли для профилактики смешанной инфекции (псевдомоноз + полисерозит) коливет с кормом в течение 20 дней из расчета 10 г на 100 кг корма в опытной группе (245 гол.), в контрольной группе (240 гол.) лекарственных препаратов не применяли. В опытной группе заболеваемость поросят была на 40% ниже, чем в контрольной. В этом же хозяйстве лечили 2 группы хряков-носителей синегнойной палочки по 3 головы в каждой. Первой группе скармливали 5 дней с кормом неомицин 1 раз в день по 20000 ЕД. на 1 кг живой массы. Второй группе давали коливет с кормом по 12 грамм 1 раз в день в течение 5 дней. Ежедневно хрякам обеих групп промывали полость препуция 2%-ным раствором хлорамина. После окончания курса лечения у хряков первой группы в сперме установлена синегнойная пало</w:t>
      </w:r>
      <w:r>
        <w:t>ч</w:t>
      </w:r>
      <w:r>
        <w:t xml:space="preserve">ка, у хряков второй группы Ps.aeruginosa обнаружена не была. </w:t>
      </w:r>
    </w:p>
    <w:p w:rsidR="00F4654E" w:rsidRDefault="00F4654E">
      <w:pPr>
        <w:pStyle w:val="a6"/>
      </w:pPr>
      <w:r>
        <w:t>Хорошие результаты были получены нами при лечении хряков-носителей синегнойной палочки по следующей схеме: в полость препуция вводили до 150 мл 2%-ного раствора хлорамина, зажимали кожу входного отверстия препуция и проводили массаж препуциального мешка в течение 3-5 минут, затем удаляли раствор из препуция и в него вводили водно-маслянную эмульсию, содержащую 2 млн. ЕД полимиксина М, растворе</w:t>
      </w:r>
      <w:r>
        <w:t>н</w:t>
      </w:r>
      <w:r>
        <w:t xml:space="preserve">ного в 5 мл растворителя и смешанного со 100 мл стерильного рыбьего жира, подогретого до 37 </w:t>
      </w:r>
      <w:r>
        <w:rPr>
          <w:vertAlign w:val="superscript"/>
        </w:rPr>
        <w:t>0</w:t>
      </w:r>
      <w:r>
        <w:t>С с последующим массажем препуциального мешка. Введение повторяли через 24 часа в течение 2 дней. Кроме того, ежедневно, 2-кратно с интервалом 8 часов внутримышечно вводили по 1 млн. ЕД полимиксина В. Через 6 дней после лечения с интервалом 3-4 дня проводили бактериологические исследования спермы и смывов из преп</w:t>
      </w:r>
      <w:r>
        <w:t>у</w:t>
      </w:r>
      <w:r>
        <w:t>циальной полости и при 3-кратных отрицательных результатах хряков сч</w:t>
      </w:r>
      <w:r>
        <w:t>и</w:t>
      </w:r>
      <w:r>
        <w:t>тали здоровыми эффективность составила 82%.</w:t>
      </w:r>
    </w:p>
    <w:p w:rsidR="00F4654E" w:rsidRPr="00D75866" w:rsidRDefault="00F4654E">
      <w:pPr>
        <w:pStyle w:val="a6"/>
        <w:rPr>
          <w:spacing w:val="-4"/>
        </w:rPr>
      </w:pPr>
      <w:r w:rsidRPr="00D75866">
        <w:rPr>
          <w:spacing w:val="-4"/>
        </w:rPr>
        <w:lastRenderedPageBreak/>
        <w:t>При лечении острых эндометритов у свиноматок псевдомонозной эти</w:t>
      </w:r>
      <w:r w:rsidRPr="00D75866">
        <w:rPr>
          <w:spacing w:val="-4"/>
        </w:rPr>
        <w:t>о</w:t>
      </w:r>
      <w:r w:rsidRPr="00D75866">
        <w:rPr>
          <w:spacing w:val="-4"/>
        </w:rPr>
        <w:t>логии у 7 животных применяли внутримышечно гентамицин по 1 мг/кг ж</w:t>
      </w:r>
      <w:r w:rsidRPr="00D75866">
        <w:rPr>
          <w:spacing w:val="-4"/>
        </w:rPr>
        <w:t>и</w:t>
      </w:r>
      <w:r w:rsidRPr="00D75866">
        <w:rPr>
          <w:spacing w:val="-4"/>
        </w:rPr>
        <w:t>вой массы 3 раза в день в течение 5 дней. У 4 свиноматок исчезли клинич</w:t>
      </w:r>
      <w:r w:rsidRPr="00D75866">
        <w:rPr>
          <w:spacing w:val="-4"/>
        </w:rPr>
        <w:t>е</w:t>
      </w:r>
      <w:r w:rsidRPr="00D75866">
        <w:rPr>
          <w:spacing w:val="-4"/>
        </w:rPr>
        <w:t>ские признаки заболевания, в дальнейшем они были плодотворно осеменены. Из-за неэффективности лечения 3 свиноматки были выбрак</w:t>
      </w:r>
      <w:r w:rsidRPr="00D75866">
        <w:rPr>
          <w:spacing w:val="-4"/>
        </w:rPr>
        <w:t>о</w:t>
      </w:r>
      <w:r w:rsidRPr="00D75866">
        <w:rPr>
          <w:spacing w:val="-4"/>
        </w:rPr>
        <w:t>ваны.</w:t>
      </w:r>
    </w:p>
    <w:p w:rsidR="00F4654E" w:rsidRDefault="00F4654E">
      <w:pPr>
        <w:pStyle w:val="a6"/>
      </w:pPr>
      <w:r>
        <w:t>При энзоотической вспышке псевдомоноза поросят в другом хозяйс</w:t>
      </w:r>
      <w:r>
        <w:t>т</w:t>
      </w:r>
      <w:r>
        <w:t>ве применяли новый препарат ципрофлоксацин и комбинацию ципрофло</w:t>
      </w:r>
      <w:r>
        <w:t>к</w:t>
      </w:r>
      <w:r>
        <w:t>сацина с тобрамицином. Ципрофлоксацин давали внутрь с кормом в дозе 20-40 мг/кг живого веса в сутки в течение 3 дней. В комбинации ципро</w:t>
      </w:r>
      <w:r>
        <w:t>ф</w:t>
      </w:r>
      <w:r>
        <w:t>локсацин + тобрамицин, ципрофлоксацин давали внутрь в тех же дозах, а тобрамицин в дозе 30 мг/кг живого веса внутримышечно в сутки в течение 3 дней. Третью группу поросят лечили фармазином по 15 мг/кг веса 1 раз в сутки 3 дня подряд. Эффективность лечения составила 76, 86% и 82% с</w:t>
      </w:r>
      <w:r>
        <w:t>о</w:t>
      </w:r>
      <w:r>
        <w:t>ответственно.</w:t>
      </w:r>
    </w:p>
    <w:p w:rsidR="00F4654E" w:rsidRDefault="00F4654E">
      <w:pPr>
        <w:pStyle w:val="a6"/>
      </w:pPr>
      <w:r>
        <w:t>Таким образом, наиболее эффективными антибиотиками при лечении псевдомоноза у свиней разных возрастов были: гентамицин, полимиксин, коливет, тобрамицин, ципрофлоксацин.</w:t>
      </w:r>
    </w:p>
    <w:p w:rsidR="00F4654E" w:rsidRDefault="00F4654E">
      <w:pPr>
        <w:pStyle w:val="a4"/>
      </w:pPr>
      <w:r>
        <w:t>УДК 631.1.087.7</w:t>
      </w:r>
    </w:p>
    <w:p w:rsidR="00F4654E" w:rsidRDefault="00F4654E">
      <w:pPr>
        <w:pStyle w:val="1"/>
      </w:pPr>
      <w:bookmarkStart w:id="6588" w:name="_Toc11138187"/>
      <w:bookmarkStart w:id="6589" w:name="_Toc11138605"/>
      <w:bookmarkStart w:id="6590" w:name="_Toc11139023"/>
      <w:bookmarkStart w:id="6591" w:name="_Toc11139441"/>
      <w:bookmarkStart w:id="6592" w:name="_Toc11139859"/>
      <w:bookmarkStart w:id="6593" w:name="_Toc11140277"/>
      <w:bookmarkStart w:id="6594" w:name="_Toc11140695"/>
      <w:bookmarkStart w:id="6595" w:name="_Toc11390789"/>
      <w:bookmarkStart w:id="6596" w:name="_Toc11840478"/>
      <w:bookmarkStart w:id="6597" w:name="_Toc11938014"/>
      <w:r>
        <w:t>ЭФФЕКТИВНОСТЬ МОРЕНИТА ПРИ ГИПОТРОФИИ ПОРОСЯТ</w:t>
      </w:r>
      <w:bookmarkEnd w:id="6588"/>
      <w:bookmarkEnd w:id="6589"/>
      <w:bookmarkEnd w:id="6590"/>
      <w:bookmarkEnd w:id="6591"/>
      <w:bookmarkEnd w:id="6592"/>
      <w:bookmarkEnd w:id="6593"/>
      <w:bookmarkEnd w:id="6594"/>
      <w:bookmarkEnd w:id="6595"/>
      <w:bookmarkEnd w:id="6596"/>
      <w:bookmarkEnd w:id="6597"/>
    </w:p>
    <w:p w:rsidR="00F4654E" w:rsidRDefault="00F4654E">
      <w:pPr>
        <w:pStyle w:val="2"/>
      </w:pPr>
      <w:bookmarkStart w:id="6598" w:name="_Toc11032457"/>
      <w:bookmarkStart w:id="6599" w:name="_Toc11138188"/>
      <w:bookmarkStart w:id="6600" w:name="_Toc11138606"/>
      <w:bookmarkStart w:id="6601" w:name="_Toc11139024"/>
      <w:bookmarkStart w:id="6602" w:name="_Toc11139442"/>
      <w:bookmarkStart w:id="6603" w:name="_Toc11139860"/>
      <w:bookmarkStart w:id="6604" w:name="_Toc11140278"/>
      <w:bookmarkStart w:id="6605" w:name="_Toc11140696"/>
      <w:bookmarkStart w:id="6606" w:name="_Toc11390790"/>
      <w:bookmarkStart w:id="6607" w:name="_Toc11938015"/>
      <w:r>
        <w:t>Семененко М.П.</w:t>
      </w:r>
      <w:bookmarkEnd w:id="6598"/>
      <w:bookmarkEnd w:id="6599"/>
      <w:bookmarkEnd w:id="6600"/>
      <w:bookmarkEnd w:id="6601"/>
      <w:bookmarkEnd w:id="6602"/>
      <w:bookmarkEnd w:id="6603"/>
      <w:bookmarkEnd w:id="6604"/>
      <w:bookmarkEnd w:id="6605"/>
      <w:bookmarkEnd w:id="6606"/>
      <w:bookmarkEnd w:id="6607"/>
    </w:p>
    <w:p w:rsidR="00F4654E" w:rsidRDefault="00F4654E">
      <w:pPr>
        <w:pStyle w:val="a5"/>
      </w:pPr>
      <w:r>
        <w:t>Краснодарский научно-исследовательский ветеринарный институт</w:t>
      </w:r>
    </w:p>
    <w:p w:rsidR="00F4654E" w:rsidRDefault="00F4654E">
      <w:pPr>
        <w:pStyle w:val="a6"/>
      </w:pPr>
      <w:r>
        <w:t>Гипотрофия – заболевание, характеризующееся недоразвитостью и пониженной иммунобиологической реактивностью новорожденных пор</w:t>
      </w:r>
      <w:r>
        <w:t>о</w:t>
      </w:r>
      <w:r>
        <w:t>сят, которые чаще других страдают расстройствами желудочно-кишечного тракта и патологией органов дыхания, отстают в росте и развитии (В.В. Никольский и др., 1978).</w:t>
      </w:r>
    </w:p>
    <w:p w:rsidR="00F4654E" w:rsidRDefault="00F4654E">
      <w:pPr>
        <w:pStyle w:val="a6"/>
      </w:pPr>
      <w:r>
        <w:t>Основными причинами постнатальной гипотрофии являются низкая молочность свиноматок, маститы, неполноценное кормление подсосных свин</w:t>
      </w:r>
      <w:r>
        <w:t>о</w:t>
      </w:r>
      <w:r>
        <w:t>маток и отсутствие подкормки поросят, перенесенные заболевания, переохлаждения и антисанитарные условия содержания животных на фе</w:t>
      </w:r>
      <w:r>
        <w:t>р</w:t>
      </w:r>
      <w:r>
        <w:t>ме.</w:t>
      </w:r>
    </w:p>
    <w:p w:rsidR="00F4654E" w:rsidRDefault="00F4654E">
      <w:pPr>
        <w:pStyle w:val="a6"/>
      </w:pPr>
      <w:r>
        <w:t>В условиях свиноводческих хозяйств указанные причины в больши</w:t>
      </w:r>
      <w:r>
        <w:t>н</w:t>
      </w:r>
      <w:r>
        <w:t>стве случаев проявляются вместе. Поэтому целью настоящего исследов</w:t>
      </w:r>
      <w:r>
        <w:t>а</w:t>
      </w:r>
      <w:r>
        <w:t>ния являлось изучение влияния моренита на профилактику и лечение г</w:t>
      </w:r>
      <w:r>
        <w:t>и</w:t>
      </w:r>
      <w:r>
        <w:t>потрофии поросят. Моренит – бентонит Тарасовского месторождения Ро</w:t>
      </w:r>
      <w:r>
        <w:t>с</w:t>
      </w:r>
      <w:r>
        <w:t>товской области, природный алюмосиликат монтмориллонитовой группы.</w:t>
      </w:r>
    </w:p>
    <w:p w:rsidR="00F4654E" w:rsidRDefault="00F4654E">
      <w:pPr>
        <w:pStyle w:val="a6"/>
      </w:pPr>
      <w:r>
        <w:t>Опыты проводились СХП ВВС «Рассвет» Динского района Красн</w:t>
      </w:r>
      <w:r>
        <w:t>о</w:t>
      </w:r>
      <w:r>
        <w:t>дарского края, на свиньях крупной белой породы.</w:t>
      </w:r>
    </w:p>
    <w:p w:rsidR="00F4654E" w:rsidRDefault="00F4654E">
      <w:pPr>
        <w:pStyle w:val="a6"/>
      </w:pPr>
      <w:r>
        <w:t>При этом, определяли воздействие моренита на постнатальных гип</w:t>
      </w:r>
      <w:r>
        <w:t>о</w:t>
      </w:r>
      <w:r>
        <w:t>трофиков. Для этого было сформировано две группы поросят-аналогов 26-ти дневного возраста, отставших в росте в подсосный период с живой ма</w:t>
      </w:r>
      <w:r>
        <w:t>с</w:t>
      </w:r>
      <w:r>
        <w:lastRenderedPageBreak/>
        <w:t>сой 3,2-3,8 кг, что ниже нормальной технологической массы на 36,3%. О</w:t>
      </w:r>
      <w:r>
        <w:t>д</w:t>
      </w:r>
      <w:r>
        <w:t>на группа (12 голов) служила контролем, вторая (12 голов) дополнительно к рациону получала 3% моренита в течение 20 дней (до отъема).</w:t>
      </w:r>
    </w:p>
    <w:p w:rsidR="00F4654E" w:rsidRDefault="00F4654E">
      <w:pPr>
        <w:pStyle w:val="a6"/>
      </w:pPr>
      <w:r>
        <w:t>Анализ полученных экспериментальных данных дает основание гов</w:t>
      </w:r>
      <w:r>
        <w:t>о</w:t>
      </w:r>
      <w:r>
        <w:t>рить о том, что моренит способствует нормализации обменных процессов, повышению прироста живой массы и улучшению здоровья опытных пор</w:t>
      </w:r>
      <w:r>
        <w:t>о</w:t>
      </w:r>
      <w:r>
        <w:t>сят. При этом, было установлено, что поросята, получавшие с кормом м</w:t>
      </w:r>
      <w:r>
        <w:t>о</w:t>
      </w:r>
      <w:r>
        <w:t xml:space="preserve">ренит, росли более интенсивно. </w:t>
      </w:r>
    </w:p>
    <w:p w:rsidR="00F4654E" w:rsidRDefault="00F4654E">
      <w:pPr>
        <w:pStyle w:val="a6"/>
      </w:pPr>
      <w:r>
        <w:t>У животных опытной группы среднесуточный прирост живой массы составил 155,8 г против 118 в контрольной группе, что на 37,8 г выше, чем у животных, не получавших моренит, и на 32,03% выше контроля соотве</w:t>
      </w:r>
      <w:r>
        <w:t>т</w:t>
      </w:r>
      <w:r>
        <w:t>ственно.</w:t>
      </w:r>
    </w:p>
    <w:p w:rsidR="00F4654E" w:rsidRDefault="00F4654E">
      <w:pPr>
        <w:pStyle w:val="a6"/>
      </w:pPr>
      <w:r>
        <w:t>Вместе с тем, моренит оказывает положительное влияние и на с</w:t>
      </w:r>
      <w:r>
        <w:t>о</w:t>
      </w:r>
      <w:r>
        <w:t>хранность поросят-гипотрофиков. Так, за время опыта, из числа контрол</w:t>
      </w:r>
      <w:r>
        <w:t>ь</w:t>
      </w:r>
      <w:r>
        <w:t>ных животных пало три поросенка, что составило 25% от общего колич</w:t>
      </w:r>
      <w:r>
        <w:t>е</w:t>
      </w:r>
      <w:r>
        <w:t>ства животных в группе, а в опытной группе этот показатель был ниже на 16,6% и составил 8,4%. Это говорит о том, что назначение моренита но</w:t>
      </w:r>
      <w:r>
        <w:t>р</w:t>
      </w:r>
      <w:r>
        <w:t>мализует клиническое состояние организма поросят и обеспечивает с</w:t>
      </w:r>
      <w:r>
        <w:t>о</w:t>
      </w:r>
      <w:r>
        <w:t>хранность животных.</w:t>
      </w:r>
    </w:p>
    <w:p w:rsidR="00F4654E" w:rsidRDefault="00F4654E">
      <w:pPr>
        <w:pStyle w:val="a6"/>
      </w:pPr>
      <w:r>
        <w:t>Ежедневные клинические наблюдения за поросятами показали, что общее улучшение состояния здоровья опытных животных наступало уже на 7-10 дни, что проявлялось в усилении аппетита, подвижности, двиг</w:t>
      </w:r>
      <w:r>
        <w:t>а</w:t>
      </w:r>
      <w:r>
        <w:t>тельной активности, улучшении внешнего вида.</w:t>
      </w:r>
    </w:p>
    <w:p w:rsidR="00F4654E" w:rsidRDefault="00F4654E">
      <w:pPr>
        <w:pStyle w:val="a6"/>
      </w:pPr>
      <w:r>
        <w:t>Исследования крови поросят-гипотрофиков перед постановкой опыта подтвердили клиническую картину заболевания.</w:t>
      </w:r>
    </w:p>
    <w:p w:rsidR="00F4654E" w:rsidRDefault="00F4654E">
      <w:pPr>
        <w:pStyle w:val="a6"/>
      </w:pPr>
      <w:r>
        <w:t>Снижение гематокритной величины и увеличение цветного показат</w:t>
      </w:r>
      <w:r>
        <w:t>е</w:t>
      </w:r>
      <w:r>
        <w:t>ля характеризуют наличие анемии и ослабление функции кроветворных органов. Количество лейкоцитов снижено, а в лейкограмме наблюдается нейтрофилия с гипорегенеративным сдвигом ядра влево.</w:t>
      </w:r>
      <w:r>
        <w:tab/>
        <w:t>Наличие ли</w:t>
      </w:r>
      <w:r>
        <w:t>м</w:t>
      </w:r>
      <w:r>
        <w:t>фоцитоза в сочетании со снижением количества эритроцитов указывает на интоксикацию организма. В сыворотке крови отмечается пониженное с</w:t>
      </w:r>
      <w:r>
        <w:t>о</w:t>
      </w:r>
      <w:r>
        <w:t xml:space="preserve">держание общего белка на 21,5%, альбуминов – на 13,5%, повышение </w:t>
      </w:r>
      <w:r>
        <w:sym w:font="Symbol" w:char="F061"/>
      </w:r>
      <w:r>
        <w:t>-глобулинов – на 28,8%, что связано с нарушением усвоения белков корма в результате функциональной неполноценности кишечника. Уровень глюк</w:t>
      </w:r>
      <w:r>
        <w:t>о</w:t>
      </w:r>
      <w:r>
        <w:t>зы снижен на 30,8% в сравнении с физиологической нормой. Повышенное содержание мочевины свидетельствует о нарушении выделительной фун</w:t>
      </w:r>
      <w:r>
        <w:t>к</w:t>
      </w:r>
      <w:r>
        <w:t>ции почек. Однако, под действием моренита происходит изменение гем</w:t>
      </w:r>
      <w:r>
        <w:t>а</w:t>
      </w:r>
      <w:r>
        <w:t>тологических показателей. Так, количество эритроцитов и содержание г</w:t>
      </w:r>
      <w:r>
        <w:t>е</w:t>
      </w:r>
      <w:r>
        <w:t>моглобина к концу опытного периода у поросят второй группы возрастает, что, по-видимому, связано с уменьшением интоксикации организма пор</w:t>
      </w:r>
      <w:r>
        <w:t>о</w:t>
      </w:r>
      <w:r>
        <w:t>сят продуктами метаболизма и улучшением функции кроветворения. Сч</w:t>
      </w:r>
      <w:r>
        <w:t>и</w:t>
      </w:r>
      <w:r>
        <w:t>таем, что это привело к снижению цветового показателя и повышению г</w:t>
      </w:r>
      <w:r>
        <w:t>е</w:t>
      </w:r>
      <w:r>
        <w:t xml:space="preserve">матокритной величины, что в комплексе отражает картину улучшения </w:t>
      </w:r>
      <w:r>
        <w:lastRenderedPageBreak/>
        <w:t>свойств крови. В кроветворной же системе контрольных поросят набл</w:t>
      </w:r>
      <w:r>
        <w:t>ю</w:t>
      </w:r>
      <w:r>
        <w:t>даются значительные отклонения по этим показателям, подтверждающие признаки гипотрофии и ведущие к отставанию животных в росте и сниж</w:t>
      </w:r>
      <w:r>
        <w:t>е</w:t>
      </w:r>
      <w:r>
        <w:t>нию резистентности.</w:t>
      </w:r>
    </w:p>
    <w:p w:rsidR="00F4654E" w:rsidRDefault="00F4654E">
      <w:pPr>
        <w:pStyle w:val="a6"/>
      </w:pPr>
      <w:r>
        <w:t>В опытной группе изменились и показатели белкового обмена. Кол</w:t>
      </w:r>
      <w:r>
        <w:t>и</w:t>
      </w:r>
      <w:r>
        <w:t>чество общего белка приблизилось  к нижней границе физиологической нормы, в основном, за счет возрастания альбуминовой фракции. Кроме т</w:t>
      </w:r>
      <w:r>
        <w:t>о</w:t>
      </w:r>
      <w:r>
        <w:t xml:space="preserve">го, можно отметить повышение уровня </w:t>
      </w:r>
      <w:r>
        <w:sym w:font="Symbol" w:char="F067"/>
      </w:r>
      <w:r>
        <w:t>-глобулинов с 13,9 до 24,6%, хотя разница этих значений опытной и контрольной групп недостоверна.</w:t>
      </w:r>
    </w:p>
    <w:p w:rsidR="00F4654E" w:rsidRDefault="00F4654E">
      <w:pPr>
        <w:pStyle w:val="a6"/>
      </w:pPr>
      <w:r>
        <w:t>Повышение содержания белка, за счет альбуминовой фракции сыв</w:t>
      </w:r>
      <w:r>
        <w:t>о</w:t>
      </w:r>
      <w:r>
        <w:t>ротки крови, являющейся транспортной формой белков, свидетельствует об активации белкового обмена. Уменьшение же мочевины указывает на более рациональное течение этого процесса и лучшее использование бе</w:t>
      </w:r>
      <w:r>
        <w:t>л</w:t>
      </w:r>
      <w:r>
        <w:t>ков организмом, с одной стороны, а также повышение фильтрующей функции почек, с другой стороны.</w:t>
      </w:r>
    </w:p>
    <w:p w:rsidR="00F4654E" w:rsidRDefault="00F4654E">
      <w:pPr>
        <w:pStyle w:val="a6"/>
      </w:pPr>
      <w:r>
        <w:t>Кроме того, результаты опытов свидетельствуют об усилении угл</w:t>
      </w:r>
      <w:r>
        <w:t>е</w:t>
      </w:r>
      <w:r>
        <w:t>водного и жирового обменов и, в частности, более оптимального их теч</w:t>
      </w:r>
      <w:r>
        <w:t>е</w:t>
      </w:r>
      <w:r>
        <w:t>ния, следовательно, лучшего энергетического обеспечения протекающих в организме биохимических процессов.</w:t>
      </w:r>
    </w:p>
    <w:p w:rsidR="00F4654E" w:rsidRDefault="00F4654E">
      <w:pPr>
        <w:pStyle w:val="a4"/>
      </w:pPr>
      <w:r>
        <w:t>УДК 619:615</w:t>
      </w:r>
    </w:p>
    <w:p w:rsidR="00F4654E" w:rsidRDefault="00F4654E">
      <w:pPr>
        <w:pStyle w:val="1"/>
      </w:pPr>
      <w:bookmarkStart w:id="6608" w:name="_Toc11138193"/>
      <w:bookmarkStart w:id="6609" w:name="_Toc11138611"/>
      <w:bookmarkStart w:id="6610" w:name="_Toc11139029"/>
      <w:bookmarkStart w:id="6611" w:name="_Toc11139447"/>
      <w:bookmarkStart w:id="6612" w:name="_Toc11139865"/>
      <w:bookmarkStart w:id="6613" w:name="_Toc11140283"/>
      <w:bookmarkStart w:id="6614" w:name="_Toc11140701"/>
      <w:bookmarkStart w:id="6615" w:name="_Toc11390795"/>
      <w:bookmarkStart w:id="6616" w:name="_Toc11840480"/>
      <w:bookmarkStart w:id="6617" w:name="_Toc11938016"/>
      <w:r>
        <w:t>Задачи и проблемы ветеринарной фармации в России</w:t>
      </w:r>
      <w:bookmarkEnd w:id="6608"/>
      <w:bookmarkEnd w:id="6609"/>
      <w:bookmarkEnd w:id="6610"/>
      <w:bookmarkEnd w:id="6611"/>
      <w:bookmarkEnd w:id="6612"/>
      <w:bookmarkEnd w:id="6613"/>
      <w:bookmarkEnd w:id="6614"/>
      <w:bookmarkEnd w:id="6615"/>
      <w:bookmarkEnd w:id="6616"/>
      <w:bookmarkEnd w:id="6617"/>
    </w:p>
    <w:p w:rsidR="00F4654E" w:rsidRDefault="00F4654E">
      <w:pPr>
        <w:pStyle w:val="2"/>
      </w:pPr>
      <w:bookmarkStart w:id="6618" w:name="_Toc11032460"/>
      <w:bookmarkStart w:id="6619" w:name="_Toc11138194"/>
      <w:bookmarkStart w:id="6620" w:name="_Toc11138612"/>
      <w:bookmarkStart w:id="6621" w:name="_Toc11139030"/>
      <w:bookmarkStart w:id="6622" w:name="_Toc11139448"/>
      <w:bookmarkStart w:id="6623" w:name="_Toc11139866"/>
      <w:bookmarkStart w:id="6624" w:name="_Toc11140284"/>
      <w:bookmarkStart w:id="6625" w:name="_Toc11140702"/>
      <w:bookmarkStart w:id="6626" w:name="_Toc11390796"/>
      <w:bookmarkStart w:id="6627" w:name="_Toc11938017"/>
      <w:r>
        <w:t>Трошин Н.А., Трошин А.Н.</w:t>
      </w:r>
      <w:bookmarkEnd w:id="6618"/>
      <w:bookmarkEnd w:id="6619"/>
      <w:bookmarkEnd w:id="6620"/>
      <w:bookmarkEnd w:id="6621"/>
      <w:bookmarkEnd w:id="6622"/>
      <w:bookmarkEnd w:id="6623"/>
      <w:bookmarkEnd w:id="6624"/>
      <w:bookmarkEnd w:id="6625"/>
      <w:bookmarkEnd w:id="6626"/>
      <w:bookmarkEnd w:id="6627"/>
      <w:r>
        <w:t xml:space="preserve"> </w:t>
      </w:r>
    </w:p>
    <w:p w:rsidR="00F4654E" w:rsidRDefault="00F4654E">
      <w:pPr>
        <w:pStyle w:val="a5"/>
      </w:pPr>
      <w:r>
        <w:t>Кубанский государственный аграрный университет</w:t>
      </w:r>
    </w:p>
    <w:p w:rsidR="00F4654E" w:rsidRDefault="00F4654E">
      <w:pPr>
        <w:pStyle w:val="a6"/>
      </w:pPr>
      <w:r>
        <w:t>Развитие современного фармацевтического рынка создают большие перспективы фармацевтической индустрии, которая даёт возможность ра</w:t>
      </w:r>
      <w:r>
        <w:t>з</w:t>
      </w:r>
      <w:r>
        <w:t>работки принципиально новых лекарственных средств на основе прогре</w:t>
      </w:r>
      <w:r>
        <w:t>с</w:t>
      </w:r>
      <w:r>
        <w:t>сивных технологий и генной инженерии.</w:t>
      </w:r>
    </w:p>
    <w:p w:rsidR="00F4654E" w:rsidRDefault="00F4654E">
      <w:pPr>
        <w:pStyle w:val="a6"/>
      </w:pPr>
      <w:r>
        <w:t>Для мировой ветеринарии является основной проблемой рационал</w:t>
      </w:r>
      <w:r>
        <w:t>ь</w:t>
      </w:r>
      <w:r>
        <w:t>ное использование лекарственных средств, предусматривающей грамотное профессиональное использование препаратов животным, как с целью л</w:t>
      </w:r>
      <w:r>
        <w:t>е</w:t>
      </w:r>
      <w:r>
        <w:t>чения, так и с целью профилактики и стимуляции роста. Актуальность и важность этой проблемы свидетельствует о многочисленных фактах м</w:t>
      </w:r>
      <w:r>
        <w:t>и</w:t>
      </w:r>
      <w:r>
        <w:t>грации лекарственных веществ в пищевых продуктах животного происх</w:t>
      </w:r>
      <w:r>
        <w:t>о</w:t>
      </w:r>
      <w:r>
        <w:t>ждения.</w:t>
      </w:r>
    </w:p>
    <w:p w:rsidR="00F4654E" w:rsidRDefault="00F4654E">
      <w:pPr>
        <w:pStyle w:val="a6"/>
      </w:pPr>
      <w:r>
        <w:t>В последние годы резко возросло число ветеринарных фармацевтич</w:t>
      </w:r>
      <w:r>
        <w:t>е</w:t>
      </w:r>
      <w:r>
        <w:t>ских предприятий, причем многие предприятия, получившие лицензию на производство и продажу лекарственных с</w:t>
      </w:r>
      <w:r w:rsidR="004A4978">
        <w:t>редств, приступили к этой р</w:t>
      </w:r>
      <w:r w:rsidR="004A4978">
        <w:t>а</w:t>
      </w:r>
      <w:r w:rsidR="004A4978">
        <w:t xml:space="preserve">бот, </w:t>
      </w:r>
      <w:r>
        <w:t>не имея достаточного опыта и подготовленных специалистов. Предпр</w:t>
      </w:r>
      <w:r>
        <w:t>и</w:t>
      </w:r>
      <w:r>
        <w:t>ятия оптовой торговли лекарственными средствами, работающие на рынке ветеринарных препаратов, порой не имеют необходимых условий для транспортировки и хранения лекарственных средств, по разным пр</w:t>
      </w:r>
      <w:r>
        <w:t>и</w:t>
      </w:r>
      <w:r>
        <w:t xml:space="preserve">чинам </w:t>
      </w:r>
      <w:r>
        <w:lastRenderedPageBreak/>
        <w:t>за деятельностью таких предприятий не осуществляется должный ко</w:t>
      </w:r>
      <w:r>
        <w:t>н</w:t>
      </w:r>
      <w:r>
        <w:t>троль. Надзор за деятельностью ветеринарных аптек различной формы собственности фактически не осуществляется. Никто не представляет и</w:t>
      </w:r>
      <w:r>
        <w:t>н</w:t>
      </w:r>
      <w:r>
        <w:t>тересы ветеринарной службы в комитетах по фармацевтической деятел</w:t>
      </w:r>
      <w:r>
        <w:t>ь</w:t>
      </w:r>
      <w:r>
        <w:t>ности и производству лекарственных средств как на территориальном, так и на федеральном уровнях.</w:t>
      </w:r>
    </w:p>
    <w:p w:rsidR="00F4654E" w:rsidRDefault="00F4654E">
      <w:pPr>
        <w:pStyle w:val="a6"/>
      </w:pPr>
      <w:r>
        <w:t>В стране имеется большое количество фармацевтических вузов и ф</w:t>
      </w:r>
      <w:r>
        <w:t>а</w:t>
      </w:r>
      <w:r>
        <w:t>культетов в области медицины, тогда как по подготовке специалистов в ветеринарной фармации отсутствуют вообще. Между тем организация л</w:t>
      </w:r>
      <w:r>
        <w:t>е</w:t>
      </w:r>
      <w:r>
        <w:t>карственного обеспечения животноводства и контроль качества ветер</w:t>
      </w:r>
      <w:r>
        <w:t>и</w:t>
      </w:r>
      <w:r>
        <w:t>нарных лекарственных средств - это задача от которой зависит качество и безопасность продуктов питания.</w:t>
      </w:r>
    </w:p>
    <w:p w:rsidR="00F4654E" w:rsidRDefault="00F4654E">
      <w:pPr>
        <w:pStyle w:val="a6"/>
      </w:pPr>
      <w:r>
        <w:t>С учетом сложившейся ситуации Российской Федерации считаем н</w:t>
      </w:r>
      <w:r>
        <w:t>е</w:t>
      </w:r>
      <w:r w:rsidR="007A6E39">
        <w:t xml:space="preserve">обходимым </w:t>
      </w:r>
      <w:r>
        <w:t>рассмотреть вопрос открытия химико-фармацевтических ф</w:t>
      </w:r>
      <w:r>
        <w:t>а</w:t>
      </w:r>
      <w:r>
        <w:t>культетов при крупнейших ветеринарных вузах страны. В настоящее вр</w:t>
      </w:r>
      <w:r>
        <w:t>е</w:t>
      </w:r>
      <w:r>
        <w:t>мя возможно на базе ветеринарных факультетов организация специализ</w:t>
      </w:r>
      <w:r>
        <w:t>а</w:t>
      </w:r>
      <w:r>
        <w:t>ции по ветеринарной фармации. Программа специализации по ветерина</w:t>
      </w:r>
      <w:r>
        <w:t>р</w:t>
      </w:r>
      <w:r>
        <w:t>ной фармации должна состоять из следующих разделов: введение, орган</w:t>
      </w:r>
      <w:r>
        <w:t>и</w:t>
      </w:r>
      <w:r>
        <w:t>зация и экономика   фармации, технология ветеринарных лекарственных средств, рецептура, расширенный курс общей, частной и фарма</w:t>
      </w:r>
      <w:r w:rsidR="007A6E39">
        <w:t>кологии, фармакогнозия с основа</w:t>
      </w:r>
      <w:r>
        <w:t>ми ботаники и фармацевтическая химия.</w:t>
      </w:r>
    </w:p>
    <w:p w:rsidR="00F4654E" w:rsidRDefault="00F4654E">
      <w:pPr>
        <w:pStyle w:val="a6"/>
      </w:pPr>
      <w:r>
        <w:t>Особая роль должна отводиться изучению Федерального закона Ро</w:t>
      </w:r>
      <w:r>
        <w:t>с</w:t>
      </w:r>
      <w:r>
        <w:t>сийской Федерации «О лекарственных средствах» (1998), вопросам гос</w:t>
      </w:r>
      <w:r>
        <w:t>у</w:t>
      </w:r>
      <w:r>
        <w:t>дарственного регулирования отношений, возникающих в сфере обращения ветеринарных лекарственных средств, государственной системе контроля качества, эффективности и безопасности    ветеринарных препаратов.</w:t>
      </w:r>
    </w:p>
    <w:p w:rsidR="00F4654E" w:rsidRDefault="00F4654E">
      <w:pPr>
        <w:pStyle w:val="a6"/>
      </w:pPr>
      <w:r>
        <w:t>Совершенствование профессиональной подготовки позволит реально повысить качество ветеринарного образования, поднять его престиж и конкурентоспособность.</w:t>
      </w:r>
    </w:p>
    <w:p w:rsidR="00F4654E" w:rsidRDefault="00F4654E">
      <w:pPr>
        <w:pStyle w:val="a4"/>
      </w:pPr>
      <w:r>
        <w:t>УДК 619:615.9</w:t>
      </w:r>
    </w:p>
    <w:p w:rsidR="00F4654E" w:rsidRDefault="00F4654E">
      <w:pPr>
        <w:pStyle w:val="1"/>
      </w:pPr>
      <w:bookmarkStart w:id="6628" w:name="_Toc11138189"/>
      <w:bookmarkStart w:id="6629" w:name="_Toc11138607"/>
      <w:bookmarkStart w:id="6630" w:name="_Toc11139025"/>
      <w:bookmarkStart w:id="6631" w:name="_Toc11139443"/>
      <w:bookmarkStart w:id="6632" w:name="_Toc11139861"/>
      <w:bookmarkStart w:id="6633" w:name="_Toc11140279"/>
      <w:bookmarkStart w:id="6634" w:name="_Toc11140697"/>
      <w:bookmarkStart w:id="6635" w:name="_Toc11390791"/>
      <w:bookmarkStart w:id="6636" w:name="_Toc11840482"/>
      <w:bookmarkStart w:id="6637" w:name="_Toc11938018"/>
      <w:r>
        <w:t>Изучение раздражающего действия нового противомаститного препарата уберцид</w:t>
      </w:r>
      <w:bookmarkEnd w:id="6628"/>
      <w:bookmarkEnd w:id="6629"/>
      <w:bookmarkEnd w:id="6630"/>
      <w:bookmarkEnd w:id="6631"/>
      <w:bookmarkEnd w:id="6632"/>
      <w:bookmarkEnd w:id="6633"/>
      <w:bookmarkEnd w:id="6634"/>
      <w:bookmarkEnd w:id="6635"/>
      <w:bookmarkEnd w:id="6636"/>
      <w:bookmarkEnd w:id="6637"/>
    </w:p>
    <w:p w:rsidR="00F4654E" w:rsidRDefault="00F4654E">
      <w:pPr>
        <w:pStyle w:val="2"/>
      </w:pPr>
      <w:bookmarkStart w:id="6638" w:name="_Toc11032458"/>
      <w:bookmarkStart w:id="6639" w:name="_Toc11138190"/>
      <w:bookmarkStart w:id="6640" w:name="_Toc11138608"/>
      <w:bookmarkStart w:id="6641" w:name="_Toc11139026"/>
      <w:bookmarkStart w:id="6642" w:name="_Toc11139444"/>
      <w:bookmarkStart w:id="6643" w:name="_Toc11139862"/>
      <w:bookmarkStart w:id="6644" w:name="_Toc11140280"/>
      <w:bookmarkStart w:id="6645" w:name="_Toc11140698"/>
      <w:bookmarkStart w:id="6646" w:name="_Toc11390792"/>
      <w:bookmarkStart w:id="6647" w:name="_Toc11938019"/>
      <w:r>
        <w:t>Трошин А.Н.</w:t>
      </w:r>
      <w:bookmarkEnd w:id="6638"/>
      <w:bookmarkEnd w:id="6639"/>
      <w:bookmarkEnd w:id="6640"/>
      <w:bookmarkEnd w:id="6641"/>
      <w:bookmarkEnd w:id="6642"/>
      <w:bookmarkEnd w:id="6643"/>
      <w:bookmarkEnd w:id="6644"/>
      <w:bookmarkEnd w:id="6645"/>
      <w:bookmarkEnd w:id="6646"/>
      <w:bookmarkEnd w:id="6647"/>
      <w:r>
        <w:t xml:space="preserve"> </w:t>
      </w:r>
    </w:p>
    <w:p w:rsidR="00F4654E" w:rsidRDefault="00F4654E">
      <w:pPr>
        <w:pStyle w:val="a5"/>
      </w:pPr>
      <w:r>
        <w:t>Кубанский государственный аграрный университет</w:t>
      </w:r>
    </w:p>
    <w:p w:rsidR="00F4654E" w:rsidRDefault="00F4654E">
      <w:pPr>
        <w:pStyle w:val="a6"/>
      </w:pPr>
      <w:r>
        <w:t>В настоящее время болезни молочной железы составляют до 80% о</w:t>
      </w:r>
      <w:r>
        <w:t>б</w:t>
      </w:r>
      <w:r>
        <w:t>щей акушерско-гинекологической патологии у коров. В современных х</w:t>
      </w:r>
      <w:r>
        <w:t>о</w:t>
      </w:r>
      <w:r>
        <w:t>зяйствах общая заболеваемость продуктивных животных маститами по о</w:t>
      </w:r>
      <w:r>
        <w:t>т</w:t>
      </w:r>
      <w:r>
        <w:t>ношению к общему поголовью составляет, как правило, порядка 40-60%.</w:t>
      </w:r>
    </w:p>
    <w:p w:rsidR="00F4654E" w:rsidRDefault="00F4654E">
      <w:pPr>
        <w:pStyle w:val="a6"/>
      </w:pPr>
      <w:r>
        <w:t>Такая ситуация обуславливает разработку новых эффективных средств профилактики и лечения мастопатологий. Одним из таких лека</w:t>
      </w:r>
      <w:r>
        <w:t>р</w:t>
      </w:r>
      <w:r>
        <w:t xml:space="preserve">ственных препаратов является мазь «Уберцид», проявляющая в опытах in </w:t>
      </w:r>
      <w:r>
        <w:lastRenderedPageBreak/>
        <w:t xml:space="preserve">vitro и in vivo выраженную антимикробную и фунгицидную активность и оказывающая противовоспалительное и иммуностимулирующее действие. Зачастую выраженное антибактериальный эффект местнодействующих препаратов сопровождается раздражающим действием, вследствие нали-чия в составе таких лекарственных средств диметилсульфоксида, поверх-ностно-активных соединений, антибиотиков.     </w:t>
      </w:r>
    </w:p>
    <w:p w:rsidR="00F4654E" w:rsidRPr="007A6E39" w:rsidRDefault="00F4654E">
      <w:pPr>
        <w:pStyle w:val="a6"/>
        <w:rPr>
          <w:spacing w:val="2"/>
        </w:rPr>
      </w:pPr>
      <w:r w:rsidRPr="007A6E39">
        <w:rPr>
          <w:spacing w:val="2"/>
        </w:rPr>
        <w:t>Опыты по изучению раздражающего действия мази «Уберцид» пр</w:t>
      </w:r>
      <w:r w:rsidRPr="007A6E39">
        <w:rPr>
          <w:spacing w:val="2"/>
        </w:rPr>
        <w:t>о</w:t>
      </w:r>
      <w:r w:rsidRPr="007A6E39">
        <w:rPr>
          <w:spacing w:val="2"/>
        </w:rPr>
        <w:t>ведены на кроликах с массой тела 2,2-2,4 кг. Количество животных в группах опытных и контрольных составляло по 6 особей разных полов. Исследуемый препарат наносили в чистом виде. Площадь нанесения с</w:t>
      </w:r>
      <w:r w:rsidRPr="007A6E39">
        <w:rPr>
          <w:spacing w:val="2"/>
        </w:rPr>
        <w:t>о</w:t>
      </w:r>
      <w:r w:rsidRPr="007A6E39">
        <w:rPr>
          <w:spacing w:val="2"/>
        </w:rPr>
        <w:t>ставляла 80-82 см</w:t>
      </w:r>
      <w:r w:rsidRPr="007A6E39">
        <w:rPr>
          <w:spacing w:val="2"/>
          <w:vertAlign w:val="superscript"/>
        </w:rPr>
        <w:t>2</w:t>
      </w:r>
      <w:r w:rsidRPr="007A6E39">
        <w:rPr>
          <w:spacing w:val="2"/>
        </w:rPr>
        <w:t xml:space="preserve">  (5% от общей поверхности тела животных). За два дня до эксперимента тщательно выстригали шерсть на спине, избегая мех</w:t>
      </w:r>
      <w:r w:rsidRPr="007A6E39">
        <w:rPr>
          <w:spacing w:val="2"/>
        </w:rPr>
        <w:t>а</w:t>
      </w:r>
      <w:r w:rsidRPr="007A6E39">
        <w:rPr>
          <w:spacing w:val="2"/>
        </w:rPr>
        <w:t>нических повреждений кожных покровов. Препарат равномерно распр</w:t>
      </w:r>
      <w:r w:rsidRPr="007A6E39">
        <w:rPr>
          <w:spacing w:val="2"/>
        </w:rPr>
        <w:t>е</w:t>
      </w:r>
      <w:r w:rsidRPr="007A6E39">
        <w:rPr>
          <w:spacing w:val="2"/>
        </w:rPr>
        <w:t>деляли по поверхности уч</w:t>
      </w:r>
      <w:r w:rsidRPr="007A6E39">
        <w:rPr>
          <w:spacing w:val="2"/>
        </w:rPr>
        <w:t>а</w:t>
      </w:r>
      <w:r w:rsidRPr="007A6E39">
        <w:rPr>
          <w:spacing w:val="2"/>
        </w:rPr>
        <w:t>стка в дозах от 20 до 100 мг/см</w:t>
      </w:r>
      <w:r w:rsidRPr="007A6E39">
        <w:rPr>
          <w:spacing w:val="2"/>
          <w:vertAlign w:val="superscript"/>
        </w:rPr>
        <w:t>2</w:t>
      </w:r>
      <w:r w:rsidRPr="007A6E39">
        <w:rPr>
          <w:spacing w:val="2"/>
        </w:rPr>
        <w:t>. После 4-часовой экспозиции кожу аккуратно протирали ватным тампоном, см</w:t>
      </w:r>
      <w:r w:rsidRPr="007A6E39">
        <w:rPr>
          <w:spacing w:val="2"/>
        </w:rPr>
        <w:t>о</w:t>
      </w:r>
      <w:r w:rsidRPr="007A6E39">
        <w:rPr>
          <w:spacing w:val="2"/>
        </w:rPr>
        <w:t>ченным дистиллированной водой. Реакцию кожи на воздействие препар</w:t>
      </w:r>
      <w:r w:rsidRPr="007A6E39">
        <w:rPr>
          <w:spacing w:val="2"/>
        </w:rPr>
        <w:t>а</w:t>
      </w:r>
      <w:r w:rsidRPr="007A6E39">
        <w:rPr>
          <w:spacing w:val="2"/>
        </w:rPr>
        <w:t>та оценивали через 1 и 16 часов после однократного нанесения. Учитыв</w:t>
      </w:r>
      <w:r w:rsidRPr="007A6E39">
        <w:rPr>
          <w:spacing w:val="2"/>
        </w:rPr>
        <w:t>а</w:t>
      </w:r>
      <w:r w:rsidRPr="007A6E39">
        <w:rPr>
          <w:spacing w:val="2"/>
        </w:rPr>
        <w:t>ли различную степень выраженности эритемы, отека, трещин, изъязвл</w:t>
      </w:r>
      <w:r w:rsidRPr="007A6E39">
        <w:rPr>
          <w:spacing w:val="2"/>
        </w:rPr>
        <w:t>е</w:t>
      </w:r>
      <w:r w:rsidRPr="007A6E39">
        <w:rPr>
          <w:spacing w:val="2"/>
        </w:rPr>
        <w:t>ний, изменением температ</w:t>
      </w:r>
      <w:r w:rsidRPr="007A6E39">
        <w:rPr>
          <w:spacing w:val="2"/>
        </w:rPr>
        <w:t>у</w:t>
      </w:r>
      <w:r w:rsidRPr="007A6E39">
        <w:rPr>
          <w:spacing w:val="2"/>
        </w:rPr>
        <w:t>ры.</w:t>
      </w:r>
    </w:p>
    <w:p w:rsidR="00F4654E" w:rsidRDefault="00F4654E">
      <w:pPr>
        <w:pStyle w:val="a6"/>
      </w:pPr>
      <w:r>
        <w:t>Установлено, что при однократной аппликации на кожные покровы кроликам при плотности нанесения от 20 до 100 мг/см</w:t>
      </w:r>
      <w:r>
        <w:rPr>
          <w:vertAlign w:val="superscript"/>
        </w:rPr>
        <w:t>2</w:t>
      </w:r>
      <w:r>
        <w:t xml:space="preserve"> мази «Уберцид» не отмечается повреждение кожи в виде эритемы или  отеков.</w:t>
      </w:r>
    </w:p>
    <w:p w:rsidR="00F4654E" w:rsidRDefault="00F4654E">
      <w:pPr>
        <w:pStyle w:val="a4"/>
      </w:pPr>
      <w:r>
        <w:t>УДК 619-618.19-002</w:t>
      </w:r>
    </w:p>
    <w:p w:rsidR="00F4654E" w:rsidRDefault="00F4654E">
      <w:pPr>
        <w:pStyle w:val="1"/>
      </w:pPr>
      <w:bookmarkStart w:id="6648" w:name="_Toc11138191"/>
      <w:bookmarkStart w:id="6649" w:name="_Toc11138609"/>
      <w:bookmarkStart w:id="6650" w:name="_Toc11139027"/>
      <w:bookmarkStart w:id="6651" w:name="_Toc11139445"/>
      <w:bookmarkStart w:id="6652" w:name="_Toc11139863"/>
      <w:bookmarkStart w:id="6653" w:name="_Toc11140281"/>
      <w:bookmarkStart w:id="6654" w:name="_Toc11140699"/>
      <w:bookmarkStart w:id="6655" w:name="_Toc11390793"/>
      <w:bookmarkStart w:id="6656" w:name="_Toc11840484"/>
      <w:bookmarkStart w:id="6657" w:name="_Toc11938020"/>
      <w:r>
        <w:t>Лечебно-профилактические свойства противомаститного препарата уберцид</w:t>
      </w:r>
      <w:bookmarkEnd w:id="6648"/>
      <w:bookmarkEnd w:id="6649"/>
      <w:bookmarkEnd w:id="6650"/>
      <w:bookmarkEnd w:id="6651"/>
      <w:bookmarkEnd w:id="6652"/>
      <w:bookmarkEnd w:id="6653"/>
      <w:bookmarkEnd w:id="6654"/>
      <w:bookmarkEnd w:id="6655"/>
      <w:bookmarkEnd w:id="6656"/>
      <w:bookmarkEnd w:id="6657"/>
    </w:p>
    <w:p w:rsidR="00F4654E" w:rsidRDefault="00F4654E">
      <w:pPr>
        <w:pStyle w:val="2"/>
      </w:pPr>
      <w:bookmarkStart w:id="6658" w:name="_Toc11032459"/>
      <w:bookmarkStart w:id="6659" w:name="_Toc11138192"/>
      <w:bookmarkStart w:id="6660" w:name="_Toc11138610"/>
      <w:bookmarkStart w:id="6661" w:name="_Toc11139028"/>
      <w:bookmarkStart w:id="6662" w:name="_Toc11139446"/>
      <w:bookmarkStart w:id="6663" w:name="_Toc11139864"/>
      <w:bookmarkStart w:id="6664" w:name="_Toc11140282"/>
      <w:bookmarkStart w:id="6665" w:name="_Toc11140700"/>
      <w:bookmarkStart w:id="6666" w:name="_Toc11390794"/>
      <w:bookmarkStart w:id="6667" w:name="_Toc11938021"/>
      <w:r>
        <w:t>Трошин А.Н.</w:t>
      </w:r>
      <w:bookmarkEnd w:id="6658"/>
      <w:bookmarkEnd w:id="6659"/>
      <w:bookmarkEnd w:id="6660"/>
      <w:bookmarkEnd w:id="6661"/>
      <w:bookmarkEnd w:id="6662"/>
      <w:bookmarkEnd w:id="6663"/>
      <w:bookmarkEnd w:id="6664"/>
      <w:bookmarkEnd w:id="6665"/>
      <w:bookmarkEnd w:id="6666"/>
      <w:bookmarkEnd w:id="6667"/>
      <w:r>
        <w:t xml:space="preserve"> </w:t>
      </w:r>
    </w:p>
    <w:p w:rsidR="00F4654E" w:rsidRDefault="00F4654E">
      <w:pPr>
        <w:pStyle w:val="a5"/>
      </w:pPr>
      <w:r>
        <w:t>Кубанский государственный аграрный университет</w:t>
      </w:r>
    </w:p>
    <w:p w:rsidR="00F4654E" w:rsidRDefault="00F4654E">
      <w:pPr>
        <w:pStyle w:val="a6"/>
      </w:pPr>
      <w:r>
        <w:t>Разработка новых противомаститных препаратов в настоящее время является актуальной, вследствие широкого распространения заболеваний молочной железы у продуктивных животных. Наличие одновременно н</w:t>
      </w:r>
      <w:r>
        <w:t>е</w:t>
      </w:r>
      <w:r>
        <w:t>скольких возбудителей воспаления, наслоение секундарной микрофлоры на фоне нарушения технологии доения и недостаточной дезинфекции в</w:t>
      </w:r>
      <w:r>
        <w:t>ы</w:t>
      </w:r>
      <w:r>
        <w:t xml:space="preserve">мени резко снижает лечебную эффективность большинства стандартных схем лечения мастита в современных хозяйствах. </w:t>
      </w:r>
    </w:p>
    <w:p w:rsidR="00F4654E" w:rsidRPr="00D75866" w:rsidRDefault="00F4654E">
      <w:pPr>
        <w:pStyle w:val="a6"/>
        <w:rPr>
          <w:spacing w:val="-2"/>
        </w:rPr>
      </w:pPr>
      <w:r w:rsidRPr="00D75866">
        <w:rPr>
          <w:spacing w:val="-2"/>
        </w:rPr>
        <w:t>Проведена экспериментально-клиническая оценка нового противома</w:t>
      </w:r>
      <w:r w:rsidRPr="00D75866">
        <w:rPr>
          <w:spacing w:val="-2"/>
        </w:rPr>
        <w:t>с</w:t>
      </w:r>
      <w:r w:rsidRPr="00D75866">
        <w:rPr>
          <w:spacing w:val="-2"/>
        </w:rPr>
        <w:t>титного препарата уберцид в хозяйствах Тимашевского, Динского, Красн</w:t>
      </w:r>
      <w:r w:rsidRPr="00D75866">
        <w:rPr>
          <w:spacing w:val="-2"/>
        </w:rPr>
        <w:t>о</w:t>
      </w:r>
      <w:r w:rsidRPr="00D75866">
        <w:rPr>
          <w:spacing w:val="-2"/>
        </w:rPr>
        <w:t>армейского районов Краснодарского края. Диагноз на мастит уст</w:t>
      </w:r>
      <w:r w:rsidRPr="00D75866">
        <w:rPr>
          <w:spacing w:val="-2"/>
        </w:rPr>
        <w:t>а</w:t>
      </w:r>
      <w:r w:rsidRPr="00D75866">
        <w:rPr>
          <w:spacing w:val="-2"/>
        </w:rPr>
        <w:t>навливали комплексно на основании клинического обследования, мастидиновой пр</w:t>
      </w:r>
      <w:r w:rsidRPr="00D75866">
        <w:rPr>
          <w:spacing w:val="-2"/>
        </w:rPr>
        <w:t>о</w:t>
      </w:r>
      <w:r w:rsidRPr="00D75866">
        <w:rPr>
          <w:spacing w:val="-2"/>
        </w:rPr>
        <w:t>бы, лабораторных микробиологических исследований. В о</w:t>
      </w:r>
      <w:r w:rsidRPr="00D75866">
        <w:rPr>
          <w:spacing w:val="-2"/>
        </w:rPr>
        <w:t>б</w:t>
      </w:r>
      <w:r w:rsidRPr="00D75866">
        <w:rPr>
          <w:spacing w:val="-2"/>
        </w:rPr>
        <w:t>щей сложности 72 коровам опытной группы больных маститами различной этиологии и клинического течения в качестве лечебного средства прим</w:t>
      </w:r>
      <w:r w:rsidRPr="00D75866">
        <w:rPr>
          <w:spacing w:val="-2"/>
        </w:rPr>
        <w:t>е</w:t>
      </w:r>
      <w:r w:rsidRPr="00D75866">
        <w:rPr>
          <w:spacing w:val="-2"/>
        </w:rPr>
        <w:t xml:space="preserve">няли уберцид..   </w:t>
      </w:r>
      <w:r w:rsidRPr="00D75866">
        <w:rPr>
          <w:spacing w:val="-2"/>
        </w:rPr>
        <w:lastRenderedPageBreak/>
        <w:t>Контрольным группам коров (n=112) больных маститами в качестве средс</w:t>
      </w:r>
      <w:r w:rsidRPr="00D75866">
        <w:rPr>
          <w:spacing w:val="-2"/>
        </w:rPr>
        <w:t>т</w:t>
      </w:r>
      <w:r w:rsidRPr="00D75866">
        <w:rPr>
          <w:spacing w:val="-2"/>
        </w:rPr>
        <w:t>ва сравнения применяли мастисан А, мастисан Е. Установлено, что прим</w:t>
      </w:r>
      <w:r w:rsidRPr="00D75866">
        <w:rPr>
          <w:spacing w:val="-2"/>
        </w:rPr>
        <w:t>е</w:t>
      </w:r>
      <w:r w:rsidRPr="00D75866">
        <w:rPr>
          <w:spacing w:val="-2"/>
        </w:rPr>
        <w:t>нение уберцида по принятой схеме лечения оказывает выраженный тер</w:t>
      </w:r>
      <w:r w:rsidRPr="00D75866">
        <w:rPr>
          <w:spacing w:val="-2"/>
        </w:rPr>
        <w:t>а</w:t>
      </w:r>
      <w:r w:rsidRPr="00D75866">
        <w:rPr>
          <w:spacing w:val="-2"/>
        </w:rPr>
        <w:t>певтический эффект при маститах. Лечебная эффекти</w:t>
      </w:r>
      <w:r w:rsidRPr="00D75866">
        <w:rPr>
          <w:spacing w:val="-2"/>
        </w:rPr>
        <w:t>в</w:t>
      </w:r>
      <w:r w:rsidRPr="00D75866">
        <w:rPr>
          <w:spacing w:val="-2"/>
        </w:rPr>
        <w:t>ность препарата при скрытом мастите достигала 98-100%, что на 12-18% выше, чем в контрол</w:t>
      </w:r>
      <w:r w:rsidRPr="00D75866">
        <w:rPr>
          <w:spacing w:val="-2"/>
        </w:rPr>
        <w:t>ь</w:t>
      </w:r>
      <w:r w:rsidRPr="00D75866">
        <w:rPr>
          <w:spacing w:val="-2"/>
        </w:rPr>
        <w:t>ных группах. Срок выздоровления при лечении мастита уберцидом (4-5 дней) на двое суток короче, чем в при лечении мастисаном. Лечение клин</w:t>
      </w:r>
      <w:r w:rsidRPr="00D75866">
        <w:rPr>
          <w:spacing w:val="-2"/>
        </w:rPr>
        <w:t>и</w:t>
      </w:r>
      <w:r w:rsidRPr="00D75866">
        <w:rPr>
          <w:spacing w:val="-2"/>
        </w:rPr>
        <w:t>чески выраже</w:t>
      </w:r>
      <w:r w:rsidRPr="00D75866">
        <w:rPr>
          <w:spacing w:val="-2"/>
        </w:rPr>
        <w:t>н</w:t>
      </w:r>
      <w:r w:rsidRPr="00D75866">
        <w:rPr>
          <w:spacing w:val="-2"/>
        </w:rPr>
        <w:t>ного мастита различной этиологии в опытных группах было эффективно в 95-98% случаев, в контрольных 78-85%.</w:t>
      </w:r>
    </w:p>
    <w:p w:rsidR="00F4654E" w:rsidRPr="00D75866" w:rsidRDefault="00F4654E">
      <w:pPr>
        <w:pStyle w:val="a6"/>
        <w:rPr>
          <w:spacing w:val="-4"/>
        </w:rPr>
      </w:pPr>
      <w:r w:rsidRPr="00D75866">
        <w:rPr>
          <w:spacing w:val="-4"/>
        </w:rPr>
        <w:t>Таким образом установлено, что применение уберцида для лечения ма</w:t>
      </w:r>
      <w:r w:rsidRPr="00D75866">
        <w:rPr>
          <w:spacing w:val="-4"/>
        </w:rPr>
        <w:t>с</w:t>
      </w:r>
      <w:r w:rsidRPr="00D75866">
        <w:rPr>
          <w:spacing w:val="-4"/>
        </w:rPr>
        <w:t>тита у коров клинически эффективно в сравнении со стандартными схемами лечения маститов  применяемых хозяйствами в современных у</w:t>
      </w:r>
      <w:r w:rsidRPr="00D75866">
        <w:rPr>
          <w:spacing w:val="-4"/>
        </w:rPr>
        <w:t>с</w:t>
      </w:r>
      <w:r w:rsidRPr="00D75866">
        <w:rPr>
          <w:spacing w:val="-4"/>
        </w:rPr>
        <w:t>ловиях.</w:t>
      </w:r>
      <w:r w:rsidRPr="00D75866">
        <w:rPr>
          <w:spacing w:val="-4"/>
        </w:rPr>
        <w:tab/>
        <w:t xml:space="preserve"> </w:t>
      </w:r>
    </w:p>
    <w:p w:rsidR="00F4654E" w:rsidRDefault="00F4654E">
      <w:pPr>
        <w:pStyle w:val="a4"/>
      </w:pPr>
      <w:r>
        <w:t>УДК 619:616.23(24-002-022.6):587.82/83</w:t>
      </w:r>
    </w:p>
    <w:p w:rsidR="00F4654E" w:rsidRDefault="00F4654E">
      <w:pPr>
        <w:pStyle w:val="1"/>
      </w:pPr>
      <w:bookmarkStart w:id="6668" w:name="_Toc11138199"/>
      <w:bookmarkStart w:id="6669" w:name="_Toc11138617"/>
      <w:bookmarkStart w:id="6670" w:name="_Toc11139035"/>
      <w:bookmarkStart w:id="6671" w:name="_Toc11139453"/>
      <w:bookmarkStart w:id="6672" w:name="_Toc11139871"/>
      <w:bookmarkStart w:id="6673" w:name="_Toc11140289"/>
      <w:bookmarkStart w:id="6674" w:name="_Toc11140707"/>
      <w:bookmarkStart w:id="6675" w:name="_Toc11390801"/>
      <w:bookmarkStart w:id="6676" w:name="_Toc11840486"/>
      <w:bookmarkStart w:id="6677" w:name="_Toc11938022"/>
      <w:r>
        <w:t>СИСТЕМА МЕРОПРИЯТИЙ ПО ДИАГНОСТИКЕ, ПРЕДУПРЕЖДЕНИЮ И ЛЕЧЕНИЮ РЕСПИРАТОРНЫХ БОЛЕЗНЕЙ ТЕЛЯТ</w:t>
      </w:r>
      <w:bookmarkEnd w:id="6668"/>
      <w:bookmarkEnd w:id="6669"/>
      <w:bookmarkEnd w:id="6670"/>
      <w:bookmarkEnd w:id="6671"/>
      <w:bookmarkEnd w:id="6672"/>
      <w:bookmarkEnd w:id="6673"/>
      <w:bookmarkEnd w:id="6674"/>
      <w:bookmarkEnd w:id="6675"/>
      <w:bookmarkEnd w:id="6676"/>
      <w:bookmarkEnd w:id="6677"/>
    </w:p>
    <w:p w:rsidR="00F4654E" w:rsidRDefault="00F4654E">
      <w:pPr>
        <w:pStyle w:val="2"/>
      </w:pPr>
      <w:bookmarkStart w:id="6678" w:name="_Toc11032463"/>
      <w:bookmarkStart w:id="6679" w:name="_Toc11138200"/>
      <w:bookmarkStart w:id="6680" w:name="_Toc11138618"/>
      <w:bookmarkStart w:id="6681" w:name="_Toc11139036"/>
      <w:bookmarkStart w:id="6682" w:name="_Toc11139454"/>
      <w:bookmarkStart w:id="6683" w:name="_Toc11139872"/>
      <w:bookmarkStart w:id="6684" w:name="_Toc11140290"/>
      <w:bookmarkStart w:id="6685" w:name="_Toc11140708"/>
      <w:bookmarkStart w:id="6686" w:name="_Toc11390802"/>
      <w:bookmarkStart w:id="6687" w:name="_Toc11938023"/>
      <w:r>
        <w:t>Шипицын А.Г.</w:t>
      </w:r>
      <w:bookmarkEnd w:id="6678"/>
      <w:bookmarkEnd w:id="6679"/>
      <w:bookmarkEnd w:id="6680"/>
      <w:bookmarkEnd w:id="6681"/>
      <w:bookmarkEnd w:id="6682"/>
      <w:bookmarkEnd w:id="6683"/>
      <w:bookmarkEnd w:id="6684"/>
      <w:bookmarkEnd w:id="6685"/>
      <w:bookmarkEnd w:id="6686"/>
      <w:bookmarkEnd w:id="6687"/>
    </w:p>
    <w:p w:rsidR="00F4654E" w:rsidRDefault="00F4654E">
      <w:pPr>
        <w:pStyle w:val="a5"/>
      </w:pPr>
      <w:r>
        <w:t>Краснодарский научно-исследовательский ветеринарный институт</w:t>
      </w:r>
    </w:p>
    <w:p w:rsidR="00F4654E" w:rsidRDefault="00F4654E">
      <w:pPr>
        <w:pStyle w:val="a6"/>
      </w:pPr>
      <w:r>
        <w:t>Респираторные болезни телят являются одной из наиболее острых проблем ветеринарной науки и практики. Она особенно актуальна при промышленном ведении отрасли животноводства, что связано с многоо</w:t>
      </w:r>
      <w:r>
        <w:t>б</w:t>
      </w:r>
      <w:r>
        <w:t>разием причин и факторов, способствующих широкому распространению патологии в этих условиях. Учитывая полиэтиологичность болезней, меры борьбы с ними должны включать обязательное воздействие как на искор</w:t>
      </w:r>
      <w:r>
        <w:t>е</w:t>
      </w:r>
      <w:r>
        <w:t>нение основных причин, так и предупреждение факторов их распростран</w:t>
      </w:r>
      <w:r>
        <w:t>е</w:t>
      </w:r>
      <w:r>
        <w:t>ния. К таковым следует отнести:</w:t>
      </w:r>
    </w:p>
    <w:p w:rsidR="00F4654E" w:rsidRDefault="00F4654E">
      <w:pPr>
        <w:pStyle w:val="a6"/>
      </w:pPr>
      <w:r>
        <w:tab/>
        <w:t>1. Получение здорового приплода и выращивание полноценного м</w:t>
      </w:r>
      <w:r>
        <w:t>о</w:t>
      </w:r>
      <w:r>
        <w:t>лодняка в постнатальный период жизни за счет полноценного кормления коров во второй половине стельности.</w:t>
      </w:r>
    </w:p>
    <w:p w:rsidR="00F4654E" w:rsidRDefault="00F4654E">
      <w:pPr>
        <w:pStyle w:val="a6"/>
      </w:pPr>
      <w:r>
        <w:tab/>
        <w:t>2. Для комплектования промышленных комплексов необходимо о</w:t>
      </w:r>
      <w:r>
        <w:t>т</w:t>
      </w:r>
      <w:r>
        <w:t>бирать клинически здоровых и хорошо развитых телят в возрасте 2,5-3-х месяцев массой не менее 100 кг и группировать их из хозяйств-постав</w:t>
      </w:r>
      <w:r w:rsidR="007A6E39">
        <w:t>-</w:t>
      </w:r>
      <w:r>
        <w:t>щиков, благополучных по заболеваниям. При этом необходимо с</w:t>
      </w:r>
      <w:r>
        <w:t>о</w:t>
      </w:r>
      <w:r>
        <w:t>блюдать принцип однородности иммунного статуса сборного поголовья.</w:t>
      </w:r>
    </w:p>
    <w:p w:rsidR="00F4654E" w:rsidRDefault="00F4654E">
      <w:pPr>
        <w:pStyle w:val="a6"/>
      </w:pPr>
      <w:r>
        <w:tab/>
        <w:t>3. Соблюдение требований гигиены при содержании телят в соотве</w:t>
      </w:r>
      <w:r>
        <w:t>т</w:t>
      </w:r>
      <w:r>
        <w:t>ствии с оптимальными параметрами микроклимата за счет:</w:t>
      </w:r>
    </w:p>
    <w:p w:rsidR="00F4654E" w:rsidRDefault="00F4654E">
      <w:pPr>
        <w:pStyle w:val="a6"/>
      </w:pPr>
      <w:r>
        <w:t>обеспечения нормальных показателей зоогигиены содержания, в т.ч. температуры, влажности, загазованности окружающей среды и бактер</w:t>
      </w:r>
      <w:r>
        <w:t>и</w:t>
      </w:r>
      <w:r>
        <w:t>альной загрязненности в животноводческих помещениях; индивидуальн</w:t>
      </w:r>
      <w:r>
        <w:t>о</w:t>
      </w:r>
      <w:r>
        <w:t>го выращивания новорожденных телят в специальных домиках; повыш</w:t>
      </w:r>
      <w:r>
        <w:t>е</w:t>
      </w:r>
      <w:r>
        <w:t xml:space="preserve">ния уровня санитарного состояния помещений эффективной аэрозольной </w:t>
      </w:r>
      <w:r>
        <w:lastRenderedPageBreak/>
        <w:t>дезинфекцией в присутствии животных с применением новых дезинфе</w:t>
      </w:r>
      <w:r>
        <w:t>к</w:t>
      </w:r>
      <w:r>
        <w:t>тантов – РАГН, дезан, йодистый алюминий.</w:t>
      </w:r>
    </w:p>
    <w:p w:rsidR="00F4654E" w:rsidRDefault="00F4654E">
      <w:pPr>
        <w:pStyle w:val="a6"/>
      </w:pPr>
      <w:r>
        <w:t>4. Повышение резистентности организма телят: восполнением деф</w:t>
      </w:r>
      <w:r>
        <w:t>и</w:t>
      </w:r>
      <w:r>
        <w:t>цита, в первую очередь, витаминов, микро-, макроэлементов за счет назн</w:t>
      </w:r>
      <w:r>
        <w:t>а</w:t>
      </w:r>
      <w:r>
        <w:t>чения витамино-минеральных премиксов; за счет повышения уровня кол</w:t>
      </w:r>
      <w:r>
        <w:t>о</w:t>
      </w:r>
      <w:r>
        <w:t>стрального иммунитета своевременным (с первых 2 часов жизни в течение 1-2 суток) получением телятами молозива матерей; применением средств повышающих неспецифическую сопротивляемость организма (тканевый препарат из селезенки по Филатову, антиретикулярная цитотоксическая сыворотка (АЦС), препарат бета-каротин – витатон); в целях проведения специфической профилактики использовать гипериммунную сыворотку крупного рогатого скота где в качестве вирус антигена использована ва</w:t>
      </w:r>
      <w:r>
        <w:t>к</w:t>
      </w:r>
      <w:r>
        <w:t>цина против ПГ-3 и ИРТ, а бактериального антигена – вакцина из местных штаммов данной фермы.</w:t>
      </w:r>
    </w:p>
    <w:p w:rsidR="00F4654E" w:rsidRDefault="00F4654E">
      <w:pPr>
        <w:pStyle w:val="a6"/>
      </w:pPr>
      <w:r>
        <w:t>5. При проявлении первых клинических признаков бронхопневмонии в целях эффективной ее фармакотерапии показано проведение: этиотро</w:t>
      </w:r>
      <w:r>
        <w:t>п</w:t>
      </w:r>
      <w:r>
        <w:t>ной терапии, включающей применение комплексных химиотерапевтич</w:t>
      </w:r>
      <w:r>
        <w:t>е</w:t>
      </w:r>
      <w:r>
        <w:t>ских препаратов финин и норфурос; патогенетической терапии, пред</w:t>
      </w:r>
      <w:r>
        <w:t>у</w:t>
      </w:r>
      <w:r>
        <w:t>сматривающий проведение противовоспалительного и десенсибилиз</w:t>
      </w:r>
      <w:r>
        <w:t>и</w:t>
      </w:r>
      <w:r>
        <w:t>рующего лечения с помощью антигистаминного препарата супрастин; этио-патогенетической терапии бронхопневмонии с помощью медикаме</w:t>
      </w:r>
      <w:r>
        <w:t>н</w:t>
      </w:r>
      <w:r>
        <w:t>тозного премикса -  фармикс, включающего в себя наряду с комплексом жизненно необходимых витаминов и микроэлементов, антимикробные препараты широкого спектра действия.</w:t>
      </w:r>
    </w:p>
    <w:p w:rsidR="00F4654E" w:rsidRDefault="00F4654E">
      <w:pPr>
        <w:pStyle w:val="a6"/>
      </w:pPr>
      <w:r>
        <w:t>6. В целях ранней диагностики бронхопневмонии телят необходимо сочетанное использование эпизоотологического и клинического обслед</w:t>
      </w:r>
      <w:r>
        <w:t>о</w:t>
      </w:r>
      <w:r>
        <w:t>вания, лабораторных методов серологических, вирусологических, бакт</w:t>
      </w:r>
      <w:r>
        <w:t>е</w:t>
      </w:r>
      <w:r>
        <w:t>риологических и морфо-иммунобиохимических исследований крови.</w:t>
      </w:r>
    </w:p>
    <w:p w:rsidR="00F4654E" w:rsidRDefault="00F4654E">
      <w:pPr>
        <w:pStyle w:val="a6"/>
      </w:pPr>
      <w:r>
        <w:t>7. Проведение комплексной системы мероприятий по своевременной диагностике, предупреждению и фармакотерапии позволит обеспечить стабильное благополучие животноводческих хозяйств по респираторным заболеваниям крупного рогатого скота как с интенсивными, так и трад</w:t>
      </w:r>
      <w:r>
        <w:t>и</w:t>
      </w:r>
      <w:r>
        <w:t xml:space="preserve">ционными технологиями ведения </w:t>
      </w:r>
    </w:p>
    <w:p w:rsidR="00F4654E" w:rsidRDefault="00F4654E">
      <w:pPr>
        <w:pStyle w:val="a4"/>
      </w:pPr>
      <w:r>
        <w:t>УДК 636:612.017.1 (470.62)</w:t>
      </w:r>
    </w:p>
    <w:p w:rsidR="00F4654E" w:rsidRDefault="00F4654E">
      <w:pPr>
        <w:pStyle w:val="1"/>
      </w:pPr>
      <w:bookmarkStart w:id="6688" w:name="_Toc11138195"/>
      <w:bookmarkStart w:id="6689" w:name="_Toc11138613"/>
      <w:bookmarkStart w:id="6690" w:name="_Toc11139031"/>
      <w:bookmarkStart w:id="6691" w:name="_Toc11139449"/>
      <w:bookmarkStart w:id="6692" w:name="_Toc11139867"/>
      <w:bookmarkStart w:id="6693" w:name="_Toc11140285"/>
      <w:bookmarkStart w:id="6694" w:name="_Toc11140703"/>
      <w:bookmarkStart w:id="6695" w:name="_Toc11390797"/>
      <w:bookmarkStart w:id="6696" w:name="_Toc11840488"/>
      <w:bookmarkStart w:id="6697" w:name="_Toc11938024"/>
      <w:r>
        <w:t>ДИАГНОСТИКА БРОНХОПНЕВМОНИИ ТЕЛЯТ</w:t>
      </w:r>
      <w:bookmarkEnd w:id="6688"/>
      <w:bookmarkEnd w:id="6689"/>
      <w:bookmarkEnd w:id="6690"/>
      <w:bookmarkEnd w:id="6691"/>
      <w:bookmarkEnd w:id="6692"/>
      <w:bookmarkEnd w:id="6693"/>
      <w:bookmarkEnd w:id="6694"/>
      <w:bookmarkEnd w:id="6695"/>
      <w:bookmarkEnd w:id="6696"/>
      <w:bookmarkEnd w:id="6697"/>
    </w:p>
    <w:p w:rsidR="00F4654E" w:rsidRDefault="00F4654E">
      <w:pPr>
        <w:pStyle w:val="2"/>
      </w:pPr>
      <w:bookmarkStart w:id="6698" w:name="_Toc11032461"/>
      <w:bookmarkStart w:id="6699" w:name="_Toc11138196"/>
      <w:bookmarkStart w:id="6700" w:name="_Toc11138614"/>
      <w:bookmarkStart w:id="6701" w:name="_Toc11139032"/>
      <w:bookmarkStart w:id="6702" w:name="_Toc11139450"/>
      <w:bookmarkStart w:id="6703" w:name="_Toc11139868"/>
      <w:bookmarkStart w:id="6704" w:name="_Toc11140286"/>
      <w:bookmarkStart w:id="6705" w:name="_Toc11140704"/>
      <w:bookmarkStart w:id="6706" w:name="_Toc11390798"/>
      <w:bookmarkStart w:id="6707" w:name="_Toc11938025"/>
      <w:r>
        <w:t>Шипицын А.Г., Басова Н.Ю., Кучерявенко А.В.</w:t>
      </w:r>
      <w:bookmarkEnd w:id="6698"/>
      <w:bookmarkEnd w:id="6699"/>
      <w:bookmarkEnd w:id="6700"/>
      <w:bookmarkEnd w:id="6701"/>
      <w:bookmarkEnd w:id="6702"/>
      <w:bookmarkEnd w:id="6703"/>
      <w:bookmarkEnd w:id="6704"/>
      <w:bookmarkEnd w:id="6705"/>
      <w:bookmarkEnd w:id="6706"/>
      <w:bookmarkEnd w:id="6707"/>
    </w:p>
    <w:p w:rsidR="00F4654E" w:rsidRDefault="00F4654E">
      <w:pPr>
        <w:pStyle w:val="a5"/>
      </w:pPr>
      <w:r>
        <w:t>Краснодарский научно-исследовательский ветеринарный институт</w:t>
      </w:r>
    </w:p>
    <w:p w:rsidR="00F4654E" w:rsidRDefault="00F4654E">
      <w:pPr>
        <w:pStyle w:val="a6"/>
      </w:pPr>
      <w:r>
        <w:t>При постановке диагноза учитывают данные эпизоотологических, клинических, патологоанатомических и лабораторных исследований.</w:t>
      </w:r>
    </w:p>
    <w:p w:rsidR="00F4654E" w:rsidRDefault="00F4654E">
      <w:pPr>
        <w:pStyle w:val="a6"/>
      </w:pPr>
      <w:r>
        <w:t>Проводя эпизоотологические обследования ряда хозяйств неблагоп</w:t>
      </w:r>
      <w:r>
        <w:t>о</w:t>
      </w:r>
      <w:r>
        <w:t xml:space="preserve">лучных по респираторным заболеваниям телят необходимо учитывать, что </w:t>
      </w:r>
      <w:r>
        <w:lastRenderedPageBreak/>
        <w:t>заболеваемость телят с поражением органов дыхания за последние 10 лет в Краснодарском крае варьирует от 28 до 97%, а отход (падеж и вынужде</w:t>
      </w:r>
      <w:r>
        <w:t>н</w:t>
      </w:r>
      <w:r>
        <w:t>ный убой некондиционного молодняка) составляет от 18,5 до 29,5%, а в некоторых хозяйствах до 50%. Если на комплексах по доращиванию и о</w:t>
      </w:r>
      <w:r>
        <w:t>т</w:t>
      </w:r>
      <w:r>
        <w:t>корму молодняка крупного рогатого скота заболевание телят завезенных в возрасте 1-1,5 месяцев начинается на 5-7 день, реже на 10-й после посту</w:t>
      </w:r>
      <w:r>
        <w:t>п</w:t>
      </w:r>
      <w:r>
        <w:t>ления, то в хозяйствах – репродукторах с 10-14 дневного возраста.</w:t>
      </w:r>
    </w:p>
    <w:p w:rsidR="00F4654E" w:rsidRDefault="00F4654E">
      <w:pPr>
        <w:pStyle w:val="a6"/>
      </w:pPr>
      <w:r>
        <w:t>Клинические признаки болезни телят сопровождаются тремя формами воспаления: острая носит серозно-катаральный характер; подострая – ката-рально-гнойный и хроническая – гнойно-катаральное и гнойно-некроти-ческое воспаление. Температура тела у больных телят бывает на 0,7-1</w:t>
      </w:r>
      <w:r>
        <w:rPr>
          <w:vertAlign w:val="superscript"/>
        </w:rPr>
        <w:t>0</w:t>
      </w:r>
      <w:r>
        <w:t>С выше, чем у здоровых, отмечается бледность видимых слизистых оболочек иногда с синюшным оттенком, учащение пульса до 98,2 и дыхания до 36,9 движений в минуту. Как правило регистрируют влажный кашель, слезот</w:t>
      </w:r>
      <w:r>
        <w:t>е</w:t>
      </w:r>
      <w:r>
        <w:t>чение, одышку и слизисто-гнойные истечения из носа.</w:t>
      </w:r>
    </w:p>
    <w:p w:rsidR="00F4654E" w:rsidRDefault="00F4654E">
      <w:pPr>
        <w:pStyle w:val="a6"/>
      </w:pPr>
      <w:r>
        <w:t>При исследовании крови больных телят отмечают нейтрофильный лейкоцитоз, эозинофилию, повышение уровня IgM и свободного гистам</w:t>
      </w:r>
      <w:r>
        <w:t>и</w:t>
      </w:r>
      <w:r>
        <w:t>на, снижение уровня общего белка и резервной щелочности, ускорение СОЭ почти в три раза, снижение количества эритроцитов и гемоглобина.</w:t>
      </w:r>
    </w:p>
    <w:p w:rsidR="00F4654E" w:rsidRDefault="00F4654E">
      <w:pPr>
        <w:pStyle w:val="a6"/>
      </w:pPr>
      <w:r>
        <w:t>При исследовании сыворотки крови от телят с клиникой бронхопне</w:t>
      </w:r>
      <w:r>
        <w:t>в</w:t>
      </w:r>
      <w:r>
        <w:t>монии выделяются антитела к вирусу парагриппа-3, инфекционного р</w:t>
      </w:r>
      <w:r>
        <w:t>и</w:t>
      </w:r>
      <w:r>
        <w:t>нотрахеита, аденовирусной инфекции. Из паренхиматозных органов от павших и вынужденно убитых телят и смывов из верхних дыхательных путей изолируют различные условно-патогенные микроорганизмы, усто</w:t>
      </w:r>
      <w:r>
        <w:t>й</w:t>
      </w:r>
      <w:r>
        <w:t>чивые к большинству используемых антибактериальных препаратов.</w:t>
      </w:r>
    </w:p>
    <w:p w:rsidR="00F4654E" w:rsidRDefault="00F4654E">
      <w:pPr>
        <w:pStyle w:val="a6"/>
      </w:pPr>
      <w:r>
        <w:t>Патологоанатомические и патоморфологические исследования мат</w:t>
      </w:r>
      <w:r>
        <w:t>е</w:t>
      </w:r>
      <w:r>
        <w:t>риала от вынужденно убитых дают картину катарального и гнойно-ката-рального ринита, гнойно-катаральную пневмонию характерную для ос</w:t>
      </w:r>
      <w:r>
        <w:t>т</w:t>
      </w:r>
      <w:r>
        <w:t>рой, подострой   катарально-гнойной и фибринозной пневмонии.</w:t>
      </w:r>
    </w:p>
    <w:p w:rsidR="00F4654E" w:rsidRDefault="00F4654E">
      <w:pPr>
        <w:pStyle w:val="a6"/>
      </w:pPr>
      <w:r>
        <w:t xml:space="preserve">Таким образом диагностика респираторных болезней должна быть комплексной и обнаружение ранних признаков пневмоний очень важно для своевременного диагноза и эффективного лечения. </w:t>
      </w:r>
    </w:p>
    <w:p w:rsidR="00F4654E" w:rsidRDefault="00F4654E">
      <w:pPr>
        <w:pStyle w:val="a4"/>
      </w:pPr>
      <w:r>
        <w:t>УДК 619:616.23(24-002-022.6):578.82/83</w:t>
      </w:r>
    </w:p>
    <w:p w:rsidR="00F4654E" w:rsidRDefault="00F4654E">
      <w:pPr>
        <w:pStyle w:val="1"/>
      </w:pPr>
      <w:bookmarkStart w:id="6708" w:name="_Toc11138197"/>
      <w:bookmarkStart w:id="6709" w:name="_Toc11138615"/>
      <w:bookmarkStart w:id="6710" w:name="_Toc11139033"/>
      <w:bookmarkStart w:id="6711" w:name="_Toc11139451"/>
      <w:bookmarkStart w:id="6712" w:name="_Toc11139869"/>
      <w:bookmarkStart w:id="6713" w:name="_Toc11140287"/>
      <w:bookmarkStart w:id="6714" w:name="_Toc11140705"/>
      <w:bookmarkStart w:id="6715" w:name="_Toc11390799"/>
      <w:bookmarkStart w:id="6716" w:name="_Toc11840490"/>
      <w:bookmarkStart w:id="6717" w:name="_Toc11938026"/>
      <w:r>
        <w:t>РОЛЬ МИКРОБНОГО ФАКТОРА В ВОЗНИКНОВЕНИИ РЕСПИРАТОРНЫХ БОЛЕЗНЕЙ ТЕЛЯТ</w:t>
      </w:r>
      <w:bookmarkEnd w:id="6708"/>
      <w:bookmarkEnd w:id="6709"/>
      <w:bookmarkEnd w:id="6710"/>
      <w:bookmarkEnd w:id="6711"/>
      <w:bookmarkEnd w:id="6712"/>
      <w:bookmarkEnd w:id="6713"/>
      <w:bookmarkEnd w:id="6714"/>
      <w:bookmarkEnd w:id="6715"/>
      <w:bookmarkEnd w:id="6716"/>
      <w:bookmarkEnd w:id="6717"/>
    </w:p>
    <w:p w:rsidR="00F4654E" w:rsidRDefault="00F4654E">
      <w:pPr>
        <w:pStyle w:val="2"/>
      </w:pPr>
      <w:bookmarkStart w:id="6718" w:name="_Toc11032462"/>
      <w:bookmarkStart w:id="6719" w:name="_Toc11138198"/>
      <w:bookmarkStart w:id="6720" w:name="_Toc11138616"/>
      <w:bookmarkStart w:id="6721" w:name="_Toc11139034"/>
      <w:bookmarkStart w:id="6722" w:name="_Toc11139452"/>
      <w:bookmarkStart w:id="6723" w:name="_Toc11139870"/>
      <w:bookmarkStart w:id="6724" w:name="_Toc11140288"/>
      <w:bookmarkStart w:id="6725" w:name="_Toc11140706"/>
      <w:bookmarkStart w:id="6726" w:name="_Toc11390800"/>
      <w:bookmarkStart w:id="6727" w:name="_Toc11938027"/>
      <w:r>
        <w:t>Шипицын А.Г., Басова Н.Ю.</w:t>
      </w:r>
      <w:bookmarkEnd w:id="6718"/>
      <w:bookmarkEnd w:id="6719"/>
      <w:bookmarkEnd w:id="6720"/>
      <w:bookmarkEnd w:id="6721"/>
      <w:bookmarkEnd w:id="6722"/>
      <w:bookmarkEnd w:id="6723"/>
      <w:bookmarkEnd w:id="6724"/>
      <w:bookmarkEnd w:id="6725"/>
      <w:bookmarkEnd w:id="6726"/>
      <w:bookmarkEnd w:id="6727"/>
    </w:p>
    <w:p w:rsidR="00F4654E" w:rsidRDefault="00F4654E">
      <w:pPr>
        <w:pStyle w:val="a5"/>
      </w:pPr>
      <w:r>
        <w:t>Краснодарский научно-исследовательский ветеринарный институт</w:t>
      </w:r>
    </w:p>
    <w:p w:rsidR="00F4654E" w:rsidRDefault="00F4654E">
      <w:pPr>
        <w:pStyle w:val="a6"/>
      </w:pPr>
      <w:r>
        <w:t>В целях выяснения роли микроорганизмов в этиологии респираторной патологии телят в 54 репродукторных хозяйствах края за период 1991-2000 гг. проведены исследования сыворотки крови крупного рогатого скота с ра</w:t>
      </w:r>
      <w:r>
        <w:t>з</w:t>
      </w:r>
      <w:r>
        <w:t xml:space="preserve">личными антигенами и бактериологические анализы паренхиматозных </w:t>
      </w:r>
      <w:r>
        <w:lastRenderedPageBreak/>
        <w:t>органов от павших и вынужденно убитых телят с клиникой бронхопне</w:t>
      </w:r>
      <w:r>
        <w:t>в</w:t>
      </w:r>
      <w:r>
        <w:t>монии.</w:t>
      </w:r>
    </w:p>
    <w:p w:rsidR="00F4654E" w:rsidRDefault="00F4654E">
      <w:pPr>
        <w:pStyle w:val="a6"/>
      </w:pPr>
      <w:r>
        <w:t>В результате серологических исследований антитела к различным респираторным вирусам были обнаружены в 6,8-96 % случаев. Наиболее часто регистрировали возбудитель парагриппа-3 (96 % случаев), реже – (57,6 % и 51,8 %) - соответственно инфекционный ринотрахеит и виру</w:t>
      </w:r>
      <w:r>
        <w:t>с</w:t>
      </w:r>
      <w:r>
        <w:t>ную диарею крупного рогатого скота. Возбудитель аденовирусной инфе</w:t>
      </w:r>
      <w:r>
        <w:t>к</w:t>
      </w:r>
      <w:r>
        <w:t>ции был выявлен в 16,6%, а респираторно-синцитиальной инфекции в 6,8% хозяйств.</w:t>
      </w:r>
    </w:p>
    <w:p w:rsidR="00F4654E" w:rsidRDefault="00F4654E">
      <w:pPr>
        <w:pStyle w:val="a6"/>
      </w:pPr>
      <w:r>
        <w:t>При бактериологическом исследовании 430 смывов из верхних дых</w:t>
      </w:r>
      <w:r>
        <w:t>а</w:t>
      </w:r>
      <w:r>
        <w:t>тельных путей и патологического материала от 425 телят, в большинстве случаев, выделяли микроорганизмы семейства Enterobacterioceae: Kleb-siella - 53%, E.coli до 26 %, Citrobacter и Enterobacter - 10 – 12 % соответс</w:t>
      </w:r>
      <w:r>
        <w:t>т</w:t>
      </w:r>
      <w:r>
        <w:t>венно. Представителей других родов изолировали - в пределах 1-6 %. Ps. аeruginosa выделена в 23 % случаев, Streptococcus группы Д и А - 12 – 26 %. В 97 % получены бактериальные ассоциации и только в 3-х - монокул</w:t>
      </w:r>
      <w:r>
        <w:t>ь</w:t>
      </w:r>
      <w:r>
        <w:t xml:space="preserve">туры. От телят старше трехмесячного возраста в двух случаях изолировали Pasteurella multocida, а и в семи - Pasteurella haemolytica. </w:t>
      </w:r>
    </w:p>
    <w:p w:rsidR="00F4654E" w:rsidRDefault="00F4654E">
      <w:pPr>
        <w:pStyle w:val="a6"/>
      </w:pPr>
      <w:r>
        <w:t>Изучая параметры микробной загрязненности воздуха помещений с-за “Динской” провели исследования блока-карантина в весенне-летний пер</w:t>
      </w:r>
      <w:r>
        <w:t>и</w:t>
      </w:r>
      <w:r>
        <w:t>од. Установлено, что микробная загрязненность воздуха в разных секциях весной насчитывает от 101 до 359 тыс. микробных тел в 1 м</w:t>
      </w:r>
      <w:r>
        <w:rPr>
          <w:vertAlign w:val="superscript"/>
        </w:rPr>
        <w:t>3</w:t>
      </w:r>
      <w:r>
        <w:t xml:space="preserve"> воздуха и от 403 до 656 тыс. – летом. Значительная часть выделенных микроорганизмов была вирулентна для белых мышей в дозе 350-500 млн. при внутрибр</w:t>
      </w:r>
      <w:r>
        <w:t>ю</w:t>
      </w:r>
      <w:r>
        <w:t xml:space="preserve">шинном введении. </w:t>
      </w:r>
    </w:p>
    <w:p w:rsidR="00F4654E" w:rsidRDefault="00F4654E">
      <w:pPr>
        <w:pStyle w:val="a6"/>
      </w:pPr>
      <w:r>
        <w:t>Штаммы бактерий, выделенные от больных бронхопневмонией телят, в подавляющем большинстве, были резистентны к многим антибиотикам и сульфаниламидам. В хозяйствах с высокой бактериальной загрязненн</w:t>
      </w:r>
      <w:r>
        <w:t>о</w:t>
      </w:r>
      <w:r>
        <w:t>стью воздуха помещений (в 20-40 раз выше допустимых параметров) в</w:t>
      </w:r>
      <w:r>
        <w:t>ы</w:t>
      </w:r>
      <w:r>
        <w:t>деленная микрофлора была устойчивой к стрептомицину, левомицетину, тетрациклину, эритромицину, пенициллину, полимиксину, олеандомиц</w:t>
      </w:r>
      <w:r>
        <w:t>и</w:t>
      </w:r>
      <w:r>
        <w:t>ну. Наибольшая активность к выделенной микрофлоре установлена у н</w:t>
      </w:r>
      <w:r>
        <w:t>е</w:t>
      </w:r>
      <w:r>
        <w:t>омицина, финина, норфуроса, неоветина, мономицина, абактана, и цеф</w:t>
      </w:r>
      <w:r>
        <w:t>а</w:t>
      </w:r>
      <w:r>
        <w:t>лоспоринов.</w:t>
      </w:r>
    </w:p>
    <w:p w:rsidR="00F4654E" w:rsidRDefault="00F4654E">
      <w:pPr>
        <w:pStyle w:val="a6"/>
      </w:pPr>
      <w:r>
        <w:t>В дальнейшем был проведен эксперимент по определению влияния микробной контаминации воздуха на возникновение респираторных б</w:t>
      </w:r>
      <w:r>
        <w:t>о</w:t>
      </w:r>
      <w:r>
        <w:t>лезней телят. Для этого были подобраны две изолированные секции одного корпуса по 80 м</w:t>
      </w:r>
      <w:r>
        <w:rPr>
          <w:vertAlign w:val="superscript"/>
        </w:rPr>
        <w:t>2</w:t>
      </w:r>
      <w:r>
        <w:t>, в которых содержалось по 40 телят. В опытной секции проводили аэрозольную дезинфекцию воздуха хлорамином Б, в контрол</w:t>
      </w:r>
      <w:r>
        <w:t>ь</w:t>
      </w:r>
      <w:r>
        <w:t>ной - физиологическим раствором в режиме один раз в сутки через 3-4 дня. В каждой секции, после дезинфекции проводили исследования по опред</w:t>
      </w:r>
      <w:r>
        <w:t>е</w:t>
      </w:r>
      <w:r>
        <w:t>лению уровня микробной загрязненности воздуха. За животными провод</w:t>
      </w:r>
      <w:r>
        <w:t>и</w:t>
      </w:r>
      <w:r>
        <w:lastRenderedPageBreak/>
        <w:t>ли клинические наблюдения для установления заболеваний телят бро</w:t>
      </w:r>
      <w:r>
        <w:t>н</w:t>
      </w:r>
      <w:r>
        <w:t xml:space="preserve">хопневмонией. </w:t>
      </w:r>
    </w:p>
    <w:p w:rsidR="00F4654E" w:rsidRDefault="00F4654E">
      <w:pPr>
        <w:pStyle w:val="a6"/>
      </w:pPr>
      <w:r>
        <w:t>В результате показано, что микробная загрязненность воздуха между опытной и контрольной секциями отличима в 2-3 раза в сторону ее сниж</w:t>
      </w:r>
      <w:r>
        <w:t>е</w:t>
      </w:r>
      <w:r>
        <w:t>ния в опыте. В опытной  группе за период эксперимента из 40 заболело 18 (45%), а в контрольной - 30 (75%) телят.</w:t>
      </w:r>
    </w:p>
    <w:p w:rsidR="00F4654E" w:rsidRDefault="00F4654E">
      <w:pPr>
        <w:pStyle w:val="a6"/>
      </w:pPr>
      <w:r>
        <w:t>Таким образом, бронхопневмонии у телят в значительной степени обусловлены патогенным воздействием на животных вирусов и бактерий.</w:t>
      </w:r>
    </w:p>
    <w:p w:rsidR="00F4654E" w:rsidRDefault="00F4654E">
      <w:pPr>
        <w:pStyle w:val="a4"/>
      </w:pPr>
      <w:r>
        <w:t>УДК 619:616-084.616-08.614.1.611.36/.546.23:578/579</w:t>
      </w:r>
    </w:p>
    <w:p w:rsidR="00F4654E" w:rsidRDefault="00F4654E">
      <w:pPr>
        <w:pStyle w:val="1"/>
      </w:pPr>
      <w:bookmarkStart w:id="6728" w:name="_Toc11138201"/>
      <w:bookmarkStart w:id="6729" w:name="_Toc11138619"/>
      <w:bookmarkStart w:id="6730" w:name="_Toc11139037"/>
      <w:bookmarkStart w:id="6731" w:name="_Toc11139455"/>
      <w:bookmarkStart w:id="6732" w:name="_Toc11139873"/>
      <w:bookmarkStart w:id="6733" w:name="_Toc11140291"/>
      <w:bookmarkStart w:id="6734" w:name="_Toc11140709"/>
      <w:bookmarkStart w:id="6735" w:name="_Toc11390803"/>
      <w:bookmarkStart w:id="6736" w:name="_Toc11840492"/>
      <w:bookmarkStart w:id="6737" w:name="_Toc11938028"/>
      <w:r>
        <w:t>ПРОФИЛАКТИКА И ЛЕЧЕНИЕ ТОКСИЧЕСКОЙ ДИСТРОФИИ  ПЕЧЕНИ У СВИНЕЙ ПРИ ИСПОЛЬЗОВАНИИ СЕЛЕНСОДЕРЖАЩЕГО ПРЕПАРАТА ПРОЛОНГИРОВАННОГО ДЕЙСТВИЯ АНТАВИН</w:t>
      </w:r>
      <w:bookmarkEnd w:id="6728"/>
      <w:bookmarkEnd w:id="6729"/>
      <w:bookmarkEnd w:id="6730"/>
      <w:bookmarkEnd w:id="6731"/>
      <w:bookmarkEnd w:id="6732"/>
      <w:bookmarkEnd w:id="6733"/>
      <w:bookmarkEnd w:id="6734"/>
      <w:bookmarkEnd w:id="6735"/>
      <w:bookmarkEnd w:id="6736"/>
      <w:bookmarkEnd w:id="6737"/>
    </w:p>
    <w:p w:rsidR="00F4654E" w:rsidRDefault="00F4654E">
      <w:pPr>
        <w:pStyle w:val="2"/>
      </w:pPr>
      <w:bookmarkStart w:id="6738" w:name="_Toc11032464"/>
      <w:bookmarkStart w:id="6739" w:name="_Toc11138202"/>
      <w:bookmarkStart w:id="6740" w:name="_Toc11138620"/>
      <w:bookmarkStart w:id="6741" w:name="_Toc11139038"/>
      <w:bookmarkStart w:id="6742" w:name="_Toc11139456"/>
      <w:bookmarkStart w:id="6743" w:name="_Toc11139874"/>
      <w:bookmarkStart w:id="6744" w:name="_Toc11140292"/>
      <w:bookmarkStart w:id="6745" w:name="_Toc11140710"/>
      <w:bookmarkStart w:id="6746" w:name="_Toc11390804"/>
      <w:bookmarkStart w:id="6747" w:name="_Toc11938029"/>
      <w:r>
        <w:t>Якимов Г.В.</w:t>
      </w:r>
      <w:bookmarkEnd w:id="6738"/>
      <w:bookmarkEnd w:id="6739"/>
      <w:bookmarkEnd w:id="6740"/>
      <w:bookmarkEnd w:id="6741"/>
      <w:bookmarkEnd w:id="6742"/>
      <w:bookmarkEnd w:id="6743"/>
      <w:bookmarkEnd w:id="6744"/>
      <w:bookmarkEnd w:id="6745"/>
      <w:bookmarkEnd w:id="6746"/>
      <w:bookmarkEnd w:id="6747"/>
    </w:p>
    <w:p w:rsidR="00F4654E" w:rsidRDefault="00F4654E">
      <w:pPr>
        <w:pStyle w:val="a5"/>
      </w:pPr>
      <w:r>
        <w:t>Краснодарский научно-исследовательский ветеринарный институт</w:t>
      </w:r>
    </w:p>
    <w:p w:rsidR="00F4654E" w:rsidRDefault="00F4654E">
      <w:pPr>
        <w:pStyle w:val="a6"/>
      </w:pPr>
      <w:r>
        <w:t>Известно, что при промышленной технологии ведения свиноводства в начальный период доращивания поросят широко распространены болезни минеральной недостаточности. К одним из таких заболеваний относится недостаток селена в организме животных. В свою очередь по данным мн</w:t>
      </w:r>
      <w:r>
        <w:t>о</w:t>
      </w:r>
      <w:r>
        <w:t>гих источников недостаток селена в организме является одним из главных этиологических факторов развития такого сложного заболевания как то</w:t>
      </w:r>
      <w:r>
        <w:t>к</w:t>
      </w:r>
      <w:r>
        <w:t>сическая дистрофия печени с параллельным изменением обмена веществ в организме.</w:t>
      </w:r>
    </w:p>
    <w:p w:rsidR="00F4654E" w:rsidRDefault="00F4654E">
      <w:pPr>
        <w:pStyle w:val="a6"/>
      </w:pPr>
      <w:r>
        <w:t>Определение токсической дистрофии в период дистрофической ст</w:t>
      </w:r>
      <w:r>
        <w:t>а</w:t>
      </w:r>
      <w:r>
        <w:t>дии всегда запоздалое. В это время в организме наблюдаются далеко з</w:t>
      </w:r>
      <w:r>
        <w:t>а</w:t>
      </w:r>
      <w:r>
        <w:t>шедшие и необратимые изменения, что значительно ограничивает возмо</w:t>
      </w:r>
      <w:r>
        <w:t>ж</w:t>
      </w:r>
      <w:r>
        <w:t>ность эффективного терапевтического и профилактического вмешательс</w:t>
      </w:r>
      <w:r>
        <w:t>т</w:t>
      </w:r>
      <w:r>
        <w:t>ва. Чем позднее поставлен диагноз тем труднее лечить животное. Поэтому основная задача должна сводится к профилактике и своевременной диа</w:t>
      </w:r>
      <w:r>
        <w:t>г</w:t>
      </w:r>
      <w:r>
        <w:t>ностике (обнаружению и правильной оценке ранних симптомов) заболев</w:t>
      </w:r>
      <w:r>
        <w:t>а</w:t>
      </w:r>
      <w:r>
        <w:t>ния и его лечения.</w:t>
      </w:r>
    </w:p>
    <w:p w:rsidR="00F4654E" w:rsidRDefault="00F4654E">
      <w:pPr>
        <w:pStyle w:val="a6"/>
      </w:pPr>
      <w:r>
        <w:t>Целью наших исследований явилось определение терапевтической и профилактической эффективности препарата Антавин при заболеваниях печени (токсическая дистрофия печени).</w:t>
      </w:r>
    </w:p>
    <w:p w:rsidR="00F4654E" w:rsidRDefault="00F4654E">
      <w:pPr>
        <w:pStyle w:val="a6"/>
      </w:pPr>
      <w:r>
        <w:t>Место проведения исследований АО Шевченко Тбилисского района. По клиническим признакам и биохимическим исследованиям с поражен</w:t>
      </w:r>
      <w:r>
        <w:t>и</w:t>
      </w:r>
      <w:r>
        <w:t>ем печени было отобрано 40 животных, которые были разделены на две группы. Животные 1 группы (контрольная 20 гол.) не подвергались леч</w:t>
      </w:r>
      <w:r>
        <w:t>е</w:t>
      </w:r>
      <w:r>
        <w:t>нию на протяжении всего эксперимента. Животным 2 группы (опытная 20 гол.) в начале опыта однократно вводился Антавин в дозе 0,6-0,8 мл по</w:t>
      </w:r>
      <w:r>
        <w:t>д</w:t>
      </w:r>
      <w:r>
        <w:t>кожно в среднюю треть шеи.</w:t>
      </w:r>
    </w:p>
    <w:p w:rsidR="00F4654E" w:rsidRDefault="00F4654E">
      <w:pPr>
        <w:pStyle w:val="a6"/>
      </w:pPr>
      <w:r>
        <w:lastRenderedPageBreak/>
        <w:t>На протяжении всего периода эксперимента за животными обеих групп велось ежедневное клиническое наблюдение. В контрольной группе до конца эксперимента у животных наблюдалась общая слабость, вялость, отсутствие аппетита, дисфункция желудочно-кишечного тракта. Животные № 4614 и № 4618, соответственно, погибли на 10 и 16 день эксперимента. При патологоанатомическом вскрытии у этих животных отмечены хара</w:t>
      </w:r>
      <w:r>
        <w:t>к</w:t>
      </w:r>
      <w:r>
        <w:t>терные изменения в печени. Она увеличена в объеме, желтовато-серого цвета, некоторые участки имели темно-красную окраску, постепенно пер</w:t>
      </w:r>
      <w:r>
        <w:t>е</w:t>
      </w:r>
      <w:r>
        <w:t>ходящую в желтый или желто-охряной цвет.</w:t>
      </w:r>
    </w:p>
    <w:p w:rsidR="00F4654E" w:rsidRDefault="00F4654E">
      <w:pPr>
        <w:pStyle w:val="a6"/>
      </w:pPr>
      <w:r>
        <w:t>У животных опытной группы на 8-11 день после введения препарата наблюдалось заметное улучшение состояния, проявляющегося появлением аппетита, лучшей поедаемостью корма. Уменьшились расстройства жел</w:t>
      </w:r>
      <w:r>
        <w:t>у</w:t>
      </w:r>
      <w:r>
        <w:t>дочно-кишечного тракта. К 20 дню животные стали более подвижные, уменьшились дистрофические изменения на коже.</w:t>
      </w:r>
    </w:p>
    <w:p w:rsidR="00F4654E" w:rsidRDefault="00F4654E">
      <w:pPr>
        <w:pStyle w:val="a6"/>
      </w:pPr>
      <w:r>
        <w:t>Из данных, полученных в результате проведенных исследований, у</w:t>
      </w:r>
      <w:r>
        <w:t>с</w:t>
      </w:r>
      <w:r>
        <w:t>тановлено, что препарат Антавин стимулирует рост массы тела свиней. Стимулирующий эффект препарата при всех равных условиях содержания и кормления составляет от 12 до 34%. Прирост массы тела за весь период опыта во второй группе по сравнению с первой увеличился. Заболева</w:t>
      </w:r>
      <w:r>
        <w:t>е</w:t>
      </w:r>
      <w:r>
        <w:t>мость и отход поросят при назначении им препарата уменьшились, а кол</w:t>
      </w:r>
      <w:r>
        <w:t>и</w:t>
      </w:r>
      <w:r>
        <w:t>чество хорошо развивающихся увеличилось на 17%. Сохранность в опы</w:t>
      </w:r>
      <w:r>
        <w:t>т</w:t>
      </w:r>
      <w:r>
        <w:t>ной группе составила 100%, а в контрольной 80%.</w:t>
      </w:r>
    </w:p>
    <w:p w:rsidR="00F4654E" w:rsidRDefault="00F4654E">
      <w:pPr>
        <w:pStyle w:val="a4"/>
      </w:pPr>
      <w:r>
        <w:t xml:space="preserve"> УДК 619:618.14</w:t>
      </w:r>
    </w:p>
    <w:p w:rsidR="00F4654E" w:rsidRDefault="00F4654E">
      <w:pPr>
        <w:pStyle w:val="1"/>
      </w:pPr>
      <w:bookmarkStart w:id="6748" w:name="_Toc11138203"/>
      <w:bookmarkStart w:id="6749" w:name="_Toc11138621"/>
      <w:bookmarkStart w:id="6750" w:name="_Toc11139039"/>
      <w:bookmarkStart w:id="6751" w:name="_Toc11139457"/>
      <w:bookmarkStart w:id="6752" w:name="_Toc11139875"/>
      <w:bookmarkStart w:id="6753" w:name="_Toc11140293"/>
      <w:bookmarkStart w:id="6754" w:name="_Toc11140711"/>
      <w:bookmarkStart w:id="6755" w:name="_Toc11390805"/>
      <w:bookmarkStart w:id="6756" w:name="_Toc11840494"/>
      <w:bookmarkStart w:id="6757" w:name="_Toc11938030"/>
      <w:r>
        <w:t>ВЛИЯНИЕ ВИТАМИННО-МИНЕРАЛЬНЫХ И ГОРМОНАЛЬНЫХ ПРЕПАРАТОВ НА ВОССТАНОВЛЕНИЕ РЕПРОДУКТИВНОЙ ФУНКЦИИ КОРОВ ПОСЛЕ РОДОВ В УСЛОВИЯХ ВЫСОКОГОРЬЯ ТАДЖИКИСТАНА</w:t>
      </w:r>
      <w:bookmarkEnd w:id="6748"/>
      <w:bookmarkEnd w:id="6749"/>
      <w:bookmarkEnd w:id="6750"/>
      <w:bookmarkEnd w:id="6751"/>
      <w:bookmarkEnd w:id="6752"/>
      <w:bookmarkEnd w:id="6753"/>
      <w:bookmarkEnd w:id="6754"/>
      <w:bookmarkEnd w:id="6755"/>
      <w:bookmarkEnd w:id="6756"/>
      <w:bookmarkEnd w:id="6757"/>
    </w:p>
    <w:p w:rsidR="00F4654E" w:rsidRDefault="00F4654E">
      <w:pPr>
        <w:pStyle w:val="2"/>
      </w:pPr>
      <w:bookmarkStart w:id="6758" w:name="_Toc11032465"/>
      <w:bookmarkStart w:id="6759" w:name="_Toc11138204"/>
      <w:bookmarkStart w:id="6760" w:name="_Toc11138622"/>
      <w:bookmarkStart w:id="6761" w:name="_Toc11139040"/>
      <w:bookmarkStart w:id="6762" w:name="_Toc11139458"/>
      <w:bookmarkStart w:id="6763" w:name="_Toc11139876"/>
      <w:bookmarkStart w:id="6764" w:name="_Toc11140294"/>
      <w:bookmarkStart w:id="6765" w:name="_Toc11140712"/>
      <w:bookmarkStart w:id="6766" w:name="_Toc11390806"/>
      <w:bookmarkStart w:id="6767" w:name="_Toc11938031"/>
      <w:r>
        <w:t>Асоев П., Ниятбеков А., Юсупов Х.Ю.</w:t>
      </w:r>
      <w:bookmarkEnd w:id="6758"/>
      <w:bookmarkEnd w:id="6759"/>
      <w:bookmarkEnd w:id="6760"/>
      <w:bookmarkEnd w:id="6761"/>
      <w:bookmarkEnd w:id="6762"/>
      <w:bookmarkEnd w:id="6763"/>
      <w:bookmarkEnd w:id="6764"/>
      <w:bookmarkEnd w:id="6765"/>
      <w:bookmarkEnd w:id="6766"/>
      <w:bookmarkEnd w:id="6767"/>
    </w:p>
    <w:p w:rsidR="00F4654E" w:rsidRDefault="00F4654E">
      <w:pPr>
        <w:pStyle w:val="a5"/>
      </w:pPr>
      <w:r>
        <w:t>Таджикский научно-исследовательский ветеринарный институт</w:t>
      </w:r>
    </w:p>
    <w:p w:rsidR="00F4654E" w:rsidRDefault="00F4654E">
      <w:pPr>
        <w:pStyle w:val="a6"/>
      </w:pPr>
      <w:r>
        <w:t>В настоящее время нейрогуморальная регуляция репродуктивной функции самок сельскохозяйственных животных нейротропными, гонад</w:t>
      </w:r>
      <w:r>
        <w:t>о</w:t>
      </w:r>
      <w:r>
        <w:t>тропными, эстрогенными препаратами является очень важным для</w:t>
      </w:r>
      <w:r>
        <w:rPr>
          <w:color w:val="008000"/>
        </w:rPr>
        <w:t xml:space="preserve"> </w:t>
      </w:r>
      <w:r>
        <w:t>стим</w:t>
      </w:r>
      <w:r>
        <w:t>у</w:t>
      </w:r>
      <w:r>
        <w:t>ляции охоты и профилактики различных гинекологических за</w:t>
      </w:r>
      <w:r>
        <w:softHyphen/>
        <w:t>болеваний.</w:t>
      </w:r>
    </w:p>
    <w:p w:rsidR="00F4654E" w:rsidRDefault="00F4654E">
      <w:pPr>
        <w:pStyle w:val="a6"/>
      </w:pPr>
      <w:r>
        <w:t>Целью нашей работы является изучить влияние витаминно</w:t>
      </w:r>
      <w:r>
        <w:rPr>
          <w:color w:val="008000"/>
        </w:rPr>
        <w:t>-</w:t>
      </w:r>
      <w:r>
        <w:t>ми</w:t>
      </w:r>
      <w:r>
        <w:softHyphen/>
        <w:t>неральных и гормональных препаратов на течение родовых и после</w:t>
      </w:r>
      <w:r>
        <w:softHyphen/>
        <w:t>родо-вых процессов в условиях высокогорья Таджикистана.</w:t>
      </w:r>
    </w:p>
    <w:p w:rsidR="00F4654E" w:rsidRDefault="00F4654E">
      <w:pPr>
        <w:pStyle w:val="a6"/>
      </w:pPr>
      <w:r>
        <w:t>Первая серия опыта проводилась в к-зе Л. Муродова Гиссарского ра</w:t>
      </w:r>
      <w:r>
        <w:t>й</w:t>
      </w:r>
      <w:r>
        <w:t>она на 17 коровах черно</w:t>
      </w:r>
      <w:r>
        <w:rPr>
          <w:color w:val="008000"/>
        </w:rPr>
        <w:t>-</w:t>
      </w:r>
      <w:r>
        <w:t>пестрой породы, живой массой 350-400 кг</w:t>
      </w:r>
      <w:r>
        <w:rPr>
          <w:color w:val="008000"/>
        </w:rPr>
        <w:t xml:space="preserve"> </w:t>
      </w:r>
      <w:r>
        <w:t>в во</w:t>
      </w:r>
      <w:r>
        <w:t>з</w:t>
      </w:r>
      <w:r>
        <w:t>расте 3-5 лет, которые были разделена на 2 группы. Коровы опытной гру</w:t>
      </w:r>
      <w:r>
        <w:t>п</w:t>
      </w:r>
      <w:r>
        <w:t>пы (9 голов) получили соли микроэлементов внутрь один раз в неделю и</w:t>
      </w:r>
      <w:r>
        <w:t>н</w:t>
      </w:r>
      <w:r>
        <w:t>дивидуально в водных растворах в следующих дозах</w:t>
      </w:r>
      <w:r>
        <w:rPr>
          <w:b/>
        </w:rPr>
        <w:t xml:space="preserve"> </w:t>
      </w:r>
      <w:r>
        <w:t>(мг): хлористый к</w:t>
      </w:r>
      <w:r>
        <w:t>о</w:t>
      </w:r>
      <w:r>
        <w:t xml:space="preserve">бальт - 140, йодид калия - 28, сернокислый цинк - 2600 и сернокислый </w:t>
      </w:r>
      <w:r>
        <w:lastRenderedPageBreak/>
        <w:t>марганец – 1400. После четырехкратной дачи препаратов сделали меся</w:t>
      </w:r>
      <w:r>
        <w:t>ч</w:t>
      </w:r>
      <w:r>
        <w:t>ный пере</w:t>
      </w:r>
      <w:r>
        <w:softHyphen/>
        <w:t>рыв, а после перерыва их назначали в тех же дозах в течение</w:t>
      </w:r>
      <w:r>
        <w:rPr>
          <w:b/>
        </w:rPr>
        <w:t xml:space="preserve"> </w:t>
      </w:r>
      <w:r>
        <w:t>2-х</w:t>
      </w:r>
      <w:r>
        <w:rPr>
          <w:b/>
        </w:rPr>
        <w:t xml:space="preserve"> </w:t>
      </w:r>
      <w:r>
        <w:t>последних месяцев беременности. В дни дачи микроэлементов инъецир</w:t>
      </w:r>
      <w:r>
        <w:t>о</w:t>
      </w:r>
      <w:r>
        <w:t>вали подкожно 5 мл тривитамина (А – 75 тыс. ИЕ, Д</w:t>
      </w:r>
      <w:r>
        <w:rPr>
          <w:vertAlign w:val="subscript"/>
        </w:rPr>
        <w:t>3</w:t>
      </w:r>
      <w:r>
        <w:t xml:space="preserve"> – 100 ИЕ и Е – 56 мг). После отела внутриматочно вводили фуразолидоновые палочки по 3 шт</w:t>
      </w:r>
      <w:r>
        <w:t>у</w:t>
      </w:r>
      <w:r>
        <w:t>ки в день в течение 3-х суток</w:t>
      </w:r>
      <w:r>
        <w:rPr>
          <w:color w:val="008000"/>
        </w:rPr>
        <w:t xml:space="preserve">. </w:t>
      </w:r>
      <w:r>
        <w:t>Животные второй группы служили контр</w:t>
      </w:r>
      <w:r>
        <w:t>о</w:t>
      </w:r>
      <w:r>
        <w:t>лем, кроме основного рациона ничего не получали</w:t>
      </w:r>
      <w:r>
        <w:rPr>
          <w:color w:val="008000"/>
        </w:rPr>
        <w:t>.</w:t>
      </w:r>
    </w:p>
    <w:p w:rsidR="00F4654E" w:rsidRPr="00D75866" w:rsidRDefault="00F4654E">
      <w:pPr>
        <w:pStyle w:val="a6"/>
        <w:rPr>
          <w:spacing w:val="-4"/>
        </w:rPr>
      </w:pPr>
      <w:r w:rsidRPr="00D75866">
        <w:rPr>
          <w:spacing w:val="-4"/>
        </w:rPr>
        <w:t>Исследования показали, что у коров опытной группы по срав</w:t>
      </w:r>
      <w:r w:rsidRPr="00D75866">
        <w:rPr>
          <w:spacing w:val="-4"/>
        </w:rPr>
        <w:softHyphen/>
        <w:t>нению с контрольными, случаи задержания последа сократились в 3 раза, эндометр</w:t>
      </w:r>
      <w:r w:rsidRPr="00D75866">
        <w:rPr>
          <w:spacing w:val="-4"/>
        </w:rPr>
        <w:t>и</w:t>
      </w:r>
      <w:r w:rsidRPr="00D75866">
        <w:rPr>
          <w:spacing w:val="-4"/>
        </w:rPr>
        <w:t>та в 2 раза, вестибулита и цервицита в 1,5 раза. Послеродовые процессы пр</w:t>
      </w:r>
      <w:r w:rsidRPr="00D75866">
        <w:rPr>
          <w:spacing w:val="-4"/>
        </w:rPr>
        <w:t>о</w:t>
      </w:r>
      <w:r w:rsidRPr="00D75866">
        <w:rPr>
          <w:spacing w:val="-4"/>
        </w:rPr>
        <w:t>текали лучше, стадии возбуждения полового цикла сократилась на 13 дней, оплодотворяемость повы</w:t>
      </w:r>
      <w:r w:rsidRPr="00D75866">
        <w:rPr>
          <w:spacing w:val="-4"/>
        </w:rPr>
        <w:softHyphen/>
        <w:t>силась на 15,2%, чем у контрольных живо</w:t>
      </w:r>
      <w:r w:rsidRPr="00D75866">
        <w:rPr>
          <w:spacing w:val="-4"/>
        </w:rPr>
        <w:t>т</w:t>
      </w:r>
      <w:r w:rsidRPr="00D75866">
        <w:rPr>
          <w:spacing w:val="-4"/>
        </w:rPr>
        <w:t>ных.</w:t>
      </w:r>
    </w:p>
    <w:p w:rsidR="00F4654E" w:rsidRDefault="00F4654E">
      <w:pPr>
        <w:pStyle w:val="a6"/>
      </w:pPr>
      <w:r>
        <w:t>Вторая серия опыта была проведена в Госхозе им. К. Баротовой Ван</w:t>
      </w:r>
      <w:r>
        <w:t>ч</w:t>
      </w:r>
      <w:r>
        <w:t>ского района, Горно-Бадахшанской автономной области (западной части Памира) на 24 отелившихся (13 опытных и 11 кон</w:t>
      </w:r>
      <w:r>
        <w:softHyphen/>
        <w:t>трольных) коров местной породы, с живой массой 250</w:t>
      </w:r>
      <w:r>
        <w:rPr>
          <w:color w:val="008000"/>
        </w:rPr>
        <w:t>-</w:t>
      </w:r>
      <w:r>
        <w:t>300 кг.</w:t>
      </w:r>
    </w:p>
    <w:p w:rsidR="00F4654E" w:rsidRPr="00D75866" w:rsidRDefault="00F4654E">
      <w:pPr>
        <w:pStyle w:val="a6"/>
        <w:rPr>
          <w:spacing w:val="-4"/>
        </w:rPr>
      </w:pPr>
      <w:r w:rsidRPr="00D75866">
        <w:rPr>
          <w:spacing w:val="-4"/>
        </w:rPr>
        <w:t>На фоне применения витаминно-минеральных препаратов по схеме опыта первой серии нами было изучено влияние гормонально</w:t>
      </w:r>
      <w:r w:rsidRPr="00D75866">
        <w:rPr>
          <w:spacing w:val="-4"/>
        </w:rPr>
        <w:softHyphen/>
        <w:t>го препарата окситоцина в сочетании с фуразолидоновыми палочками на восстановл</w:t>
      </w:r>
      <w:r w:rsidRPr="00D75866">
        <w:rPr>
          <w:spacing w:val="-4"/>
        </w:rPr>
        <w:t>е</w:t>
      </w:r>
      <w:r w:rsidRPr="00D75866">
        <w:rPr>
          <w:spacing w:val="-4"/>
        </w:rPr>
        <w:t>ние репродуктивной функции коров после отела. Окситоцин вводили внутрим</w:t>
      </w:r>
      <w:r w:rsidRPr="00D75866">
        <w:rPr>
          <w:spacing w:val="-4"/>
        </w:rPr>
        <w:t>ы</w:t>
      </w:r>
      <w:r w:rsidRPr="00D75866">
        <w:rPr>
          <w:spacing w:val="-4"/>
        </w:rPr>
        <w:t>шечно в дозе 30 ЕД через 2,12,</w:t>
      </w:r>
      <w:r w:rsidRPr="00D75866">
        <w:rPr>
          <w:color w:val="008000"/>
          <w:spacing w:val="-4"/>
        </w:rPr>
        <w:t xml:space="preserve"> </w:t>
      </w:r>
      <w:r w:rsidRPr="00D75866">
        <w:rPr>
          <w:spacing w:val="-4"/>
        </w:rPr>
        <w:t>24 часа после отела, фуразолидоновые пало</w:t>
      </w:r>
      <w:r w:rsidRPr="00D75866">
        <w:rPr>
          <w:spacing w:val="-4"/>
        </w:rPr>
        <w:t>ч</w:t>
      </w:r>
      <w:r w:rsidRPr="00D75866">
        <w:rPr>
          <w:spacing w:val="-4"/>
        </w:rPr>
        <w:t>ки 3 штуки в день внутриматочно в течение трех суток после отела.</w:t>
      </w:r>
    </w:p>
    <w:p w:rsidR="00F4654E" w:rsidRDefault="00F4654E">
      <w:pPr>
        <w:pStyle w:val="a6"/>
      </w:pPr>
      <w:r>
        <w:t>Результаты опытов показали</w:t>
      </w:r>
      <w:r>
        <w:rPr>
          <w:color w:val="008000"/>
        </w:rPr>
        <w:t>,</w:t>
      </w:r>
      <w:r>
        <w:t xml:space="preserve"> что у коров опытной группы по сравн</w:t>
      </w:r>
      <w:r>
        <w:t>е</w:t>
      </w:r>
      <w:r>
        <w:t>нию с контрольными раньше завершилось сроки окончания выделений л</w:t>
      </w:r>
      <w:r>
        <w:t>о</w:t>
      </w:r>
      <w:r>
        <w:t>хий на 4,8 день, инволюции матки на 7,7 дней и стадии возбуждения пол</w:t>
      </w:r>
      <w:r>
        <w:t>о</w:t>
      </w:r>
      <w:r>
        <w:t>вого цикла на 8,8 дней. Оплодотворение коров</w:t>
      </w:r>
      <w:r>
        <w:rPr>
          <w:color w:val="008000"/>
        </w:rPr>
        <w:t xml:space="preserve"> </w:t>
      </w:r>
      <w:r>
        <w:t>опытной группы составила 73%,  а контрольных – 58%.</w:t>
      </w:r>
    </w:p>
    <w:p w:rsidR="00F4654E" w:rsidRDefault="00F4654E">
      <w:pPr>
        <w:pStyle w:val="a6"/>
      </w:pPr>
      <w:r>
        <w:t>Таким образом, проведенные исследования показали, что у коров опытных групп, где получали комплекс солей микроэлементов</w:t>
      </w:r>
      <w:r>
        <w:rPr>
          <w:color w:val="008000"/>
        </w:rPr>
        <w:t xml:space="preserve"> </w:t>
      </w:r>
      <w:r>
        <w:t>и витам</w:t>
      </w:r>
      <w:r>
        <w:t>и</w:t>
      </w:r>
      <w:r>
        <w:t>нов в сочетании с трехкратной инъекцией окситоцина в послеродовом п</w:t>
      </w:r>
      <w:r>
        <w:t>е</w:t>
      </w:r>
      <w:r>
        <w:t>риоде и внутриматочное введение фуразолидоновых палочек после отела значительно снижает количество родовых и послеродовых осложнений, повышает оплодотворяемость на 13%, чем у контрольных животных.</w:t>
      </w:r>
    </w:p>
    <w:p w:rsidR="00F4654E" w:rsidRDefault="00F4654E">
      <w:pPr>
        <w:pStyle w:val="a4"/>
      </w:pPr>
      <w:r>
        <w:t>УДК 636.32+636.2:576.895:4 (584.5)</w:t>
      </w:r>
    </w:p>
    <w:p w:rsidR="00F4654E" w:rsidRDefault="00F4654E">
      <w:pPr>
        <w:pStyle w:val="1"/>
      </w:pPr>
      <w:bookmarkStart w:id="6768" w:name="_Toc11138205"/>
      <w:bookmarkStart w:id="6769" w:name="_Toc11138623"/>
      <w:bookmarkStart w:id="6770" w:name="_Toc11139041"/>
      <w:bookmarkStart w:id="6771" w:name="_Toc11139459"/>
      <w:bookmarkStart w:id="6772" w:name="_Toc11139877"/>
      <w:bookmarkStart w:id="6773" w:name="_Toc11140295"/>
      <w:bookmarkStart w:id="6774" w:name="_Toc11140713"/>
      <w:bookmarkStart w:id="6775" w:name="_Toc11390807"/>
      <w:bookmarkStart w:id="6776" w:name="_Toc11840496"/>
      <w:bookmarkStart w:id="6777" w:name="_Toc11938032"/>
      <w:r>
        <w:t>ИКСОДОВЫЕ КЛЕЩИ ТЕЛЯТ И ЯГНЯТ И БОРЬБА С НИМИ В ТАДЖИКИСТАНЕ</w:t>
      </w:r>
      <w:bookmarkEnd w:id="6768"/>
      <w:bookmarkEnd w:id="6769"/>
      <w:bookmarkEnd w:id="6770"/>
      <w:bookmarkEnd w:id="6771"/>
      <w:bookmarkEnd w:id="6772"/>
      <w:bookmarkEnd w:id="6773"/>
      <w:bookmarkEnd w:id="6774"/>
      <w:bookmarkEnd w:id="6775"/>
      <w:bookmarkEnd w:id="6776"/>
      <w:bookmarkEnd w:id="6777"/>
    </w:p>
    <w:p w:rsidR="00F4654E" w:rsidRDefault="00F4654E">
      <w:pPr>
        <w:pStyle w:val="2"/>
      </w:pPr>
      <w:bookmarkStart w:id="6778" w:name="_Toc11032466"/>
      <w:bookmarkStart w:id="6779" w:name="_Toc11138206"/>
      <w:bookmarkStart w:id="6780" w:name="_Toc11138624"/>
      <w:bookmarkStart w:id="6781" w:name="_Toc11139042"/>
      <w:bookmarkStart w:id="6782" w:name="_Toc11139460"/>
      <w:bookmarkStart w:id="6783" w:name="_Toc11139878"/>
      <w:bookmarkStart w:id="6784" w:name="_Toc11140296"/>
      <w:bookmarkStart w:id="6785" w:name="_Toc11140714"/>
      <w:bookmarkStart w:id="6786" w:name="_Toc11390808"/>
      <w:bookmarkStart w:id="6787" w:name="_Toc11938033"/>
      <w:r>
        <w:t>Бадалов Э.Т., Джумаев У.Р.</w:t>
      </w:r>
      <w:bookmarkEnd w:id="6778"/>
      <w:bookmarkEnd w:id="6779"/>
      <w:bookmarkEnd w:id="6780"/>
      <w:bookmarkEnd w:id="6781"/>
      <w:bookmarkEnd w:id="6782"/>
      <w:bookmarkEnd w:id="6783"/>
      <w:bookmarkEnd w:id="6784"/>
      <w:bookmarkEnd w:id="6785"/>
      <w:bookmarkEnd w:id="6786"/>
      <w:bookmarkEnd w:id="6787"/>
    </w:p>
    <w:p w:rsidR="00F4654E" w:rsidRDefault="00F4654E">
      <w:pPr>
        <w:pStyle w:val="a5"/>
      </w:pPr>
      <w:r>
        <w:t xml:space="preserve">Таджикский научно-исследовательский ветеринарный институт </w:t>
      </w:r>
    </w:p>
    <w:p w:rsidR="00F4654E" w:rsidRDefault="00F4654E">
      <w:pPr>
        <w:pStyle w:val="a6"/>
      </w:pPr>
      <w:r>
        <w:t>У телят через 8-9 дней после рождения на вымени, мошонке обнар</w:t>
      </w:r>
      <w:r>
        <w:t>у</w:t>
      </w:r>
      <w:r>
        <w:t xml:space="preserve">живаются имаго, в дальнейшем на веках. Ушах и вдоль позвоночного столба личинки и нимфы Гиаломма анатоликум, а у ягнят с первого дня </w:t>
      </w:r>
      <w:r>
        <w:lastRenderedPageBreak/>
        <w:t>рождения вокруг пупка, ануса и влагалища – имаго Гиаломма азиатикум. На ушах как телят, так и ягнят затем обнаруживается имаго Рипицефалус тураникус и Гемафизалис пунктата. Клещи сильно увеличиваются в разм</w:t>
      </w:r>
      <w:r>
        <w:t>е</w:t>
      </w:r>
      <w:r>
        <w:t>ре и количестве. В это время сильно заклещеванные телята и ягнята теряют в живой массе до 42% ежесуточно (Э.Т.Бадалов, 1987).</w:t>
      </w:r>
    </w:p>
    <w:p w:rsidR="00F4654E" w:rsidRDefault="00F4654E">
      <w:pPr>
        <w:pStyle w:val="a6"/>
      </w:pPr>
      <w:r>
        <w:t>Борьба с клещами проводится следующим образом.</w:t>
      </w:r>
    </w:p>
    <w:p w:rsidR="00F4654E" w:rsidRDefault="00F4654E">
      <w:pPr>
        <w:pStyle w:val="a6"/>
      </w:pPr>
      <w:r>
        <w:t>1. Противоклещевая обработка мест нахождения телят и ягнят. пров</w:t>
      </w:r>
      <w:r>
        <w:t>о</w:t>
      </w:r>
      <w:r>
        <w:t>дилась 0,2%-ной (по ДВ) водной эмульсией тифатола (производство фи</w:t>
      </w:r>
      <w:r>
        <w:t>р</w:t>
      </w:r>
      <w:r>
        <w:t>мы Сиба Гейги, Швейцария), больфо (производства фирмы Байер, Герм</w:t>
      </w:r>
      <w:r>
        <w:t>а</w:t>
      </w:r>
      <w:r>
        <w:t>ния), 0,5%-ной водной эмульсией нуванола (производство фирмы Сиба Гейги, Швейцария) и 0,03%-ной водной эмульсией цимбуша (производство фирмы Ай-Си-Ай, Англия). Препараты применяли из автомакса, ДУКа и ЛСД. На квадратный метр площади расходовали по 0,4-0,5 л акарицидной жидкости. Клещи в помещениях и других местах массово погибали в теч</w:t>
      </w:r>
      <w:r>
        <w:t>е</w:t>
      </w:r>
      <w:r>
        <w:t>ние 12-18 час, а остаточная акарицидность препаратов продолжалась 8-9 сут после обработки.</w:t>
      </w:r>
    </w:p>
    <w:p w:rsidR="00F4654E" w:rsidRDefault="00F4654E">
      <w:pPr>
        <w:pStyle w:val="a6"/>
      </w:pPr>
      <w:r>
        <w:t>2. Противоклещевая обработка телят и ягнят. В начале обрабатывали локально-заклещеванные места, а с 14-15 дневного возраста тотально все тело. Применяли 0,1%-ную эмульсию больфо, тифатола, 0,4%-ную эмул</w:t>
      </w:r>
      <w:r>
        <w:t>ь</w:t>
      </w:r>
      <w:r>
        <w:t>сию нуванола и 0.02%-ную эмульсию цимбуша. На одно животное расх</w:t>
      </w:r>
      <w:r>
        <w:t>о</w:t>
      </w:r>
      <w:r>
        <w:t>довали по 0,1-0,5 л акарицидной жидкости. Клещи погибали в течении 12-16 час, а остаточная акарицидность препаратов продолжалась 5-6 сут после обработки животных.</w:t>
      </w:r>
    </w:p>
    <w:p w:rsidR="00F4654E" w:rsidRDefault="00F4654E">
      <w:pPr>
        <w:pStyle w:val="a6"/>
      </w:pPr>
      <w:r>
        <w:t>3. Смена мест стоянки животных на пастбище и зяблевая вспашка их территорий, сжигание мусора в этих местах.</w:t>
      </w:r>
    </w:p>
    <w:p w:rsidR="00F4654E" w:rsidRDefault="00F4654E">
      <w:pPr>
        <w:pStyle w:val="a6"/>
      </w:pPr>
      <w:r>
        <w:t>4. Осушение болотисто-тугайных пастбищ, после чего периодическая их агротехническая обработка (боронование, чизелование и др.).</w:t>
      </w:r>
    </w:p>
    <w:p w:rsidR="00F4654E" w:rsidRDefault="00F4654E">
      <w:pPr>
        <w:pStyle w:val="a6"/>
      </w:pPr>
      <w:r>
        <w:t>5. Ночной и дневной выпас заклещёванных телят и ягнят на высева</w:t>
      </w:r>
      <w:r>
        <w:t>е</w:t>
      </w:r>
      <w:r>
        <w:t>мых полях после уборки урожая, где в массе отпадают клещи и погибают после последующей предпосевной агротехнической обработки почвы.</w:t>
      </w:r>
    </w:p>
    <w:p w:rsidR="00F4654E" w:rsidRDefault="00F4654E">
      <w:pPr>
        <w:pStyle w:val="a4"/>
      </w:pPr>
      <w:r>
        <w:t>УДК 619:616:993:192.6:636:22/.28</w:t>
      </w:r>
    </w:p>
    <w:p w:rsidR="00F4654E" w:rsidRDefault="00F4654E">
      <w:pPr>
        <w:pStyle w:val="1"/>
      </w:pPr>
      <w:bookmarkStart w:id="6788" w:name="_Toc11138207"/>
      <w:bookmarkStart w:id="6789" w:name="_Toc11138625"/>
      <w:bookmarkStart w:id="6790" w:name="_Toc11139043"/>
      <w:bookmarkStart w:id="6791" w:name="_Toc11139461"/>
      <w:bookmarkStart w:id="6792" w:name="_Toc11139879"/>
      <w:bookmarkStart w:id="6793" w:name="_Toc11140297"/>
      <w:bookmarkStart w:id="6794" w:name="_Toc11140715"/>
      <w:bookmarkStart w:id="6795" w:name="_Toc11390809"/>
      <w:bookmarkStart w:id="6796" w:name="_Toc11840498"/>
      <w:bookmarkStart w:id="6797" w:name="_Toc11938034"/>
      <w:r>
        <w:t>ОСОБЕННОСТИ ФОРМИРОВАНИЯ ИММУНИТЕТА  И ФАКТОРЫ ВЛИЯЮЩИЕ НА ЭТОТ ПРОЦЕСС У ИММУНИЗИРОВАННОГО ПРОТИВОТЕЙЛЕРИОЗНОЙ ВАКЦИНОЙ КРУПНОГО РОГАТОГО СКОТА</w:t>
      </w:r>
      <w:bookmarkEnd w:id="6788"/>
      <w:bookmarkEnd w:id="6789"/>
      <w:bookmarkEnd w:id="6790"/>
      <w:bookmarkEnd w:id="6791"/>
      <w:bookmarkEnd w:id="6792"/>
      <w:bookmarkEnd w:id="6793"/>
      <w:bookmarkEnd w:id="6794"/>
      <w:bookmarkEnd w:id="6795"/>
      <w:bookmarkEnd w:id="6796"/>
      <w:bookmarkEnd w:id="6797"/>
    </w:p>
    <w:p w:rsidR="00F4654E" w:rsidRDefault="00F4654E">
      <w:pPr>
        <w:pStyle w:val="2"/>
      </w:pPr>
      <w:bookmarkStart w:id="6798" w:name="_Toc11032467"/>
      <w:bookmarkStart w:id="6799" w:name="_Toc11138208"/>
      <w:bookmarkStart w:id="6800" w:name="_Toc11138626"/>
      <w:bookmarkStart w:id="6801" w:name="_Toc11139044"/>
      <w:bookmarkStart w:id="6802" w:name="_Toc11139462"/>
      <w:bookmarkStart w:id="6803" w:name="_Toc11139880"/>
      <w:bookmarkStart w:id="6804" w:name="_Toc11140298"/>
      <w:bookmarkStart w:id="6805" w:name="_Toc11140716"/>
      <w:bookmarkStart w:id="6806" w:name="_Toc11390810"/>
      <w:bookmarkStart w:id="6807" w:name="_Toc11938035"/>
      <w:r>
        <w:t>Нораев Р.Х., Норов Ш.Х., Гулов А.Х.</w:t>
      </w:r>
      <w:bookmarkEnd w:id="6798"/>
      <w:bookmarkEnd w:id="6799"/>
      <w:bookmarkEnd w:id="6800"/>
      <w:bookmarkEnd w:id="6801"/>
      <w:bookmarkEnd w:id="6802"/>
      <w:bookmarkEnd w:id="6803"/>
      <w:bookmarkEnd w:id="6804"/>
      <w:bookmarkEnd w:id="6805"/>
      <w:bookmarkEnd w:id="6806"/>
      <w:bookmarkEnd w:id="6807"/>
    </w:p>
    <w:p w:rsidR="00F4654E" w:rsidRDefault="00F4654E">
      <w:pPr>
        <w:pStyle w:val="a5"/>
      </w:pPr>
      <w:r>
        <w:t>Таджикский научно-исследовательский ветеринарный институт</w:t>
      </w:r>
    </w:p>
    <w:p w:rsidR="00F4654E" w:rsidRDefault="00F4654E">
      <w:pPr>
        <w:pStyle w:val="a6"/>
      </w:pPr>
      <w:r>
        <w:t>Многолетние исследования по изучению противотейлериозной вак</w:t>
      </w:r>
      <w:r>
        <w:softHyphen/>
        <w:t>цины дала возможность выявить ряд факторов влияющих на течение п</w:t>
      </w:r>
      <w:r>
        <w:t>о</w:t>
      </w:r>
      <w:r>
        <w:t>ствакцинальной реакции и формирования иммунитета у иммунизирова</w:t>
      </w:r>
      <w:r>
        <w:t>н</w:t>
      </w:r>
      <w:r>
        <w:t>ного данной вакциной крупного рогатого скота. Выявлено, что для но</w:t>
      </w:r>
      <w:r>
        <w:t>р</w:t>
      </w:r>
      <w:r>
        <w:t>мального течения поствакцинальной реакции, у иммунизированных прот</w:t>
      </w:r>
      <w:r>
        <w:t>и</w:t>
      </w:r>
      <w:r>
        <w:lastRenderedPageBreak/>
        <w:t>вотейлериозной вакциной относительно клинически здоровых коров, м</w:t>
      </w:r>
      <w:r>
        <w:t>о</w:t>
      </w:r>
      <w:r>
        <w:t>жет оказывать отрицательное влияние болезни хронического характера как эхинококкоз, туберкулез, бру</w:t>
      </w:r>
      <w:r>
        <w:softHyphen/>
        <w:t>целлез, лейкоз, фасциолез, мочекаменные б</w:t>
      </w:r>
      <w:r>
        <w:t>о</w:t>
      </w:r>
      <w:r>
        <w:t>лезни и т.д. Предварительное (до иммунизации) выявление указанных б</w:t>
      </w:r>
      <w:r>
        <w:t>о</w:t>
      </w:r>
      <w:r>
        <w:t>лез</w:t>
      </w:r>
      <w:r>
        <w:softHyphen/>
        <w:t>ней у коров дают возможность исключить их из числа подвергаемых иммунизации и избежать осложнение поствакцинальной реакции среди иммунизированных на почве этих болезней.</w:t>
      </w:r>
    </w:p>
    <w:p w:rsidR="00F4654E" w:rsidRPr="00D75866" w:rsidRDefault="00F4654E">
      <w:pPr>
        <w:pStyle w:val="a6"/>
        <w:rPr>
          <w:spacing w:val="-4"/>
        </w:rPr>
      </w:pPr>
      <w:r w:rsidRPr="00D75866">
        <w:rPr>
          <w:spacing w:val="-4"/>
        </w:rPr>
        <w:t>Установлено, что сроки проявления поствакцинальной реакции, теч</w:t>
      </w:r>
      <w:r w:rsidRPr="00D75866">
        <w:rPr>
          <w:spacing w:val="-4"/>
        </w:rPr>
        <w:t>е</w:t>
      </w:r>
      <w:r w:rsidRPr="00D75866">
        <w:rPr>
          <w:spacing w:val="-4"/>
        </w:rPr>
        <w:t>ние поствакцинальной реакции, формирования антител в сыворотки крови и и</w:t>
      </w:r>
      <w:r w:rsidRPr="00D75866">
        <w:rPr>
          <w:spacing w:val="-4"/>
        </w:rPr>
        <w:t>м</w:t>
      </w:r>
      <w:r w:rsidRPr="00D75866">
        <w:rPr>
          <w:spacing w:val="-4"/>
        </w:rPr>
        <w:t>мунитета в организме иммунизированных животных зависит от клиническ</w:t>
      </w:r>
      <w:r w:rsidRPr="00D75866">
        <w:rPr>
          <w:spacing w:val="-4"/>
        </w:rPr>
        <w:t>о</w:t>
      </w:r>
      <w:r w:rsidRPr="00D75866">
        <w:rPr>
          <w:spacing w:val="-4"/>
        </w:rPr>
        <w:t>го состояния, упитанности, возраста, породы, индиви</w:t>
      </w:r>
      <w:r w:rsidRPr="00D75866">
        <w:rPr>
          <w:spacing w:val="-4"/>
        </w:rPr>
        <w:softHyphen/>
        <w:t>дуальной резистентн</w:t>
      </w:r>
      <w:r w:rsidRPr="00D75866">
        <w:rPr>
          <w:spacing w:val="-4"/>
        </w:rPr>
        <w:t>о</w:t>
      </w:r>
      <w:r w:rsidRPr="00D75866">
        <w:rPr>
          <w:spacing w:val="-4"/>
        </w:rPr>
        <w:t>сти организма, кормления и содержания и т.д. в период ответной реакции о</w:t>
      </w:r>
      <w:r w:rsidRPr="00D75866">
        <w:rPr>
          <w:spacing w:val="-4"/>
        </w:rPr>
        <w:t>р</w:t>
      </w:r>
      <w:r w:rsidRPr="00D75866">
        <w:rPr>
          <w:spacing w:val="-4"/>
        </w:rPr>
        <w:t>ганизма на введение вакцины и приоб</w:t>
      </w:r>
      <w:r w:rsidRPr="00D75866">
        <w:rPr>
          <w:spacing w:val="-4"/>
        </w:rPr>
        <w:softHyphen/>
        <w:t>ретения иммунитета. Так течение п</w:t>
      </w:r>
      <w:r w:rsidRPr="00D75866">
        <w:rPr>
          <w:spacing w:val="-4"/>
        </w:rPr>
        <w:t>о</w:t>
      </w:r>
      <w:r w:rsidRPr="00D75866">
        <w:rPr>
          <w:spacing w:val="-4"/>
        </w:rPr>
        <w:t>ствакцинальной реакции был менее выраженным и менее пр</w:t>
      </w:r>
      <w:r w:rsidRPr="00D75866">
        <w:rPr>
          <w:spacing w:val="-4"/>
        </w:rPr>
        <w:t>о</w:t>
      </w:r>
      <w:r w:rsidRPr="00D75866">
        <w:rPr>
          <w:spacing w:val="-4"/>
        </w:rPr>
        <w:t>должительным у помесных, швицезебовидных, местных, казахских бел</w:t>
      </w:r>
      <w:r w:rsidRPr="00D75866">
        <w:rPr>
          <w:spacing w:val="-4"/>
        </w:rPr>
        <w:t>о</w:t>
      </w:r>
      <w:r w:rsidRPr="00D75866">
        <w:rPr>
          <w:spacing w:val="-4"/>
        </w:rPr>
        <w:t>головых, абердин-ангусских пород, чем у черно-пестрой породы. У относительно здоровых (особенно мо</w:t>
      </w:r>
      <w:r w:rsidRPr="00D75866">
        <w:rPr>
          <w:spacing w:val="-4"/>
        </w:rPr>
        <w:softHyphen/>
        <w:t>лочного периода) телят, иммунизированных противотейлерио</w:t>
      </w:r>
      <w:r w:rsidRPr="00D75866">
        <w:rPr>
          <w:spacing w:val="-4"/>
        </w:rPr>
        <w:t>з</w:t>
      </w:r>
      <w:r w:rsidRPr="00D75866">
        <w:rPr>
          <w:spacing w:val="-4"/>
        </w:rPr>
        <w:t>ной вак</w:t>
      </w:r>
      <w:r w:rsidRPr="00D75866">
        <w:rPr>
          <w:spacing w:val="-4"/>
        </w:rPr>
        <w:softHyphen/>
        <w:t>циной, проявление поствакцинальной реа</w:t>
      </w:r>
      <w:r w:rsidRPr="00D75866">
        <w:rPr>
          <w:spacing w:val="-4"/>
        </w:rPr>
        <w:t>к</w:t>
      </w:r>
      <w:r w:rsidRPr="00D75866">
        <w:rPr>
          <w:spacing w:val="-4"/>
        </w:rPr>
        <w:t>ции было менее выражено, чем у старших возрастов. Формирования про</w:t>
      </w:r>
      <w:r w:rsidRPr="00D75866">
        <w:rPr>
          <w:spacing w:val="-4"/>
        </w:rPr>
        <w:t>т</w:t>
      </w:r>
      <w:r w:rsidR="007A6E39">
        <w:rPr>
          <w:spacing w:val="-4"/>
        </w:rPr>
        <w:t>и</w:t>
      </w:r>
      <w:r w:rsidRPr="00D75866">
        <w:rPr>
          <w:spacing w:val="-4"/>
        </w:rPr>
        <w:t>вотейлериозных антител и их уровень в сыворотке крови иммунизированных телят ниже средней упита</w:t>
      </w:r>
      <w:r w:rsidRPr="00D75866">
        <w:rPr>
          <w:spacing w:val="-4"/>
        </w:rPr>
        <w:t>н</w:t>
      </w:r>
      <w:r w:rsidRPr="00D75866">
        <w:rPr>
          <w:spacing w:val="-4"/>
        </w:rPr>
        <w:t>ности был менее выраженным и в 1-2 раза ниже, чем у иммунизи</w:t>
      </w:r>
      <w:r w:rsidRPr="00D75866">
        <w:rPr>
          <w:spacing w:val="-4"/>
        </w:rPr>
        <w:softHyphen/>
        <w:t>рованных телят средней и вышесредней уп</w:t>
      </w:r>
      <w:r w:rsidRPr="00D75866">
        <w:rPr>
          <w:spacing w:val="-4"/>
        </w:rPr>
        <w:t>и</w:t>
      </w:r>
      <w:r w:rsidRPr="00D75866">
        <w:rPr>
          <w:spacing w:val="-4"/>
        </w:rPr>
        <w:t>танности.</w:t>
      </w:r>
    </w:p>
    <w:p w:rsidR="00F4654E" w:rsidRDefault="00F4654E">
      <w:pPr>
        <w:pStyle w:val="a6"/>
      </w:pPr>
      <w:r>
        <w:t>Установлено, что в сыворотке крови вакцинированных телят раннего возраста в период поствакцинальной реакции в сыворотке крови уровень общего белка существенно не изменяется, однако отмечается значительное повышение уровня альфа- и бета-глобулинов и существенное уменьшение содержания гамма-глобулинов. Снижения гамма-глобулинов в</w:t>
      </w:r>
      <w:r>
        <w:rPr>
          <w:smallCaps/>
        </w:rPr>
        <w:t xml:space="preserve"> </w:t>
      </w:r>
      <w:r>
        <w:t>этот период обусловлено активным участием этой фракции в составе комплекса ант</w:t>
      </w:r>
      <w:r>
        <w:t>и</w:t>
      </w:r>
      <w:r>
        <w:t>телообразующих веществ организма при взаимодействии антител с ант</w:t>
      </w:r>
      <w:r>
        <w:t>и</w:t>
      </w:r>
      <w:r>
        <w:t>геном. Уровень белковых фракций приближается к исходному 40-му дню вакцинации. Выявлено, что климатические условия жаркого времени года не оказывают отрицательного влияния на течение поствакцинальной ре</w:t>
      </w:r>
      <w:r>
        <w:softHyphen/>
        <w:t>акции и формирования иммунитета достаточной напряженности у при</w:t>
      </w:r>
      <w:r>
        <w:softHyphen/>
        <w:t xml:space="preserve">витых противотеилериозной вакциной телят. </w:t>
      </w:r>
    </w:p>
    <w:p w:rsidR="00F4654E" w:rsidRDefault="00F4654E">
      <w:pPr>
        <w:pStyle w:val="a6"/>
      </w:pPr>
      <w:r>
        <w:t>Доказано, что противотейлериозная вакцина у клинически здо</w:t>
      </w:r>
      <w:r>
        <w:softHyphen/>
        <w:t>ровых коров с различными сроками стельности не оказывает отрица</w:t>
      </w:r>
      <w:r>
        <w:softHyphen/>
        <w:t>тельного влияния на течение стельности и неабортогенна. В молозиве коров, имм</w:t>
      </w:r>
      <w:r>
        <w:t>у</w:t>
      </w:r>
      <w:r>
        <w:t>низированных противотейлериозной вакциной во вто</w:t>
      </w:r>
      <w:r>
        <w:softHyphen/>
        <w:t>рой половине стел</w:t>
      </w:r>
      <w:r>
        <w:t>ь</w:t>
      </w:r>
      <w:r>
        <w:t>ности, происходит накопление противотейлеркозных антител, которые п</w:t>
      </w:r>
      <w:r>
        <w:t>е</w:t>
      </w:r>
      <w:r>
        <w:t>редаются потомству. Однако эти антитела не предохраняют телят от те</w:t>
      </w:r>
      <w:r>
        <w:t>й</w:t>
      </w:r>
      <w:r>
        <w:t>лериоза при нападении инвазированных полевым штаммом тейлерий кл</w:t>
      </w:r>
      <w:r>
        <w:t>е</w:t>
      </w:r>
      <w:r>
        <w:t>щей-переносчиков.</w:t>
      </w:r>
    </w:p>
    <w:p w:rsidR="00F4654E" w:rsidRPr="00D75866" w:rsidRDefault="00F4654E">
      <w:pPr>
        <w:pStyle w:val="a6"/>
        <w:rPr>
          <w:spacing w:val="-4"/>
        </w:rPr>
      </w:pPr>
      <w:r w:rsidRPr="00D75866">
        <w:rPr>
          <w:spacing w:val="-4"/>
        </w:rPr>
        <w:lastRenderedPageBreak/>
        <w:t>Разработан способ иммунизации молодняка крупного рогатого скота ниже средней упитанности и слабой резистентности организма путем стим</w:t>
      </w:r>
      <w:r w:rsidRPr="00D75866">
        <w:rPr>
          <w:spacing w:val="-4"/>
        </w:rPr>
        <w:t>у</w:t>
      </w:r>
      <w:r w:rsidRPr="00D75866">
        <w:rPr>
          <w:spacing w:val="-4"/>
        </w:rPr>
        <w:t>ляции поствакцинального антителообразования и иммуни</w:t>
      </w:r>
      <w:r w:rsidRPr="00D75866">
        <w:rPr>
          <w:spacing w:val="-4"/>
        </w:rPr>
        <w:softHyphen/>
        <w:t>тета низкомолек</w:t>
      </w:r>
      <w:r w:rsidRPr="00D75866">
        <w:rPr>
          <w:spacing w:val="-4"/>
        </w:rPr>
        <w:t>у</w:t>
      </w:r>
      <w:r w:rsidRPr="00D75866">
        <w:rPr>
          <w:spacing w:val="-4"/>
        </w:rPr>
        <w:t>лярными иммуноактивными пептидами в координации с микроэл</w:t>
      </w:r>
      <w:r w:rsidRPr="00D75866">
        <w:rPr>
          <w:spacing w:val="-4"/>
        </w:rPr>
        <w:t>е</w:t>
      </w:r>
      <w:r w:rsidRPr="00D75866">
        <w:rPr>
          <w:spacing w:val="-4"/>
        </w:rPr>
        <w:t>ментами.</w:t>
      </w:r>
    </w:p>
    <w:p w:rsidR="00F4654E" w:rsidRDefault="00F4654E">
      <w:pPr>
        <w:pStyle w:val="a4"/>
      </w:pPr>
      <w:r>
        <w:t>УДК 547.853.3.07</w:t>
      </w:r>
    </w:p>
    <w:p w:rsidR="00F4654E" w:rsidRDefault="00F4654E">
      <w:pPr>
        <w:pStyle w:val="1"/>
      </w:pPr>
      <w:bookmarkStart w:id="6808" w:name="_Toc11138209"/>
      <w:bookmarkStart w:id="6809" w:name="_Toc11138627"/>
      <w:bookmarkStart w:id="6810" w:name="_Toc11139045"/>
      <w:bookmarkStart w:id="6811" w:name="_Toc11139463"/>
      <w:bookmarkStart w:id="6812" w:name="_Toc11139881"/>
      <w:bookmarkStart w:id="6813" w:name="_Toc11140299"/>
      <w:bookmarkStart w:id="6814" w:name="_Toc11140717"/>
      <w:bookmarkStart w:id="6815" w:name="_Toc11390811"/>
      <w:bookmarkStart w:id="6816" w:name="_Toc11840500"/>
      <w:bookmarkStart w:id="6817" w:name="_Toc11938036"/>
      <w:r>
        <w:t>ОСТРАЯ ТОКСИЧНОСТЬ ПРОИЗВОДНЫХ ТИАДИАЗОЛ-ПИРИМИДИНА</w:t>
      </w:r>
      <w:bookmarkEnd w:id="6808"/>
      <w:bookmarkEnd w:id="6809"/>
      <w:bookmarkEnd w:id="6810"/>
      <w:bookmarkEnd w:id="6811"/>
      <w:bookmarkEnd w:id="6812"/>
      <w:bookmarkEnd w:id="6813"/>
      <w:bookmarkEnd w:id="6814"/>
      <w:bookmarkEnd w:id="6815"/>
      <w:bookmarkEnd w:id="6816"/>
      <w:bookmarkEnd w:id="6817"/>
    </w:p>
    <w:p w:rsidR="00F4654E" w:rsidRDefault="00F4654E">
      <w:pPr>
        <w:pStyle w:val="2"/>
      </w:pPr>
      <w:bookmarkStart w:id="6818" w:name="_Toc11032468"/>
      <w:bookmarkStart w:id="6819" w:name="_Toc11138210"/>
      <w:bookmarkStart w:id="6820" w:name="_Toc11138628"/>
      <w:bookmarkStart w:id="6821" w:name="_Toc11139046"/>
      <w:bookmarkStart w:id="6822" w:name="_Toc11139464"/>
      <w:bookmarkStart w:id="6823" w:name="_Toc11139882"/>
      <w:bookmarkStart w:id="6824" w:name="_Toc11140300"/>
      <w:bookmarkStart w:id="6825" w:name="_Toc11140718"/>
      <w:bookmarkStart w:id="6826" w:name="_Toc11390812"/>
      <w:bookmarkStart w:id="6827" w:name="_Toc11938037"/>
      <w:r>
        <w:t>Салимов Т.М., Назаров Ш., Сатторов И.Т., Куканиев М.А.</w:t>
      </w:r>
      <w:bookmarkEnd w:id="6818"/>
      <w:bookmarkEnd w:id="6819"/>
      <w:bookmarkEnd w:id="6820"/>
      <w:bookmarkEnd w:id="6821"/>
      <w:bookmarkEnd w:id="6822"/>
      <w:bookmarkEnd w:id="6823"/>
      <w:bookmarkEnd w:id="6824"/>
      <w:bookmarkEnd w:id="6825"/>
      <w:bookmarkEnd w:id="6826"/>
      <w:bookmarkEnd w:id="6827"/>
    </w:p>
    <w:p w:rsidR="00F4654E" w:rsidRDefault="00F4654E">
      <w:pPr>
        <w:pStyle w:val="a5"/>
      </w:pPr>
      <w:r>
        <w:t xml:space="preserve">Таджикский научно-исследовательский ветеринарный институт </w:t>
      </w:r>
      <w:r>
        <w:br/>
        <w:t>Институт химии АН Республики Таджикистан</w:t>
      </w:r>
    </w:p>
    <w:p w:rsidR="00F4654E" w:rsidRPr="00D75866" w:rsidRDefault="00F4654E">
      <w:pPr>
        <w:pStyle w:val="a6"/>
        <w:rPr>
          <w:spacing w:val="-4"/>
        </w:rPr>
      </w:pPr>
      <w:r w:rsidRPr="00D75866">
        <w:rPr>
          <w:spacing w:val="-4"/>
        </w:rPr>
        <w:t>Одним из актуальных направлений современной биологической химии является поиск новых малотоксичных и экологически безвредных аналогов природных веществ, которые могли бы найти применение в медицине и в</w:t>
      </w:r>
      <w:r w:rsidRPr="00D75866">
        <w:rPr>
          <w:spacing w:val="-4"/>
        </w:rPr>
        <w:t>е</w:t>
      </w:r>
      <w:r w:rsidRPr="00D75866">
        <w:rPr>
          <w:spacing w:val="-4"/>
        </w:rPr>
        <w:t>теринарии. Тиадиазолпиримидины являются синтетическими аналогами п</w:t>
      </w:r>
      <w:r w:rsidRPr="00D75866">
        <w:rPr>
          <w:spacing w:val="-4"/>
        </w:rPr>
        <w:t>у</w:t>
      </w:r>
      <w:r w:rsidRPr="00D75866">
        <w:rPr>
          <w:spacing w:val="-4"/>
        </w:rPr>
        <w:t>рина и обладают широким спектром физиологической акти</w:t>
      </w:r>
      <w:r w:rsidRPr="00D75866">
        <w:rPr>
          <w:spacing w:val="-4"/>
        </w:rPr>
        <w:t>в</w:t>
      </w:r>
      <w:r w:rsidRPr="00D75866">
        <w:rPr>
          <w:spacing w:val="-4"/>
        </w:rPr>
        <w:t>ности.</w:t>
      </w:r>
    </w:p>
    <w:p w:rsidR="00F4654E" w:rsidRDefault="00F4654E">
      <w:pPr>
        <w:pStyle w:val="a6"/>
      </w:pPr>
      <w:r>
        <w:t>В связи с этим нашей задачей являлось изучение биологических свойств новых производных тиадиазол-пиримидина.</w:t>
      </w:r>
    </w:p>
    <w:p w:rsidR="00F4654E" w:rsidRDefault="00F4654E">
      <w:pPr>
        <w:pStyle w:val="a6"/>
      </w:pPr>
      <w:r>
        <w:t>Острую токсичность производного тиадиазол-пиримидина (САП-2) определяли по методу Г.Н. Першина на лабораторных животных - белых мышах и цыплятах. Животные каждого вида были разделены по принципу аналогов на 11 равноценных групп по 10 голов. Животным опытных групп препарат вводили внутрибрюшинно в виде взвеси в 2%</w:t>
      </w:r>
      <w:r>
        <w:rPr>
          <w:i/>
        </w:rPr>
        <w:t>-</w:t>
      </w:r>
      <w:r>
        <w:t>ной крахмальной слизи в дозах от 250 до 1250 мг/кг живого веса с интервалом 100 мкг. Ж</w:t>
      </w:r>
      <w:r>
        <w:t>и</w:t>
      </w:r>
      <w:r>
        <w:t xml:space="preserve">вотным контрольных </w:t>
      </w:r>
      <w:r>
        <w:rPr>
          <w:i/>
        </w:rPr>
        <w:t>трупп</w:t>
      </w:r>
      <w:r>
        <w:t xml:space="preserve"> вводили 2%-ную крахмальную слизь. За с</w:t>
      </w:r>
      <w:r>
        <w:t>о</w:t>
      </w:r>
      <w:r>
        <w:t>стоянием животных устанавливали наблюдение. При этом учитывали внешний вид и поведение, состояние видимых слизистых оболочек, отн</w:t>
      </w:r>
      <w:r>
        <w:t>о</w:t>
      </w:r>
      <w:r>
        <w:t>шение к корму, подвижность, ритм и частоту дыхания, время возникнов</w:t>
      </w:r>
      <w:r>
        <w:t>е</w:t>
      </w:r>
      <w:r>
        <w:t>ния и характер интоксикации, срок гибели животных или их выздоровл</w:t>
      </w:r>
      <w:r>
        <w:t>е</w:t>
      </w:r>
      <w:r>
        <w:t>ния. Учет вели в течение 10 дней.</w:t>
      </w:r>
    </w:p>
    <w:p w:rsidR="00F4654E" w:rsidRDefault="00F4654E">
      <w:pPr>
        <w:pStyle w:val="a6"/>
      </w:pPr>
      <w:r>
        <w:t>В результате проведенных исследований и статистической обработки цифрового материала установлено, что максимально переносимая доза САП-2 равна 500 мг/кг, ЛД</w:t>
      </w:r>
      <w:r>
        <w:rPr>
          <w:vertAlign w:val="subscript"/>
        </w:rPr>
        <w:t>50</w:t>
      </w:r>
      <w:r>
        <w:t xml:space="preserve"> - 560 мг/кг, ЛД</w:t>
      </w:r>
      <w:r>
        <w:rPr>
          <w:vertAlign w:val="subscript"/>
        </w:rPr>
        <w:t>100</w:t>
      </w:r>
      <w:r>
        <w:t xml:space="preserve"> - 1204 мг/кг.</w:t>
      </w:r>
    </w:p>
    <w:p w:rsidR="00F4654E" w:rsidRDefault="00F4654E">
      <w:pPr>
        <w:pStyle w:val="a4"/>
      </w:pPr>
      <w:r>
        <w:t>УДК 619.618:615.02</w:t>
      </w:r>
    </w:p>
    <w:p w:rsidR="00F4654E" w:rsidRDefault="00F4654E">
      <w:pPr>
        <w:pStyle w:val="1"/>
      </w:pPr>
      <w:bookmarkStart w:id="6828" w:name="_Toc11138211"/>
      <w:bookmarkStart w:id="6829" w:name="_Toc11138629"/>
      <w:bookmarkStart w:id="6830" w:name="_Toc11139047"/>
      <w:bookmarkStart w:id="6831" w:name="_Toc11139465"/>
      <w:bookmarkStart w:id="6832" w:name="_Toc11139883"/>
      <w:bookmarkStart w:id="6833" w:name="_Toc11140301"/>
      <w:bookmarkStart w:id="6834" w:name="_Toc11140719"/>
      <w:bookmarkStart w:id="6835" w:name="_Toc11390813"/>
      <w:bookmarkStart w:id="6836" w:name="_Toc11840502"/>
      <w:bookmarkStart w:id="6837" w:name="_Toc11938038"/>
      <w:r>
        <w:t>ЭФФЕКТИВНОСТЬ ВИТАГИНА-1 ПРИ ЭНДОМЕТРИТЕ У КОРОВ</w:t>
      </w:r>
      <w:bookmarkEnd w:id="6828"/>
      <w:bookmarkEnd w:id="6829"/>
      <w:bookmarkEnd w:id="6830"/>
      <w:bookmarkEnd w:id="6831"/>
      <w:bookmarkEnd w:id="6832"/>
      <w:bookmarkEnd w:id="6833"/>
      <w:bookmarkEnd w:id="6834"/>
      <w:bookmarkEnd w:id="6835"/>
      <w:bookmarkEnd w:id="6836"/>
      <w:bookmarkEnd w:id="6837"/>
    </w:p>
    <w:p w:rsidR="00F4654E" w:rsidRDefault="00F4654E">
      <w:pPr>
        <w:pStyle w:val="2"/>
      </w:pPr>
      <w:bookmarkStart w:id="6838" w:name="_Toc11032469"/>
      <w:bookmarkStart w:id="6839" w:name="_Toc11138212"/>
      <w:bookmarkStart w:id="6840" w:name="_Toc11138630"/>
      <w:bookmarkStart w:id="6841" w:name="_Toc11139048"/>
      <w:bookmarkStart w:id="6842" w:name="_Toc11139466"/>
      <w:bookmarkStart w:id="6843" w:name="_Toc11139884"/>
      <w:bookmarkStart w:id="6844" w:name="_Toc11140302"/>
      <w:bookmarkStart w:id="6845" w:name="_Toc11140720"/>
      <w:bookmarkStart w:id="6846" w:name="_Toc11390814"/>
      <w:bookmarkStart w:id="6847" w:name="_Toc11938039"/>
      <w:r>
        <w:t xml:space="preserve">Сатторов И.Т., Мирзоахмедов Ш.Р., Турдиев Ш.А., </w:t>
      </w:r>
      <w:r>
        <w:br/>
        <w:t>Мухамедов Н.Д., Асоев П., Сатторов Н.Р.</w:t>
      </w:r>
      <w:bookmarkEnd w:id="6838"/>
      <w:bookmarkEnd w:id="6839"/>
      <w:bookmarkEnd w:id="6840"/>
      <w:bookmarkEnd w:id="6841"/>
      <w:bookmarkEnd w:id="6842"/>
      <w:bookmarkEnd w:id="6843"/>
      <w:bookmarkEnd w:id="6844"/>
      <w:bookmarkEnd w:id="6845"/>
      <w:bookmarkEnd w:id="6846"/>
      <w:bookmarkEnd w:id="6847"/>
    </w:p>
    <w:p w:rsidR="00F4654E" w:rsidRDefault="00F4654E">
      <w:pPr>
        <w:pStyle w:val="a5"/>
      </w:pPr>
      <w:r>
        <w:t>Таджикский научно-исследовательский ветеринарный институт</w:t>
      </w:r>
    </w:p>
    <w:p w:rsidR="00F4654E" w:rsidRDefault="00F4654E">
      <w:pPr>
        <w:pStyle w:val="a6"/>
      </w:pPr>
      <w:r>
        <w:t>В настоящее время в ветеринарной гинекологии широко используют готовые лекарственные формы (твердых, жидких, газообразных), поскол</w:t>
      </w:r>
      <w:r>
        <w:t>ь</w:t>
      </w:r>
      <w:r>
        <w:t>ку они обеспечивают быстрое выполнение терапевтических процедур с с</w:t>
      </w:r>
      <w:r>
        <w:t>о</w:t>
      </w:r>
      <w:r>
        <w:lastRenderedPageBreak/>
        <w:t>блюдением гигиены. Установлено, что лекарственные формы с пенообр</w:t>
      </w:r>
      <w:r>
        <w:t>а</w:t>
      </w:r>
      <w:r>
        <w:t>зующей основой обеспечивают действующим веществом входить в тесный контакт со слизистой оболочкой матки, способствуют более усиленной р</w:t>
      </w:r>
      <w:r>
        <w:t>е</w:t>
      </w:r>
      <w:r>
        <w:t>зорбции лекарственных веществ, снижают раздражение нервных оконч</w:t>
      </w:r>
      <w:r>
        <w:t>а</w:t>
      </w:r>
      <w:r>
        <w:t>ний, что оказывают миотомическое действие.</w:t>
      </w:r>
    </w:p>
    <w:p w:rsidR="00F4654E" w:rsidRDefault="00F4654E">
      <w:pPr>
        <w:pStyle w:val="a6"/>
      </w:pPr>
      <w:r>
        <w:t>Нами совместно с Таджикским аграрным университетом был разраб</w:t>
      </w:r>
      <w:r>
        <w:t>о</w:t>
      </w:r>
      <w:r>
        <w:t>тан новый лекарственный состав – витагин-1. Препарат содержит антиби</w:t>
      </w:r>
      <w:r>
        <w:t>о</w:t>
      </w:r>
      <w:r>
        <w:t>тики, нитрофурановые и сульфаниламидные вещества и пенообразующую основу. Представляет собой таблетки беловато-желтого цвета массой до 2 г. В жидкой среде при температуре 37-38</w:t>
      </w:r>
      <w:r>
        <w:rPr>
          <w:vertAlign w:val="superscript"/>
        </w:rPr>
        <w:t>0</w:t>
      </w:r>
      <w:r>
        <w:t>С разрушается не менее чем за 5 минут, образуя пену. Эффективность витагина-1 изучали по сравнению с левотетрасульфином на 24 больных эндометритом коров. Производстве</w:t>
      </w:r>
      <w:r>
        <w:t>н</w:t>
      </w:r>
      <w:r>
        <w:t>ные испытания показали, что при применении витагина-1 клиническое в</w:t>
      </w:r>
      <w:r>
        <w:t>ы</w:t>
      </w:r>
      <w:r>
        <w:t>здоровление наступает раньше на 2,5</w:t>
      </w:r>
      <w:r>
        <w:sym w:font="Symbol" w:char="F0B1"/>
      </w:r>
      <w:r>
        <w:t>0,33 раза, продолжительность бе</w:t>
      </w:r>
      <w:r>
        <w:t>с</w:t>
      </w:r>
      <w:r>
        <w:t>плодия сокращается на 9,4</w:t>
      </w:r>
      <w:r>
        <w:sym w:font="Symbol" w:char="F0B1"/>
      </w:r>
      <w:r>
        <w:t>0,25 дней.</w:t>
      </w:r>
    </w:p>
    <w:p w:rsidR="00F4654E" w:rsidRDefault="00F4654E">
      <w:pPr>
        <w:pStyle w:val="a6"/>
      </w:pPr>
      <w:r>
        <w:t>Таким образом, проведенные исследования показали, что новый пр</w:t>
      </w:r>
      <w:r>
        <w:t>е</w:t>
      </w:r>
      <w:r>
        <w:t>парат витагин-1 обладает высокой терапевтической эффективностью при эндометритах у коров по сравнению с известными препаратами.</w:t>
      </w:r>
    </w:p>
    <w:p w:rsidR="00F4654E" w:rsidRDefault="00F4654E">
      <w:pPr>
        <w:pStyle w:val="a4"/>
      </w:pPr>
      <w:r>
        <w:t>УДК 619:616-036.22:136.3</w:t>
      </w:r>
    </w:p>
    <w:p w:rsidR="00F4654E" w:rsidRDefault="00F4654E">
      <w:pPr>
        <w:pStyle w:val="1"/>
      </w:pPr>
      <w:bookmarkStart w:id="6848" w:name="_Toc11138213"/>
      <w:bookmarkStart w:id="6849" w:name="_Toc11138631"/>
      <w:bookmarkStart w:id="6850" w:name="_Toc11139049"/>
      <w:bookmarkStart w:id="6851" w:name="_Toc11139467"/>
      <w:bookmarkStart w:id="6852" w:name="_Toc11139885"/>
      <w:bookmarkStart w:id="6853" w:name="_Toc11140303"/>
      <w:bookmarkStart w:id="6854" w:name="_Toc11140721"/>
      <w:bookmarkStart w:id="6855" w:name="_Toc11390815"/>
      <w:bookmarkStart w:id="6856" w:name="_Toc11840504"/>
      <w:bookmarkStart w:id="6857" w:name="_Toc11938040"/>
      <w:r>
        <w:t>ВОЗМОЖНОСТЬ ПРИМЕНЕНИЯ КОМПЛЕКСНОЙ ИММУНИЗАЦИИ ПРОТИВ БРУЦЕЛЛЕЗА, САЛЬМОНЕЛЛЕЗА И ПАСТЕРЕЛЛЕЗА В ЭКСПЕРИМЕНТАЛЬНЫХ УСЛОВИЯХ</w:t>
      </w:r>
      <w:bookmarkEnd w:id="6848"/>
      <w:bookmarkEnd w:id="6849"/>
      <w:bookmarkEnd w:id="6850"/>
      <w:bookmarkEnd w:id="6851"/>
      <w:bookmarkEnd w:id="6852"/>
      <w:bookmarkEnd w:id="6853"/>
      <w:bookmarkEnd w:id="6854"/>
      <w:bookmarkEnd w:id="6855"/>
      <w:bookmarkEnd w:id="6856"/>
      <w:bookmarkEnd w:id="6857"/>
    </w:p>
    <w:p w:rsidR="00F4654E" w:rsidRDefault="00F4654E">
      <w:pPr>
        <w:pStyle w:val="2"/>
      </w:pPr>
      <w:bookmarkStart w:id="6858" w:name="_Toc11032470"/>
      <w:bookmarkStart w:id="6859" w:name="_Toc11138214"/>
      <w:bookmarkStart w:id="6860" w:name="_Toc11138632"/>
      <w:bookmarkStart w:id="6861" w:name="_Toc11139050"/>
      <w:bookmarkStart w:id="6862" w:name="_Toc11139468"/>
      <w:bookmarkStart w:id="6863" w:name="_Toc11139886"/>
      <w:bookmarkStart w:id="6864" w:name="_Toc11140304"/>
      <w:bookmarkStart w:id="6865" w:name="_Toc11140722"/>
      <w:bookmarkStart w:id="6866" w:name="_Toc11390816"/>
      <w:bookmarkStart w:id="6867" w:name="_Toc11938041"/>
      <w:r>
        <w:t>Турдиев Ш.А., Абдуллоев У.А., Идиев К.У.</w:t>
      </w:r>
      <w:bookmarkEnd w:id="6858"/>
      <w:bookmarkEnd w:id="6859"/>
      <w:bookmarkEnd w:id="6860"/>
      <w:bookmarkEnd w:id="6861"/>
      <w:bookmarkEnd w:id="6862"/>
      <w:bookmarkEnd w:id="6863"/>
      <w:bookmarkEnd w:id="6864"/>
      <w:bookmarkEnd w:id="6865"/>
      <w:bookmarkEnd w:id="6866"/>
      <w:bookmarkEnd w:id="6867"/>
    </w:p>
    <w:p w:rsidR="00F4654E" w:rsidRDefault="00F4654E">
      <w:pPr>
        <w:pStyle w:val="a5"/>
      </w:pPr>
      <w:r>
        <w:t>Таджикский научно-исследовательский ветеринарный институт</w:t>
      </w:r>
    </w:p>
    <w:p w:rsidR="00F4654E" w:rsidRDefault="00F4654E">
      <w:pPr>
        <w:pStyle w:val="a6"/>
      </w:pPr>
      <w:r>
        <w:t>Среди инфекционных заболеваний овец, снижающих эффективное развитие животноводства, значительное место занимают бруцеллез, паст</w:t>
      </w:r>
      <w:r>
        <w:t>е</w:t>
      </w:r>
      <w:r>
        <w:t>реллез и сальмонеллез. Проведенные нами исследования показали, что в последние годы бруцеллез, пастереллез и сальмонеллез имеют широкое распространение в овцеводческих хозяйствах Таджикистана. В республике с 1975 г. в комплексе противобруцеллезных мероприятий используют ва</w:t>
      </w:r>
      <w:r>
        <w:t>к</w:t>
      </w:r>
      <w:r>
        <w:t>цину из штамма Рев-1, а с 1992 г. для профилактики пастереллеза и сал</w:t>
      </w:r>
      <w:r>
        <w:t>ь</w:t>
      </w:r>
      <w:r>
        <w:t>монеллеза овец – ассоциированную вакцину против сальмонеллеза и па</w:t>
      </w:r>
      <w:r>
        <w:t>с</w:t>
      </w:r>
      <w:r>
        <w:t>тереллеза, изготовленную ТаджНИВИ. При наличии смешанной инфекции затрудняется диагностика и снижается эффективность раздельного пров</w:t>
      </w:r>
      <w:r>
        <w:t>е</w:t>
      </w:r>
      <w:r>
        <w:t>дения профилактических прививок. В таких случаях неизбежно возникает проблема изыскания способов комплексной (одновременной) иммуниз</w:t>
      </w:r>
      <w:r>
        <w:t>а</w:t>
      </w:r>
      <w:r>
        <w:t>ции и использования ассоциированных вакцин, что позволяет заметно п</w:t>
      </w:r>
      <w:r>
        <w:t>о</w:t>
      </w:r>
      <w:r>
        <w:t>высить эффективность специфической профилактики инфекций.</w:t>
      </w:r>
    </w:p>
    <w:p w:rsidR="00F4654E" w:rsidRDefault="00F4654E">
      <w:pPr>
        <w:pStyle w:val="a6"/>
      </w:pPr>
      <w:r>
        <w:t>Одновременная иммунизация против нескольких болезней позволяет освободить ветеринарных специалистов от весьма трудоемкой работы по проведению монопрививок, особенно в условиях отгонного ведения ж</w:t>
      </w:r>
      <w:r>
        <w:t>и</w:t>
      </w:r>
      <w:r>
        <w:lastRenderedPageBreak/>
        <w:t>вотноводства. Для сравнительного изучения эффективности комплексной и дельной вакцинации против бруцеллеза, сальмонеллеза и пастереллеза проводили опыты на морских свинках 5-6 месячного возраста (350-400 г живой массы). Известно, что эффективность применения живой против</w:t>
      </w:r>
      <w:r>
        <w:t>о</w:t>
      </w:r>
      <w:r>
        <w:t>бруцеллезной вакцины в значительной степени зависит от расселения и приживаемости культуры бруцелл вакцинного штамма в организме.</w:t>
      </w:r>
    </w:p>
    <w:p w:rsidR="00F4654E" w:rsidRDefault="00F4654E">
      <w:pPr>
        <w:pStyle w:val="a6"/>
      </w:pPr>
      <w:r>
        <w:t>С целью изучения вышеуказанного вопроса проводили опыт на 10 морских свинках. Опытные животные были разделены на две группы по 5 в каждой. Животных первой группы иммунизировали раздельно против бруцеллеза вакциной из штамма Рев-1, второй группы – комплексно пр</w:t>
      </w:r>
      <w:r>
        <w:t>о</w:t>
      </w:r>
      <w:r>
        <w:t>тив бруцеллеза из штамма Рев-1, сальмонеллеза-пастереллеза (ассоциир</w:t>
      </w:r>
      <w:r>
        <w:t>о</w:t>
      </w:r>
      <w:r>
        <w:t>ванной вакциной).</w:t>
      </w:r>
    </w:p>
    <w:p w:rsidR="00F4654E" w:rsidRDefault="00F4654E">
      <w:pPr>
        <w:pStyle w:val="a6"/>
      </w:pPr>
      <w:r>
        <w:t>Общее состояние подопытных животных после иммунизации было удовлетворительным. У морских свинок на месте введения вакцины пр</w:t>
      </w:r>
      <w:r>
        <w:t>о</w:t>
      </w:r>
      <w:r>
        <w:t>щупывались небольшие инфильтраты, которые через 3-4 дня рассасыв</w:t>
      </w:r>
      <w:r>
        <w:t>а</w:t>
      </w:r>
      <w:r>
        <w:t>лись. Других признаков поствакцинальных реакций не наблюдали. На 30-й день после прививки опытных животных забивали для проведения патол</w:t>
      </w:r>
      <w:r>
        <w:t>о</w:t>
      </w:r>
      <w:r>
        <w:t>гоанатомических, серологических и бактериологических исследований. При патологоанатомическом вскрытии у морских свинок, привитых ра</w:t>
      </w:r>
      <w:r>
        <w:t>з</w:t>
      </w:r>
      <w:r>
        <w:t>дельно и комплексно, отмечали однотипные изменения, характерные для вакцинного процесса. Результаты проведенных серологических исследов</w:t>
      </w:r>
      <w:r>
        <w:t>а</w:t>
      </w:r>
      <w:r>
        <w:t>ний показали, что все сыворотки крови опытных животных, привитых ра</w:t>
      </w:r>
      <w:r>
        <w:t>з</w:t>
      </w:r>
      <w:r>
        <w:t>дельно и комплексно, активно реагировали в серологических реакциях. При бактериологическом исследовании от морских свинок, привитых ра</w:t>
      </w:r>
      <w:r>
        <w:t>з</w:t>
      </w:r>
      <w:r>
        <w:t>дельным способом, изолировано 23 культуры бруцелл вакцинного штамма, а от животных, иммунизированных комплексным способом, выделено 27 культур бруцелл вакцинного штамма.</w:t>
      </w:r>
    </w:p>
    <w:p w:rsidR="00F4654E" w:rsidRDefault="00F4654E">
      <w:pPr>
        <w:pStyle w:val="a6"/>
      </w:pPr>
      <w:r>
        <w:t>Таким образом, при изучении обсеменения организма морских свинок бруцеллами штамма Рев-1 после раздельного и комплексного введения вакцин установлено, что в обоих случаях имеет место сравнительно быс</w:t>
      </w:r>
      <w:r>
        <w:t>т</w:t>
      </w:r>
      <w:r>
        <w:t>рого и широкого расселения бруцелл в организме животных. Это явление вызывает выраженный иммунный ответ.</w:t>
      </w:r>
    </w:p>
    <w:p w:rsidR="00F4654E" w:rsidRDefault="00F4654E">
      <w:pPr>
        <w:pStyle w:val="a4"/>
      </w:pPr>
      <w:r>
        <w:t>УДК 619.615.371:616.9:6365</w:t>
      </w:r>
    </w:p>
    <w:p w:rsidR="00F4654E" w:rsidRDefault="00F4654E">
      <w:pPr>
        <w:pStyle w:val="1"/>
      </w:pPr>
      <w:bookmarkStart w:id="6868" w:name="_Toc11138215"/>
      <w:bookmarkStart w:id="6869" w:name="_Toc11138633"/>
      <w:bookmarkStart w:id="6870" w:name="_Toc11139051"/>
      <w:bookmarkStart w:id="6871" w:name="_Toc11139469"/>
      <w:bookmarkStart w:id="6872" w:name="_Toc11139887"/>
      <w:bookmarkStart w:id="6873" w:name="_Toc11140305"/>
      <w:bookmarkStart w:id="6874" w:name="_Toc11140723"/>
      <w:bookmarkStart w:id="6875" w:name="_Toc11390817"/>
      <w:bookmarkStart w:id="6876" w:name="_Toc11840506"/>
      <w:bookmarkStart w:id="6877" w:name="_Toc11938042"/>
      <w:r>
        <w:t>БАКТЕРИЦИДНОЕ ДЕЙСТВИЕ ПРЕПАРАТОВ ДС-1100 И ШОДМОНА НА ВОЗБУДИТЕЛЕЙ БАКТЕРИАЛЬНЫХ БОЛЕЗНЕЙ ПТИЦ</w:t>
      </w:r>
      <w:bookmarkEnd w:id="6868"/>
      <w:bookmarkEnd w:id="6869"/>
      <w:bookmarkEnd w:id="6870"/>
      <w:bookmarkEnd w:id="6871"/>
      <w:bookmarkEnd w:id="6872"/>
      <w:bookmarkEnd w:id="6873"/>
      <w:bookmarkEnd w:id="6874"/>
      <w:bookmarkEnd w:id="6875"/>
      <w:bookmarkEnd w:id="6876"/>
      <w:bookmarkEnd w:id="6877"/>
    </w:p>
    <w:p w:rsidR="00F4654E" w:rsidRDefault="00F4654E">
      <w:pPr>
        <w:pStyle w:val="2"/>
      </w:pPr>
      <w:bookmarkStart w:id="6878" w:name="_Toc11032471"/>
      <w:bookmarkStart w:id="6879" w:name="_Toc11138216"/>
      <w:bookmarkStart w:id="6880" w:name="_Toc11138634"/>
      <w:bookmarkStart w:id="6881" w:name="_Toc11139052"/>
      <w:bookmarkStart w:id="6882" w:name="_Toc11139470"/>
      <w:bookmarkStart w:id="6883" w:name="_Toc11139888"/>
      <w:bookmarkStart w:id="6884" w:name="_Toc11140306"/>
      <w:bookmarkStart w:id="6885" w:name="_Toc11140724"/>
      <w:bookmarkStart w:id="6886" w:name="_Toc11390818"/>
      <w:bookmarkStart w:id="6887" w:name="_Toc11938043"/>
      <w:r>
        <w:t>Шайхов М.Х., Салимов Т.М., Сатторов И.Т.</w:t>
      </w:r>
      <w:bookmarkEnd w:id="6878"/>
      <w:bookmarkEnd w:id="6879"/>
      <w:bookmarkEnd w:id="6880"/>
      <w:bookmarkEnd w:id="6881"/>
      <w:bookmarkEnd w:id="6882"/>
      <w:bookmarkEnd w:id="6883"/>
      <w:bookmarkEnd w:id="6884"/>
      <w:bookmarkEnd w:id="6885"/>
      <w:bookmarkEnd w:id="6886"/>
      <w:bookmarkEnd w:id="6887"/>
    </w:p>
    <w:p w:rsidR="00F4654E" w:rsidRDefault="00F4654E">
      <w:pPr>
        <w:pStyle w:val="a5"/>
      </w:pPr>
      <w:r>
        <w:t>Таджикский научно-исследовательский ветеринарный институт</w:t>
      </w:r>
    </w:p>
    <w:p w:rsidR="00F4654E" w:rsidRDefault="00F4654E">
      <w:pPr>
        <w:pStyle w:val="a6"/>
      </w:pPr>
      <w:r>
        <w:t>Многие широко применяемые антибактериальные препараты из-за адаптации к ним микроорганизмов потеряли или достаточно быстро тер</w:t>
      </w:r>
      <w:r>
        <w:t>я</w:t>
      </w:r>
      <w:r>
        <w:t>ют эффективность. Разработка и производство новых, более эффективных и дешевых лекарственных препаратов остается одной из актуальных пр</w:t>
      </w:r>
      <w:r>
        <w:t>о</w:t>
      </w:r>
      <w:r>
        <w:lastRenderedPageBreak/>
        <w:t>блем ветеринарной науки не только для Таджикистана, но и для многих других стран. В Таджикистане разработаны новые антибактериальные препараты ДС-1100 и шодмон.</w:t>
      </w:r>
    </w:p>
    <w:p w:rsidR="00F4654E" w:rsidRDefault="00F4654E">
      <w:pPr>
        <w:pStyle w:val="a6"/>
      </w:pPr>
      <w:r>
        <w:t>В данном  сообщении  приводятся  результаты изучения антибактер</w:t>
      </w:r>
      <w:r>
        <w:t>и</w:t>
      </w:r>
      <w:r>
        <w:t>ального действия данных препаратов на возбудителей бактериальных б</w:t>
      </w:r>
      <w:r>
        <w:t>о</w:t>
      </w:r>
      <w:r>
        <w:t>лезней птиц.</w:t>
      </w:r>
    </w:p>
    <w:p w:rsidR="00F4654E" w:rsidRDefault="00F4654E">
      <w:pPr>
        <w:pStyle w:val="a6"/>
      </w:pPr>
      <w:r>
        <w:t>Степень бактериостатической и бактерицидной активности препар</w:t>
      </w:r>
      <w:r>
        <w:t>а</w:t>
      </w:r>
      <w:r>
        <w:t>тов изучена в отношении музейных и полевых штаммов эшерихии коли, стафилококкус ауреус, сальмонеллы пулорум, пастерелла мультоцида, в</w:t>
      </w:r>
      <w:r>
        <w:t>ы</w:t>
      </w:r>
      <w:r>
        <w:t>деленных в лаборатории болезней птиц. Опыты проводились в чашках Петри на МПА с дисками, пропитанными антибиотиками - ДС-1100, шо</w:t>
      </w:r>
      <w:r>
        <w:t>д</w:t>
      </w:r>
      <w:r>
        <w:t>моном, окситетрациклином и левомицетином. Суточная микробная кул</w:t>
      </w:r>
      <w:r>
        <w:t>ь</w:t>
      </w:r>
      <w:r>
        <w:t>тура заливалась в чашку Петри с МПА, затем на разделенные зоны нан</w:t>
      </w:r>
      <w:r>
        <w:t>о</w:t>
      </w:r>
      <w:r>
        <w:t>сились диски с антибиотиками. Посевная доза бактерий равнялась 1000 микробных клеток в 1 мл питательной среды. При использовании дисков высокую активность показали диски, приготовленные из ДС-1100 и шо</w:t>
      </w:r>
      <w:r>
        <w:t>д</w:t>
      </w:r>
      <w:r>
        <w:t>мона, зона задержки роста более 7 мм, в то время как у левомицетина и о</w:t>
      </w:r>
      <w:r>
        <w:t>к</w:t>
      </w:r>
      <w:r>
        <w:t>ситетрациклина - менее 5 мм.</w:t>
      </w:r>
    </w:p>
    <w:p w:rsidR="00F4654E" w:rsidRDefault="00F4654E">
      <w:pPr>
        <w:pStyle w:val="a6"/>
      </w:pPr>
      <w:r>
        <w:t>Результаты проведенных исследований методом двукратных сери</w:t>
      </w:r>
      <w:r>
        <w:t>й</w:t>
      </w:r>
      <w:r>
        <w:t>ных   разведений   показали,   что   наиболее   выраженный бактерицидный эффект шодмона наблюдался при его действии на стафилококки и эшер</w:t>
      </w:r>
      <w:r>
        <w:t>и</w:t>
      </w:r>
      <w:r>
        <w:t>хии коли (бактерицидная доза 6,2 мг/кг). ДС-1100 был наиболее эффект</w:t>
      </w:r>
      <w:r>
        <w:t>и</w:t>
      </w:r>
      <w:r>
        <w:t>вен против пастереллы и сальмонеллы Бактерицидная доза препарата при этом составила 12,5 мг/кг. Бактерицидная доза левомицетина составляла 16 мг/кг, окситетрациклина - 22 мг/кг.</w:t>
      </w:r>
    </w:p>
    <w:p w:rsidR="00F4654E" w:rsidRPr="00D75866" w:rsidRDefault="00F4654E">
      <w:pPr>
        <w:pStyle w:val="a6"/>
        <w:rPr>
          <w:spacing w:val="-4"/>
        </w:rPr>
      </w:pPr>
      <w:r w:rsidRPr="00D75866">
        <w:rPr>
          <w:spacing w:val="-4"/>
        </w:rPr>
        <w:t>Результаты исследований показали, что новые препараты ДС-1100 и шодмон обладают более сильными антибактериальными свойствами в отн</w:t>
      </w:r>
      <w:r w:rsidRPr="00D75866">
        <w:rPr>
          <w:spacing w:val="-4"/>
        </w:rPr>
        <w:t>о</w:t>
      </w:r>
      <w:r w:rsidRPr="00D75866">
        <w:rPr>
          <w:spacing w:val="-4"/>
        </w:rPr>
        <w:t>шении эшерихии коли, стафилококкус ауреус, сальмонеллы пулорум и па</w:t>
      </w:r>
      <w:r w:rsidRPr="00D75866">
        <w:rPr>
          <w:spacing w:val="-4"/>
        </w:rPr>
        <w:t>с</w:t>
      </w:r>
      <w:r w:rsidRPr="00D75866">
        <w:rPr>
          <w:spacing w:val="-4"/>
        </w:rPr>
        <w:t>тереллы мультоцида по сравнению с левомицетином и окситетраци</w:t>
      </w:r>
      <w:r w:rsidRPr="00D75866">
        <w:rPr>
          <w:spacing w:val="-4"/>
        </w:rPr>
        <w:t>к</w:t>
      </w:r>
      <w:r w:rsidRPr="00D75866">
        <w:rPr>
          <w:spacing w:val="-4"/>
        </w:rPr>
        <w:t>лином.</w:t>
      </w:r>
    </w:p>
    <w:p w:rsidR="00F4654E" w:rsidRDefault="00F4654E">
      <w:pPr>
        <w:pStyle w:val="1"/>
      </w:pPr>
      <w:bookmarkStart w:id="6888" w:name="_Toc10731320"/>
      <w:bookmarkStart w:id="6889" w:name="_Toc10731981"/>
      <w:bookmarkStart w:id="6890" w:name="_Toc10891827"/>
      <w:bookmarkStart w:id="6891" w:name="_Toc10892502"/>
      <w:bookmarkStart w:id="6892" w:name="_Toc11390819"/>
      <w:bookmarkStart w:id="6893" w:name="_Toc11840508"/>
      <w:bookmarkStart w:id="6894" w:name="_Toc11938044"/>
    </w:p>
    <w:p w:rsidR="00F4654E" w:rsidRDefault="00F4654E">
      <w:pPr>
        <w:pStyle w:val="1"/>
      </w:pPr>
      <w:r>
        <w:t>Об организации Всесоюзного научно-исследовательского института незаразных болезней животных (ныне ВНИВИПФиТ)</w:t>
      </w:r>
      <w:bookmarkEnd w:id="6888"/>
      <w:bookmarkEnd w:id="6889"/>
      <w:bookmarkEnd w:id="6890"/>
      <w:bookmarkEnd w:id="6891"/>
      <w:bookmarkEnd w:id="6892"/>
      <w:bookmarkEnd w:id="6893"/>
      <w:bookmarkEnd w:id="6894"/>
    </w:p>
    <w:p w:rsidR="00F4654E" w:rsidRDefault="00F4654E">
      <w:pPr>
        <w:pStyle w:val="2"/>
      </w:pPr>
      <w:bookmarkStart w:id="6895" w:name="_Toc10731321"/>
      <w:bookmarkStart w:id="6896" w:name="_Toc10731982"/>
      <w:bookmarkStart w:id="6897" w:name="_Toc10891828"/>
      <w:bookmarkStart w:id="6898" w:name="_Toc10892503"/>
      <w:bookmarkStart w:id="6899" w:name="_Toc11390820"/>
      <w:bookmarkStart w:id="6900" w:name="_Toc11938045"/>
      <w:r>
        <w:t>Кондрахин И.П.</w:t>
      </w:r>
      <w:bookmarkEnd w:id="6895"/>
      <w:bookmarkEnd w:id="6896"/>
      <w:bookmarkEnd w:id="6897"/>
      <w:bookmarkEnd w:id="6898"/>
      <w:bookmarkEnd w:id="6899"/>
      <w:bookmarkEnd w:id="6900"/>
    </w:p>
    <w:p w:rsidR="00F4654E" w:rsidRDefault="00F4654E">
      <w:pPr>
        <w:pStyle w:val="a5"/>
      </w:pPr>
      <w:r>
        <w:t>Крымский государственный аграрный университет</w:t>
      </w:r>
    </w:p>
    <w:p w:rsidR="00F4654E" w:rsidRDefault="00F4654E">
      <w:pPr>
        <w:pStyle w:val="a6"/>
      </w:pPr>
      <w:r>
        <w:t>Необходимостью создания Всесоюзного научно-исследовательского института по незаразным болезням животных диктовалась широким ра</w:t>
      </w:r>
      <w:r>
        <w:t>с</w:t>
      </w:r>
      <w:r>
        <w:t>пространением этих болезней и отсутствием в стране специализированного научного учреждения, занимающегося их изучением.</w:t>
      </w:r>
    </w:p>
    <w:p w:rsidR="00F4654E" w:rsidRDefault="00F4654E">
      <w:pPr>
        <w:pStyle w:val="a6"/>
      </w:pPr>
      <w:r>
        <w:t xml:space="preserve">На фоне успехов достигнутых к началу шестидесятых годов в борьбе с инфекционными болезнями, незаразные заболевания животных наносили огромный экономически и ущерб колхозам и совхозам страны. По данным </w:t>
      </w:r>
      <w:r>
        <w:lastRenderedPageBreak/>
        <w:t>ветеринарной отчетности за 1959-1969 годы гибель скота от незаразных болезней ежегодно составляла 10-17 млн. голов. От яловости коров колх</w:t>
      </w:r>
      <w:r>
        <w:t>о</w:t>
      </w:r>
      <w:r>
        <w:t>зы и совхозы каждый год недополучали более 5 млн. телят и около 2,6 млн. тонн молока. Потери молока от заболеваний коров маститом составляли около одного миллиона тонн. Большой урон животноводству наносили желудочно-кишечные и легочные болезни молодняка, болезни обмена в</w:t>
      </w:r>
      <w:r>
        <w:t>е</w:t>
      </w:r>
      <w:r>
        <w:t>ществ и другие.</w:t>
      </w:r>
    </w:p>
    <w:p w:rsidR="00F4654E" w:rsidRDefault="00F4654E">
      <w:pPr>
        <w:pStyle w:val="a6"/>
      </w:pPr>
      <w:r>
        <w:t>Имевшиеся в то время научно-исследовательские институты и вет</w:t>
      </w:r>
      <w:r>
        <w:t>е</w:t>
      </w:r>
      <w:r>
        <w:t>ринарные станции изучали в основном инфекционные и инвазионные б</w:t>
      </w:r>
      <w:r>
        <w:t>о</w:t>
      </w:r>
      <w:r>
        <w:t>лезни. Изучением неинфекционной патологии в них было занято всего около 30 научных сотрудников. Учитывая положение дел по неинфекц</w:t>
      </w:r>
      <w:r>
        <w:t>и</w:t>
      </w:r>
      <w:r>
        <w:t>онным б</w:t>
      </w:r>
      <w:r>
        <w:t>о</w:t>
      </w:r>
      <w:r>
        <w:t>лезням, Главное управление ветеринарии МСХ  СССР создало в своей структуре отдел по незаразным болезням животных, который во</w:t>
      </w:r>
      <w:r>
        <w:t>з</w:t>
      </w:r>
      <w:r>
        <w:t>главил кандидат ветеринарных наук Дульнев В.И. В отделе работали ка</w:t>
      </w:r>
      <w:r>
        <w:t>н</w:t>
      </w:r>
      <w:r>
        <w:t>дидаты ветеринарных наук Кондрахин И.П., Силаев А.М. и старший ве</w:t>
      </w:r>
      <w:r>
        <w:t>т</w:t>
      </w:r>
      <w:r>
        <w:t>врач Окун</w:t>
      </w:r>
      <w:r>
        <w:t>ь</w:t>
      </w:r>
      <w:r>
        <w:t>ков П.С. Этот отдел и взял на себя инициативу по организации института и выполнил всю необходимую работу. С уверенностью могу сказать, что не будь в главке отдела и не проявив мы настойчивости и с</w:t>
      </w:r>
      <w:r>
        <w:t>а</w:t>
      </w:r>
      <w:r>
        <w:t>моотверженности – не быть бы этому институту долгие годы, а может быть и совсем. Путь создания института был долгим и тяжелым, на пути решения вопроса было много сторонников и противников. Понимание и поддержку мы имели со стороны начальника главного управления ветер</w:t>
      </w:r>
      <w:r>
        <w:t>и</w:t>
      </w:r>
      <w:r>
        <w:t>нарии Третьякова А.Д., его заместителя Голощапова Ю.Н., заместителя министра сельского хозяйства СССР Морозова П.И., вице-президента ВАСХНИЛ Брежнева Д.Д., ответственного работника ЦК КПСС Винок</w:t>
      </w:r>
      <w:r>
        <w:t>у</w:t>
      </w:r>
      <w:r>
        <w:t>рова Л.В., партийных и сельскохозяйственных органов Московской обла</w:t>
      </w:r>
      <w:r>
        <w:t>с</w:t>
      </w:r>
      <w:r>
        <w:t>ти и др.</w:t>
      </w:r>
    </w:p>
    <w:p w:rsidR="00F4654E" w:rsidRDefault="00F4654E">
      <w:pPr>
        <w:pStyle w:val="a6"/>
      </w:pPr>
      <w:r>
        <w:t>Решение об организации института в то время принималось Госуда</w:t>
      </w:r>
      <w:r>
        <w:t>р</w:t>
      </w:r>
      <w:r>
        <w:t>ственным Комитетом Совета Министров СССР по науке и технике по представлению соответствующего министерства. Для такого решения тр</w:t>
      </w:r>
      <w:r>
        <w:t>е</w:t>
      </w:r>
      <w:r>
        <w:t xml:space="preserve">бовалось убедительное обоснование со множеством согласований. </w:t>
      </w:r>
    </w:p>
    <w:p w:rsidR="00F4654E" w:rsidRDefault="00F4654E">
      <w:pPr>
        <w:pStyle w:val="a6"/>
      </w:pPr>
      <w:r>
        <w:t>Как инициатор, непосредственный исполнитель и организатор инст</w:t>
      </w:r>
      <w:r>
        <w:t>и</w:t>
      </w:r>
      <w:r>
        <w:t>тута, отдавший шесть лет его созданию и становлению (1966-1972 гг.), описываю этапы организации учреждения в хронологическом порядке.</w:t>
      </w:r>
    </w:p>
    <w:p w:rsidR="00F4654E" w:rsidRDefault="00F4654E">
      <w:pPr>
        <w:pStyle w:val="a6"/>
      </w:pPr>
      <w:r>
        <w:t>Началом работы по организации института следует считать совещ</w:t>
      </w:r>
      <w:r>
        <w:t>а</w:t>
      </w:r>
      <w:r>
        <w:t>ние ученных, проведенное по инициативе нашего отдела Главным упра</w:t>
      </w:r>
      <w:r>
        <w:t>в</w:t>
      </w:r>
      <w:r>
        <w:t>лением ветеринарии МСХ СССР 2 марта 1966 г. (Председатель Голощапов Ю.Н., секретарь Кондрахин И.П.) В работе совещания приняли участие: профессор Ионов П.С. (Московский химико-технологический институт мясной и молочной промышленности), профессор Кудрявцев А.А. (ВИЭВ), профессор Афонский С.И. – ректор МВА, профессор Шарабрин И.Г., пр</w:t>
      </w:r>
      <w:r>
        <w:t>о</w:t>
      </w:r>
      <w:r>
        <w:t xml:space="preserve">фессор Плахотин М.В., профессор Зайцев В.И., доцент Аликаев В.А. (МВА), академик ВАСХНИЛ Орлов И.В., Щербаков В.М. (Главк науки </w:t>
      </w:r>
      <w:r>
        <w:lastRenderedPageBreak/>
        <w:t>МСХ СССР), Бондаренко В.П. (Главк вузов МСХ СССР), профессор Шм</w:t>
      </w:r>
      <w:r>
        <w:t>у</w:t>
      </w:r>
      <w:r>
        <w:t>левич А.И. (ГНИК), Кузнецов В.Ф. (Главк ветеринарии МСХ РСФСР), Дульнев В.И.</w:t>
      </w:r>
    </w:p>
    <w:p w:rsidR="00F4654E" w:rsidRDefault="00F4654E">
      <w:pPr>
        <w:pStyle w:val="a6"/>
      </w:pPr>
      <w:r>
        <w:t>На совещании было решено просить Министра сельского хозяйства СССР войти в Правительство с вопросом о создании Всесоюзного научно-исследовательского института незаразных болезней животных.</w:t>
      </w:r>
    </w:p>
    <w:p w:rsidR="00F4654E" w:rsidRDefault="00F4654E">
      <w:pPr>
        <w:pStyle w:val="a6"/>
      </w:pPr>
      <w:r>
        <w:t>В качестве производственной базы института предлагались Моско</w:t>
      </w:r>
      <w:r>
        <w:t>в</w:t>
      </w:r>
      <w:r>
        <w:t>ская ветеринарная академия, Всесоюзный институт экспериментальной в</w:t>
      </w:r>
      <w:r>
        <w:t>е</w:t>
      </w:r>
      <w:r>
        <w:t>теринарии, Республиканская ветеринарная лаборатория (п. Косино) и др.</w:t>
      </w:r>
    </w:p>
    <w:p w:rsidR="00F4654E" w:rsidRDefault="00F4654E">
      <w:pPr>
        <w:pStyle w:val="a6"/>
      </w:pPr>
      <w:r>
        <w:t>После этого совещания отделом незаразных болезней было подгото</w:t>
      </w:r>
      <w:r>
        <w:t>в</w:t>
      </w:r>
      <w:r>
        <w:t>лено обоснованное представление министру сельского хозяйства СССР Мацкевичу В.В., подписанное 2 декабря 1966 г Третьяковым А.Д. Это представление готовилось нами около 9 месяцев, так как нужно было не только всестороннее обоснование, но и многочисленные согласования с различными подразделениями Министерства, ВАСХНИЛ и других учре</w:t>
      </w:r>
      <w:r>
        <w:t>ж</w:t>
      </w:r>
      <w:r>
        <w:t>дений. Создание института для страны было дорогим мероприятием.</w:t>
      </w:r>
    </w:p>
    <w:p w:rsidR="00F4654E" w:rsidRDefault="00F4654E">
      <w:pPr>
        <w:pStyle w:val="a6"/>
      </w:pPr>
      <w:r>
        <w:t>Министр сельского хозяйства СССР Мацкевич В.В. письмом №011-9 от 22 июля 1967 г. обратился в Комитет Совета Министров СССР по науке и технике с просьбой об организации ВНИИ незаразных болезней живо</w:t>
      </w:r>
      <w:r>
        <w:t>т</w:t>
      </w:r>
      <w:r>
        <w:t>ных на базе Московской ветеринарной академии. В отделе сельского х</w:t>
      </w:r>
      <w:r>
        <w:t>о</w:t>
      </w:r>
      <w:r>
        <w:t>зяйства К</w:t>
      </w:r>
      <w:r>
        <w:t>о</w:t>
      </w:r>
      <w:r>
        <w:t>митета Совмина по науке и технике это предложение не было поддержано.</w:t>
      </w:r>
    </w:p>
    <w:p w:rsidR="00F4654E" w:rsidRPr="00D75866" w:rsidRDefault="00F4654E">
      <w:pPr>
        <w:pStyle w:val="a6"/>
        <w:rPr>
          <w:spacing w:val="-2"/>
        </w:rPr>
      </w:pPr>
      <w:r w:rsidRPr="00D75866">
        <w:rPr>
          <w:spacing w:val="-2"/>
        </w:rPr>
        <w:t>Было решено подыскать другое место для размещения института в М</w:t>
      </w:r>
      <w:r w:rsidRPr="00D75866">
        <w:rPr>
          <w:spacing w:val="-2"/>
        </w:rPr>
        <w:t>о</w:t>
      </w:r>
      <w:r w:rsidRPr="00D75866">
        <w:rPr>
          <w:spacing w:val="-2"/>
        </w:rPr>
        <w:t>сковской области. Выбор пал  на опытное хозяйство «Истринское» Всес</w:t>
      </w:r>
      <w:r w:rsidRPr="00D75866">
        <w:rPr>
          <w:spacing w:val="-2"/>
        </w:rPr>
        <w:t>о</w:t>
      </w:r>
      <w:r w:rsidRPr="00D75866">
        <w:rPr>
          <w:spacing w:val="-2"/>
        </w:rPr>
        <w:t>юзного научно-исследовательского института механизации и электрифик</w:t>
      </w:r>
      <w:r w:rsidRPr="00D75866">
        <w:rPr>
          <w:spacing w:val="-2"/>
        </w:rPr>
        <w:t>а</w:t>
      </w:r>
      <w:r w:rsidRPr="00D75866">
        <w:rPr>
          <w:spacing w:val="-2"/>
        </w:rPr>
        <w:t>ции сельского хозяйства ВАСХНИЛ. Земли этого хозяйства непосредстве</w:t>
      </w:r>
      <w:r w:rsidRPr="00D75866">
        <w:rPr>
          <w:spacing w:val="-2"/>
        </w:rPr>
        <w:t>н</w:t>
      </w:r>
      <w:r w:rsidRPr="00D75866">
        <w:rPr>
          <w:spacing w:val="-2"/>
        </w:rPr>
        <w:t>но прилегают к г. Истра, расположенного в лесопарковой зоне г. Москвы. На размещение института в этом месте мы получили письменную поддер</w:t>
      </w:r>
      <w:r w:rsidRPr="00D75866">
        <w:rPr>
          <w:spacing w:val="-2"/>
        </w:rPr>
        <w:t>ж</w:t>
      </w:r>
      <w:r w:rsidRPr="00D75866">
        <w:rPr>
          <w:spacing w:val="-2"/>
        </w:rPr>
        <w:t>ку первых секретарей райкомов пяти районов северо-западной зоны Мо</w:t>
      </w:r>
      <w:r w:rsidRPr="00D75866">
        <w:rPr>
          <w:spacing w:val="-2"/>
        </w:rPr>
        <w:t>с</w:t>
      </w:r>
      <w:r w:rsidRPr="00D75866">
        <w:rPr>
          <w:spacing w:val="-2"/>
        </w:rPr>
        <w:t>ковской области, согласие опытного хозяйства «Истринское», ВИЭСХ, ВАСХНИЛ, Истринского Горисполкома, СЭС района и области, службы Главного архитектора г. Истры, Москвы и Московской области и др.</w:t>
      </w:r>
    </w:p>
    <w:p w:rsidR="00F4654E" w:rsidRDefault="00F4654E">
      <w:pPr>
        <w:pStyle w:val="a6"/>
      </w:pPr>
      <w:r>
        <w:t>4 августа 1969 г. Ю.Н. Голощапов письмом №117-2 обратился к з</w:t>
      </w:r>
      <w:r>
        <w:t>а</w:t>
      </w:r>
      <w:r>
        <w:t>местителю председателя Московского Облисполкома Жданову Н.А. с просьбой дать согласие на размещение института в деревне Ябидино Ис</w:t>
      </w:r>
      <w:r>
        <w:t>т</w:t>
      </w:r>
      <w:r>
        <w:t>ринского района на территории опытного хозяйства «Истринское». Нашу просьбу поддержал начальник Московского областного управления сел</w:t>
      </w:r>
      <w:r>
        <w:t>ь</w:t>
      </w:r>
      <w:r>
        <w:t>ского хозяйства Дерябин А. (письмо от 31 августа 1969 г. №6-3/141). 27 ноября 1969 года вопрос об отводе земельного участка в опытном хозяйс</w:t>
      </w:r>
      <w:r>
        <w:t>т</w:t>
      </w:r>
      <w:r>
        <w:t>ве «Истринское» рассматривался на президиуме Московского облиспо</w:t>
      </w:r>
      <w:r>
        <w:t>л</w:t>
      </w:r>
      <w:r>
        <w:t>кома. Его докладывал А.Д. Третьяков – в то время делегат Всесоюзного съезда колхозников. Делегатом  съезда колхозников был и А. Дерябин, к</w:t>
      </w:r>
      <w:r>
        <w:t>о</w:t>
      </w:r>
      <w:r>
        <w:t>торый тоже присутствовал на заседании президиума. Помню слова предс</w:t>
      </w:r>
      <w:r>
        <w:t>е</w:t>
      </w:r>
      <w:r>
        <w:lastRenderedPageBreak/>
        <w:t>дательствующего – «Просят два делегата съезда колхозников, давайте пойдем им на встречу». Вопрос был решён положительно.</w:t>
      </w:r>
    </w:p>
    <w:p w:rsidR="00F4654E" w:rsidRDefault="00F4654E">
      <w:pPr>
        <w:pStyle w:val="a6"/>
      </w:pPr>
      <w:r>
        <w:t>6 января 1970 г.  письмом № 011-9 Министр сельского хозяйства СССР Мацкевич В.В. вторично обратился к председателю Госкомитета Совета М</w:t>
      </w:r>
      <w:r>
        <w:t>и</w:t>
      </w:r>
      <w:r>
        <w:t>нистров СССР по науке и технике Кириллову В.А. с просьбой об организ</w:t>
      </w:r>
      <w:r>
        <w:t>а</w:t>
      </w:r>
      <w:r>
        <w:t>ции института с размещением его на базе ОПХ «Истринское» ВИЭСХ.</w:t>
      </w:r>
    </w:p>
    <w:p w:rsidR="00F4654E" w:rsidRDefault="00F4654E">
      <w:pPr>
        <w:pStyle w:val="a6"/>
      </w:pPr>
      <w:r>
        <w:t>В Госкомитете наше предложение поддержал начальник отдела сел</w:t>
      </w:r>
      <w:r>
        <w:t>ь</w:t>
      </w:r>
      <w:r>
        <w:t>скохозяйственной науки Козинер А.Б. Однако чиновники из других отд</w:t>
      </w:r>
      <w:r>
        <w:t>е</w:t>
      </w:r>
      <w:r>
        <w:t>лов (В.Пузанов, Е.Скляров, Е. Гришаев) были против, и оно не прошло. Формальным основанием для отказа было якобы отсутствие надлежащей материально-технической базы для размещения института. Фактической причиной отказа, на мой взгляд, было другое – внутриведомственная ко</w:t>
      </w:r>
      <w:r>
        <w:t>н</w:t>
      </w:r>
      <w:r>
        <w:t>куренция за финансы. Их всегда в государстве не хватало. Так ли, иначе,   Главное управление ветеринарии вынуждено было готовить предложение о размещении института на другой базе. К этому моменту в МСХ СССР поступило письмо от 16 марта 1970 г. №158-И, подписанное первым се</w:t>
      </w:r>
      <w:r>
        <w:t>к</w:t>
      </w:r>
      <w:r>
        <w:t>ретарём Воронежского обкома КПСС Н.М.Мирошниченко и председат</w:t>
      </w:r>
      <w:r>
        <w:t>е</w:t>
      </w:r>
      <w:r>
        <w:t>лем Облисполкома Н.А.Евстигнеевым, в котором предлагалось создание института на базе Воронежской научно-исследовательской ветеринарной станции. Это предложение, очевидно, исходило от заместителя начальника Воронежского областного управления сельского хозяйства Гончарова П.И.</w:t>
      </w:r>
    </w:p>
    <w:p w:rsidR="00F4654E" w:rsidRDefault="00F4654E">
      <w:pPr>
        <w:pStyle w:val="a6"/>
      </w:pPr>
      <w:r>
        <w:t>Для изучения вопроса на месте в г. Воронеж командировали меня и старшего инженера Главка ветеринарии Михайлова Г.М. Ознакомившись с предлагаемой базой и получив заверение руководителей областных па</w:t>
      </w:r>
      <w:r>
        <w:t>р</w:t>
      </w:r>
      <w:r>
        <w:t>тийных и советских органов о поддержке, мы представили справку с з</w:t>
      </w:r>
      <w:r>
        <w:t>а</w:t>
      </w:r>
      <w:r>
        <w:t>ключением о возможности размещения института на базе Воронежской НИВС.</w:t>
      </w:r>
    </w:p>
    <w:p w:rsidR="00F4654E" w:rsidRDefault="00F4654E">
      <w:pPr>
        <w:pStyle w:val="a6"/>
      </w:pPr>
      <w:r>
        <w:t>25 июля 1970 г. в дополнение к письму Министерства сельского х</w:t>
      </w:r>
      <w:r>
        <w:t>о</w:t>
      </w:r>
      <w:r>
        <w:t>зяйства СССР №011-9 от 9 января 1970 г. Начальник Главного управления ветеринарии Третьяков А.Д. представил в Госкомитет по науке и технике необходимые материалы с предложением о размещении института на базе Воронежской научно-исследовательской ветеринарной станции. В письме, в частности, было указано, что Воронежская НИВС располагает произво</w:t>
      </w:r>
      <w:r>
        <w:t>д</w:t>
      </w:r>
      <w:r>
        <w:t>ственной площадью в 1585 кв. м, имеет инженерные коммуникации, соо</w:t>
      </w:r>
      <w:r>
        <w:t>т</w:t>
      </w:r>
      <w:r>
        <w:t>ветствующие лабораторные помещения с достаточным для проведения н</w:t>
      </w:r>
      <w:r>
        <w:t>а</w:t>
      </w:r>
      <w:r>
        <w:t>учных исследований современным оборудованием, позволяющим разве</w:t>
      </w:r>
      <w:r>
        <w:t>р</w:t>
      </w:r>
      <w:r>
        <w:t>нуть работу института. В первое время комплектование института нау</w:t>
      </w:r>
      <w:r>
        <w:t>ч</w:t>
      </w:r>
      <w:r>
        <w:t>ными кадрами намечалось осуществить за счёт научных сотрудников НИВС, учёных ветеринарного факультета Воронежского СХИ и других смежных институтов.</w:t>
      </w:r>
    </w:p>
    <w:p w:rsidR="00F4654E" w:rsidRDefault="00F4654E">
      <w:pPr>
        <w:pStyle w:val="a6"/>
      </w:pPr>
      <w:r>
        <w:t xml:space="preserve">28 июля1970 г. Коллегия Комитета Совета Министров СССР по науке и технике приняла предложение Министерства сельского хозяйства СССР, </w:t>
      </w:r>
      <w:r>
        <w:lastRenderedPageBreak/>
        <w:t>согласованное с Всесоюзной академией сельскохозяйственных наук им. В.И.Ленина, об организации на базе Воронежского научно-исследова-тельской ветеринарной станции Всесоюзного научно-исследовательского института незаразных болезней животных в пределах фонда заработной платы и ассигнований, предусмотренных в планах Министерства сельского хозяйства СССР научно-исследовательские работы (протокол №38). На з</w:t>
      </w:r>
      <w:r>
        <w:t>а</w:t>
      </w:r>
      <w:r>
        <w:t xml:space="preserve">седании присутствовали Голощапов Ю.Н. и Кондрахин И.П. </w:t>
      </w:r>
    </w:p>
    <w:p w:rsidR="00F4654E" w:rsidRDefault="00F4654E">
      <w:pPr>
        <w:pStyle w:val="a6"/>
      </w:pPr>
      <w:r>
        <w:t>6 августа 1970 г. П.И.Морозов подписал письмо №011-8 в Совет М</w:t>
      </w:r>
      <w:r>
        <w:t>и</w:t>
      </w:r>
      <w:r>
        <w:t>нистров РСФСР о передаче Воронежской НИВС из ведения МСХ РСФСР в непосредственное подчинение МСХ СССР. 10 сентября 1970 г. распоряж</w:t>
      </w:r>
      <w:r>
        <w:t>е</w:t>
      </w:r>
      <w:r>
        <w:t>нием №189 Совет Министров РСФСР передал Воронежскую НИВС в по</w:t>
      </w:r>
      <w:r>
        <w:t>д</w:t>
      </w:r>
      <w:r>
        <w:t>чинение Министерства сельского хозяйства СССР. После этого, приказом Министерства сельского хозяйства СССР от 21 сентября 1970 г. №294 был организован Всесоюзный научно-исследовательский институт незаразных болезней животных. Приказ Министерства подписал заместитель министра Иван Петрович Воловченко. Таким образом 29 сентября 1970 г. является днём рождения института.</w:t>
      </w:r>
    </w:p>
    <w:p w:rsidR="00F4654E" w:rsidRDefault="00F4654E">
      <w:pPr>
        <w:pStyle w:val="a6"/>
      </w:pPr>
      <w:r>
        <w:t>В соответствии с этим приказом ВНИИ незаразных болезней живо</w:t>
      </w:r>
      <w:r>
        <w:t>т</w:t>
      </w:r>
      <w:r>
        <w:t>ных является головной научно-исследовательской организацией по разр</w:t>
      </w:r>
      <w:r>
        <w:t>а</w:t>
      </w:r>
      <w:r>
        <w:t>ботке теоретических основ и практических методов борьбы с незаразными болезнями сельскохозяйственных животных (включая птицу), зоогигиен</w:t>
      </w:r>
      <w:r>
        <w:t>и</w:t>
      </w:r>
      <w:r>
        <w:t>ческих требований в условиях интенсивного ведения животноводства и осуществляет координацию научных исследований по этим направлениям, проводимых в других учреждениях, организациях и предприятиях по сел</w:t>
      </w:r>
      <w:r>
        <w:t>ь</w:t>
      </w:r>
      <w:r>
        <w:t>скому хозяйству.</w:t>
      </w:r>
    </w:p>
    <w:p w:rsidR="00F4654E" w:rsidRDefault="00F4654E">
      <w:pPr>
        <w:pStyle w:val="a6"/>
      </w:pPr>
      <w:r>
        <w:t>На институт возлагалось проведение научных исследований по сл</w:t>
      </w:r>
      <w:r>
        <w:t>е</w:t>
      </w:r>
      <w:r>
        <w:t>дующим основным проблемам: изучение причин возникновения незара</w:t>
      </w:r>
      <w:r>
        <w:t>з</w:t>
      </w:r>
      <w:r>
        <w:t>ных болезней у сельскохозяйственных животных, в том числе болезней, приводящих к бесплодию и яловости маточного поголовья и разработки мер борьбы с этими болезнями; разработка современных методов диагн</w:t>
      </w:r>
      <w:r>
        <w:t>о</w:t>
      </w:r>
      <w:r>
        <w:t>стики незаразных болезней, разработки опытных образцов новой диагн</w:t>
      </w:r>
      <w:r>
        <w:t>о</w:t>
      </w:r>
      <w:r>
        <w:t>стической и лечебной техники; изыскание эффективных методов и средств борьбы с токсикозами животных; изучение влияния существующих и вновь создаваемых доильных установок и других механизмов на физиол</w:t>
      </w:r>
      <w:r>
        <w:t>о</w:t>
      </w:r>
      <w:r>
        <w:t>гические функции организма животных; изыскание и изготовление опы</w:t>
      </w:r>
      <w:r>
        <w:t>т</w:t>
      </w:r>
      <w:r>
        <w:t>ных партий новых лечебных и профилактических средств и препаратов; разработка методов исчисления потерь и экономического обоснования профилактических и лечебных мероприятий.</w:t>
      </w:r>
    </w:p>
    <w:p w:rsidR="00F4654E" w:rsidRDefault="00F4654E">
      <w:pPr>
        <w:pStyle w:val="a6"/>
      </w:pPr>
      <w:r>
        <w:t>Министерством сельского хозяйства СССР и.о. директором института был назначен доктор ветеринарных наук Михайлюков Николай Дмитри</w:t>
      </w:r>
      <w:r>
        <w:t>е</w:t>
      </w:r>
      <w:r>
        <w:t>вич, заместителем директора по научной работе – кандидат ветеринарных наук Кондрахин Иван Петрович.</w:t>
      </w:r>
    </w:p>
    <w:p w:rsidR="00F4654E" w:rsidRDefault="00F4654E">
      <w:pPr>
        <w:pStyle w:val="a6"/>
      </w:pPr>
      <w:r>
        <w:lastRenderedPageBreak/>
        <w:t>Николай Дмитриевич Михайлюков был талантливый учёный. Умелый организатор производства. К сожалению, институт постигло великое н</w:t>
      </w:r>
      <w:r>
        <w:t>е</w:t>
      </w:r>
      <w:r>
        <w:t>счастье; 21 мая 1972 года Николай Дмитриевич Михайлюков трагически погиб. При его жизни нам удалось решить ряд важнейших судьбоносных задач: отвод земельного участка под строительство института, формиров</w:t>
      </w:r>
      <w:r>
        <w:t>а</w:t>
      </w:r>
      <w:r>
        <w:t>ние научных подразделений института и укомплектование их соответс</w:t>
      </w:r>
      <w:r>
        <w:t>т</w:t>
      </w:r>
      <w:r>
        <w:t>вующими кадрами, разработка научной тематики на пятилетие и др.</w:t>
      </w:r>
    </w:p>
    <w:p w:rsidR="00F4654E" w:rsidRDefault="00F4654E">
      <w:pPr>
        <w:pStyle w:val="a6"/>
      </w:pPr>
      <w:r>
        <w:t>Трудным был вопрос о размещении института. Решение этого вопроса Н.Д.Михайлюков поручил мне и заместителю директора по АХЧ Ланцеву И.П. В первую очередь нужно было получить земельный участок под строительство института. Предлагалось два варианта: ОПХ «Отрадное» и территория Воронежского СХИ. Н.Д.Михайлюков настоял на втором вар</w:t>
      </w:r>
      <w:r>
        <w:t>и</w:t>
      </w:r>
      <w:r>
        <w:t>анте, так как он значительно выгоднее отличался от первого. Однако пр</w:t>
      </w:r>
      <w:r>
        <w:t>е</w:t>
      </w:r>
      <w:r>
        <w:t>пятствием на пути решения вопроса стал директор Воронежского СХИ Коренев В.В. Он всячески уклонялся от встречи с нами. Мне пришлось просить А.Д.Третьякова, а затем и П.И.Морозова о том, чтобы они через Главк вузов оказали воздействие на Коренева В.В. Только после этого д</w:t>
      </w:r>
      <w:r>
        <w:t>и</w:t>
      </w:r>
      <w:r>
        <w:t>ректор института 3 декабря 1971 г. принял нас. Но и при этом потребовал приезда на место главного архитектора города Косюкова А.Г. Главный а</w:t>
      </w:r>
      <w:r>
        <w:t>р</w:t>
      </w:r>
      <w:r>
        <w:t>хитектор в сельхозинститут ехать отказался, очевидно, предварительно п</w:t>
      </w:r>
      <w:r>
        <w:t>о</w:t>
      </w:r>
      <w:r>
        <w:t>говорив с директором института о существе вопроса.</w:t>
      </w:r>
    </w:p>
    <w:p w:rsidR="00F4654E" w:rsidRDefault="00F4654E">
      <w:pPr>
        <w:pStyle w:val="a6"/>
      </w:pPr>
      <w:r>
        <w:t>После этого я пошёл на приём к председателю Воронежского Обли</w:t>
      </w:r>
      <w:r>
        <w:t>с</w:t>
      </w:r>
      <w:r>
        <w:t>полкома Евстигнееву. Николай Александрович позвонил главному арх</w:t>
      </w:r>
      <w:r>
        <w:t>и</w:t>
      </w:r>
      <w:r>
        <w:t>тектору Облисполкома Волкову А.В. и поручил ему решить положительно наш вопрос. 7 декабря 1971 г. с Ланцевым И.П. и Волковым А.В. мы п</w:t>
      </w:r>
      <w:r>
        <w:t>о</w:t>
      </w:r>
      <w:r>
        <w:t>ехали к Кореневу В.В., посмотрели участок на месте, а во второй половине дня ре</w:t>
      </w:r>
      <w:r>
        <w:t>к</w:t>
      </w:r>
      <w:r>
        <w:t>торат принял решение о согласии выделить земельный участок на террит</w:t>
      </w:r>
      <w:r>
        <w:t>о</w:t>
      </w:r>
      <w:r>
        <w:t>рии института.</w:t>
      </w:r>
    </w:p>
    <w:p w:rsidR="00F4654E" w:rsidRDefault="00F4654E">
      <w:pPr>
        <w:pStyle w:val="a6"/>
      </w:pPr>
      <w:r>
        <w:t>8-10 декабря 1971 г. мы получили согласие СЭС и главного архите</w:t>
      </w:r>
      <w:r>
        <w:t>к</w:t>
      </w:r>
      <w:r>
        <w:t>тора города Воронежа. Согласованный материал с проектом решения п</w:t>
      </w:r>
      <w:r>
        <w:t>е</w:t>
      </w:r>
      <w:r>
        <w:t>редали председателю Воронежского Горисполкома Поспееву В.В. К вел</w:t>
      </w:r>
      <w:r>
        <w:t>и</w:t>
      </w:r>
      <w:r>
        <w:t>кому нашему огорчению Поспеев В.В. отказал нам, ссылаясь на то, что участок входит в лесопарковую зону города. Снова пришлось обращаться к Евстигнееву Н.А., который смог договориться с Поспеевым В.В.</w:t>
      </w:r>
    </w:p>
    <w:p w:rsidR="00F4654E" w:rsidRDefault="00F4654E">
      <w:pPr>
        <w:pStyle w:val="a6"/>
      </w:pPr>
      <w:r>
        <w:t>14 декабря 1971 г. Поспеев В.В. подписал решение Воронежского Горисполкома об отводе земельного участка площадью в 5 га на террит</w:t>
      </w:r>
      <w:r>
        <w:t>о</w:t>
      </w:r>
      <w:r>
        <w:t>рии Воронежского СХИ. Так был решён судьбоносный вопрос для инст</w:t>
      </w:r>
      <w:r>
        <w:t>и</w:t>
      </w:r>
      <w:r>
        <w:t>тута – его размещение в г. Воронеже. Более года потребовалось для того, чтобы решить казалось бы предрешённый вопрос.</w:t>
      </w:r>
    </w:p>
    <w:p w:rsidR="00F4654E" w:rsidRDefault="00F4654E">
      <w:pPr>
        <w:pStyle w:val="a6"/>
      </w:pPr>
      <w:r>
        <w:t>Всё это пишу для того, чтобы сотрудники института разных покол</w:t>
      </w:r>
      <w:r>
        <w:t>е</w:t>
      </w:r>
      <w:r>
        <w:t>ний знали о том, с каким трудом давался институт его организаторам. К сожалению до боли становится обидным, когда оказываешься забытым даже теми, которые в первую очередь должны помнить кто создавал и</w:t>
      </w:r>
      <w:r>
        <w:t>н</w:t>
      </w:r>
      <w:r>
        <w:lastRenderedPageBreak/>
        <w:t>ститут, кто стоял у его истоков. Не легко приходилось формирование н</w:t>
      </w:r>
      <w:r>
        <w:t>а</w:t>
      </w:r>
      <w:r>
        <w:t>учных подразделений института, особенно перепрофилирование сложи</w:t>
      </w:r>
      <w:r>
        <w:t>в</w:t>
      </w:r>
      <w:r>
        <w:t>шегося годами научного направления Воронежского НИВС. В итоге по</w:t>
      </w:r>
      <w:r>
        <w:t>д</w:t>
      </w:r>
      <w:r>
        <w:t>разделения были определены, научная тематика сформирована и утве</w:t>
      </w:r>
      <w:r>
        <w:t>р</w:t>
      </w:r>
      <w:r>
        <w:t>ждена.</w:t>
      </w:r>
    </w:p>
    <w:p w:rsidR="00F4654E" w:rsidRDefault="00F4654E">
      <w:pPr>
        <w:pStyle w:val="a6"/>
      </w:pPr>
      <w:r>
        <w:t>В период становления института его научными подразделениями б</w:t>
      </w:r>
      <w:r>
        <w:t>ы</w:t>
      </w:r>
      <w:r>
        <w:t>ли следующие лаборатории: акушерства и гинекологии (зав. к.в.н. Черем</w:t>
      </w:r>
      <w:r>
        <w:t>и</w:t>
      </w:r>
      <w:r>
        <w:t>синов Г.А.), патологии обмена веществ (зав. к.в.н. Кондрахин И.П.), боле</w:t>
      </w:r>
      <w:r>
        <w:t>з</w:t>
      </w:r>
      <w:r>
        <w:t>ней молодняка (зав. к.в.н. Анохин Б.М.), патологической морфологии (зав. д.в.н. Михайлюков Н.Д.), болезней птиц (зав. к.в.н. Кожевников Е.М.), фармакологии и токсикологии (зав. к.в.н. Бузлама В.С.), лаборатория по борьбе с маститами (зав. к.в.н. Ивашура А.И.), клинической биохимии и биофизики (зав. к.в.н. Петров П.Е.), микробиологии и дифференциальной диагностики (зав. к.в.н. Шахов А.Г.). В 9 лабораториях в то время работало 17 кандидатов и один доктор наук. В последующем докторами наук стали заведующие лабораториями Черемисинов Г.А., Кондрахин И.П., Анохин Б.М., Кожевников Е.М., Бузлама В.С., Шахов А.Г. Из сотрудников назва</w:t>
      </w:r>
      <w:r>
        <w:t>н</w:t>
      </w:r>
      <w:r>
        <w:t>ных выше лабораторий успешно защитили докторские диссертации Коняев М.Т, Ракова Т.Н., Нежданов А.Г., Кузнецов Н.И., Сулейманов С.М., Кач</w:t>
      </w:r>
      <w:r>
        <w:t>а</w:t>
      </w:r>
      <w:r>
        <w:t>лова Е.Я. это ли не основание считать, что институт формировался на крепкой здоровой основе. Публикуемые работы А.Г Шахова, С.М.Сулей-манова, А.И.Тишкова, А.Г. Нежданова, А.М. Самотина, В.А. Парикова, В.И. Беляева, В.А. Антипова, Н. В. Душенина, М.А. Костына и других в</w:t>
      </w:r>
      <w:r>
        <w:t>ы</w:t>
      </w:r>
      <w:r>
        <w:t>полненных на базе института, показывают, на сколько вырос уровень н</w:t>
      </w:r>
      <w:r>
        <w:t>а</w:t>
      </w:r>
      <w:r>
        <w:t>учных исследований, расширена и углублена научная тематика.</w:t>
      </w:r>
    </w:p>
    <w:p w:rsidR="00F4654E" w:rsidRDefault="00F4654E">
      <w:pPr>
        <w:pStyle w:val="a6"/>
      </w:pPr>
      <w:r>
        <w:t>Свою жизнеспособность и необходимость институт доказал научной продукцией. За сравнительно небольшой период времени наиболее пр</w:t>
      </w:r>
      <w:r>
        <w:t>о</w:t>
      </w:r>
      <w:r>
        <w:t>дуктивной работы институт подготовил и передал производству более 60 комплексных систем, методических указаний и рекомендаций, более 70 химиотерапевтических препаратов, премиксов и добавок, получено 72 а</w:t>
      </w:r>
      <w:r>
        <w:t>в</w:t>
      </w:r>
      <w:r>
        <w:t>торских свидетельства на изобретения, оформлено 3 патента (до 2001 г.) В институте успешно готовят кандидатов и докторов наук, работает два до</w:t>
      </w:r>
      <w:r>
        <w:t>к</w:t>
      </w:r>
      <w:r>
        <w:t>торских диссертационных совета по пяти специальностям. Институт коо</w:t>
      </w:r>
      <w:r>
        <w:t>р</w:t>
      </w:r>
      <w:r>
        <w:t>динирует научную тематику более 20 научных учреждений и институтов, систематически проводит конференции, симпозиумы, выпускает научные труды. То есть теперь уже Всероссийский научно-исследовательский вет</w:t>
      </w:r>
      <w:r>
        <w:t>е</w:t>
      </w:r>
      <w:r>
        <w:t>ринарный институт патологии, фармакологии и терапии РАСХН приобрёл статус крупнейшего научного учреждения. Организация института оказ</w:t>
      </w:r>
      <w:r>
        <w:t>а</w:t>
      </w:r>
      <w:r>
        <w:t>лась своевременной и вполне оправданной. Уверен, что несмотря ни на к</w:t>
      </w:r>
      <w:r>
        <w:t>а</w:t>
      </w:r>
      <w:r>
        <w:t>кие трудности, институт будет жить и развиваться, обогащать ветерина</w:t>
      </w:r>
      <w:r>
        <w:t>р</w:t>
      </w:r>
      <w:r>
        <w:t>ную науку новыми достижениями, вооружать практику надёжными мет</w:t>
      </w:r>
      <w:r>
        <w:t>о</w:t>
      </w:r>
      <w:r>
        <w:t>дами и средствами борьбы с болезнями животных.</w:t>
      </w:r>
    </w:p>
    <w:p w:rsidR="00F4654E" w:rsidRDefault="00F4654E">
      <w:pPr>
        <w:pStyle w:val="a4"/>
      </w:pPr>
      <w:r>
        <w:lastRenderedPageBreak/>
        <w:t>УДК 619:615.218</w:t>
      </w:r>
    </w:p>
    <w:p w:rsidR="00F4654E" w:rsidRDefault="00F4654E">
      <w:pPr>
        <w:pStyle w:val="1"/>
      </w:pPr>
      <w:r>
        <w:t>АНТИМИКРОБНАЯ АКТИВНОСТЬ И КЛИНИЧЕСКАЯ ЭФФЕКТИВНОСТЬ ЛЕВОЭРИТРОЦИКЛИНА НЕО</w:t>
      </w:r>
    </w:p>
    <w:p w:rsidR="00F4654E" w:rsidRDefault="00F4654E">
      <w:pPr>
        <w:pStyle w:val="2"/>
      </w:pPr>
      <w:r>
        <w:t>Шабунин С.В.</w:t>
      </w:r>
    </w:p>
    <w:p w:rsidR="00F4654E" w:rsidRDefault="00F4654E">
      <w:pPr>
        <w:pStyle w:val="a5"/>
      </w:pPr>
      <w:r>
        <w:t>Всероссийский НИВИ патологии, фармакологии и терапии</w:t>
      </w:r>
    </w:p>
    <w:p w:rsidR="00F4654E" w:rsidRDefault="00F4654E">
      <w:pPr>
        <w:pStyle w:val="a6"/>
      </w:pPr>
      <w:r>
        <w:t>Перспективной задачей современной экспериментальной фармакол</w:t>
      </w:r>
      <w:r>
        <w:t>о</w:t>
      </w:r>
      <w:r>
        <w:t>гии является разработка новых антимикробных средств, обладающих в</w:t>
      </w:r>
      <w:r>
        <w:t>ы</w:t>
      </w:r>
      <w:r>
        <w:t>сокой клинической эффективностью, терапевтической широтой действия, характеризующихся минимальными побочными эффектами и относител</w:t>
      </w:r>
      <w:r>
        <w:t>ь</w:t>
      </w:r>
      <w:r>
        <w:t>ной безвредностью.  Множество научных разработок в области синтеза а</w:t>
      </w:r>
      <w:r>
        <w:t>н</w:t>
      </w:r>
      <w:r>
        <w:t>тибиотиков мало применимы в практической ветеринарии вследствие в</w:t>
      </w:r>
      <w:r>
        <w:t>ы</w:t>
      </w:r>
      <w:r>
        <w:t>сокой себестоимости вновь создаваемых химических соединений. С др</w:t>
      </w:r>
      <w:r>
        <w:t>у</w:t>
      </w:r>
      <w:r>
        <w:t>гой стороны традиционные антимикробные средства зачастую неэффе</w:t>
      </w:r>
      <w:r>
        <w:t>к</w:t>
      </w:r>
      <w:r>
        <w:t>тивны вследствие толерантности патогенных микроорганизмов или н</w:t>
      </w:r>
      <w:r>
        <w:t>а</w:t>
      </w:r>
      <w:r>
        <w:t>слоения вторичной микрофлоры. Вследствие этого, научно обоснованным направлением в ветеринарной фармацевтике является разработка ко</w:t>
      </w:r>
      <w:r>
        <w:t>м</w:t>
      </w:r>
      <w:r>
        <w:t>плексных антимикробных средств, содержащих в своем составе несколько антибактериальных веществ различной фармакологической природы и, с</w:t>
      </w:r>
      <w:r>
        <w:t>о</w:t>
      </w:r>
      <w:r>
        <w:t>ответственно, обладающих различными избирательными антибиотическ</w:t>
      </w:r>
      <w:r>
        <w:t>и</w:t>
      </w:r>
      <w:r>
        <w:t>ми свойствами. Таким образом, терапевтическая широта таких препаратов достигается многокомпонентностью, а выраженная антимикробная акти</w:t>
      </w:r>
      <w:r>
        <w:t>в</w:t>
      </w:r>
      <w:r>
        <w:t xml:space="preserve">ность - синергическим эффектом и аддитивностью. </w:t>
      </w:r>
    </w:p>
    <w:p w:rsidR="00F4654E" w:rsidRDefault="00F4654E">
      <w:pPr>
        <w:pStyle w:val="a6"/>
      </w:pPr>
      <w:r>
        <w:t>Нами изучен комплексный антимикробный препарат –</w:t>
      </w:r>
      <w:r w:rsidR="00D75866">
        <w:t xml:space="preserve"> </w:t>
      </w:r>
      <w:r>
        <w:t>левоэритро</w:t>
      </w:r>
      <w:r w:rsidR="00D75866">
        <w:t>-</w:t>
      </w:r>
      <w:r>
        <w:t>циклин нео, содержащий в своем составе  левомицетин, эритромицин и о</w:t>
      </w:r>
      <w:r>
        <w:t>к</w:t>
      </w:r>
      <w:r>
        <w:t xml:space="preserve">ситетрациклин, и дана его клиническая и экспериментальная оценка. </w:t>
      </w:r>
    </w:p>
    <w:p w:rsidR="00F4654E" w:rsidRDefault="00F4654E">
      <w:pPr>
        <w:pStyle w:val="a6"/>
      </w:pPr>
      <w:r>
        <w:t xml:space="preserve">В опытах </w:t>
      </w:r>
      <w:r>
        <w:rPr>
          <w:lang w:val="en-US"/>
        </w:rPr>
        <w:t>in</w:t>
      </w:r>
      <w:r>
        <w:t xml:space="preserve"> </w:t>
      </w:r>
      <w:r>
        <w:rPr>
          <w:lang w:val="en-US"/>
        </w:rPr>
        <w:t>vitro</w:t>
      </w:r>
      <w:r>
        <w:t xml:space="preserve"> проведено изучение специфической антимикробной активности препарата на музейные и полевые штаммы микроорганизмов-возбудителей желудочно-кишечных и респираторных болезней сельскох</w:t>
      </w:r>
      <w:r>
        <w:t>о</w:t>
      </w:r>
      <w:r>
        <w:t>зяйственных животных. Испытание проведено методом серийных развед</w:t>
      </w:r>
      <w:r>
        <w:t>е</w:t>
      </w:r>
      <w:r>
        <w:t>ний в жидкой питательной среде. В качестве тест-культур использовали референтные и полевые (патогенные) штаммы микроорганизмов - возб</w:t>
      </w:r>
      <w:r>
        <w:t>у</w:t>
      </w:r>
      <w:r>
        <w:t>дителей респираторных и желудочно-кишечных болезней поросят и телят, типичных по морфологическим, тинкториальным, культуральным, биох</w:t>
      </w:r>
      <w:r>
        <w:t>и</w:t>
      </w:r>
      <w:r>
        <w:t>мическим и серологическим свойствам. Минимальную бактериостатич</w:t>
      </w:r>
      <w:r>
        <w:t>е</w:t>
      </w:r>
      <w:r>
        <w:t>скую концентрацию (МБсК) левоэритроциклина нео определяли методом разведений в мясопептонном бульоне (МПБ); минимальную бактерици</w:t>
      </w:r>
      <w:r>
        <w:t>д</w:t>
      </w:r>
      <w:r>
        <w:t xml:space="preserve">ную концентрацию – путем высева из пробирок с прозрачной средой на плотные питательные среды (МПА), не содержащие препарат. </w:t>
      </w:r>
    </w:p>
    <w:p w:rsidR="00F4654E" w:rsidRDefault="00F4654E">
      <w:pPr>
        <w:pStyle w:val="a6"/>
      </w:pPr>
      <w:r>
        <w:t>Установлено, что препарат обладает широким спектром антимикро</w:t>
      </w:r>
      <w:r>
        <w:t>б</w:t>
      </w:r>
      <w:r>
        <w:t>ного действия в отношении  испытанных культур микроорганизмов (</w:t>
      </w:r>
      <w:r>
        <w:rPr>
          <w:lang w:val="en-US"/>
        </w:rPr>
        <w:t>Sta</w:t>
      </w:r>
      <w:r>
        <w:t>-</w:t>
      </w:r>
      <w:r>
        <w:rPr>
          <w:lang w:val="en-US"/>
        </w:rPr>
        <w:t>phylococcus</w:t>
      </w:r>
      <w:r>
        <w:t xml:space="preserve"> </w:t>
      </w:r>
      <w:r>
        <w:rPr>
          <w:lang w:val="en-US"/>
        </w:rPr>
        <w:t>aureus</w:t>
      </w:r>
      <w:r>
        <w:t xml:space="preserve"> 209 </w:t>
      </w:r>
      <w:r>
        <w:rPr>
          <w:lang w:val="en-US"/>
        </w:rPr>
        <w:t>P</w:t>
      </w:r>
      <w:r>
        <w:t xml:space="preserve"> – МБсК 3,12 мкг/мл, МБцК –6,25 мкг/мл; </w:t>
      </w:r>
      <w:r>
        <w:rPr>
          <w:lang w:val="en-US"/>
        </w:rPr>
        <w:t>Strept</w:t>
      </w:r>
      <w:r>
        <w:rPr>
          <w:lang w:val="en-US"/>
        </w:rPr>
        <w:t>o</w:t>
      </w:r>
      <w:r>
        <w:rPr>
          <w:lang w:val="en-US"/>
        </w:rPr>
        <w:t>coccus</w:t>
      </w:r>
      <w:r>
        <w:t xml:space="preserve"> </w:t>
      </w:r>
      <w:r>
        <w:rPr>
          <w:lang w:val="en-US"/>
        </w:rPr>
        <w:t>pneumoniae</w:t>
      </w:r>
      <w:r>
        <w:t xml:space="preserve"> (п) – МБсК 1,56 мкг/мл, МБцК –3,12 мкг/мл; </w:t>
      </w:r>
      <w:r>
        <w:rPr>
          <w:lang w:val="en-US"/>
        </w:rPr>
        <w:t>Bordetella</w:t>
      </w:r>
      <w:r>
        <w:t xml:space="preserve"> </w:t>
      </w:r>
      <w:r>
        <w:rPr>
          <w:lang w:val="en-US"/>
        </w:rPr>
        <w:lastRenderedPageBreak/>
        <w:t>bronchiseptica</w:t>
      </w:r>
      <w:r>
        <w:t xml:space="preserve"> (8346)  – МБсК 6.25 мкг/мл, МБцК –12.5 мкг/мл; </w:t>
      </w:r>
      <w:r>
        <w:rPr>
          <w:lang w:val="en-US"/>
        </w:rPr>
        <w:t>Pasteurella</w:t>
      </w:r>
      <w:r>
        <w:t xml:space="preserve"> </w:t>
      </w:r>
      <w:r>
        <w:rPr>
          <w:lang w:val="en-US"/>
        </w:rPr>
        <w:t>multocida</w:t>
      </w:r>
      <w:r>
        <w:t xml:space="preserve"> (п) - МБсК 12,5 мкг/мл, МБцК –25,5 мкг/мл; </w:t>
      </w:r>
      <w:r>
        <w:rPr>
          <w:lang w:val="en-US"/>
        </w:rPr>
        <w:t>E</w:t>
      </w:r>
      <w:r>
        <w:t>.</w:t>
      </w:r>
      <w:r>
        <w:rPr>
          <w:lang w:val="en-US"/>
        </w:rPr>
        <w:t>coli</w:t>
      </w:r>
      <w:r>
        <w:t xml:space="preserve"> 0142 (п) - МБсК 50,0 мкг/мл, МБцК –100,0 мкг/мл; </w:t>
      </w:r>
      <w:r>
        <w:rPr>
          <w:lang w:val="en-US"/>
        </w:rPr>
        <w:t>Salmonella</w:t>
      </w:r>
      <w:r>
        <w:t xml:space="preserve"> </w:t>
      </w:r>
      <w:r>
        <w:rPr>
          <w:lang w:val="en-US"/>
        </w:rPr>
        <w:t>cholerae</w:t>
      </w:r>
      <w:r>
        <w:t xml:space="preserve"> </w:t>
      </w:r>
      <w:r>
        <w:rPr>
          <w:lang w:val="en-US"/>
        </w:rPr>
        <w:t>suis</w:t>
      </w:r>
      <w:r>
        <w:t xml:space="preserve"> (п) - МБсК  25,0 мкг/мл, МБцК –50,0 мкг/мл; </w:t>
      </w:r>
      <w:r>
        <w:rPr>
          <w:lang w:val="en-US"/>
        </w:rPr>
        <w:t>Pseudomonas</w:t>
      </w:r>
      <w:r>
        <w:t xml:space="preserve"> </w:t>
      </w:r>
      <w:r>
        <w:rPr>
          <w:lang w:val="en-US"/>
        </w:rPr>
        <w:t>aeruginosa</w:t>
      </w:r>
      <w:r>
        <w:t xml:space="preserve"> - МБсК 100,0 мкг/мл, МБцК –200,0 мкг/мл; и др). Минимальная бактериостатич</w:t>
      </w:r>
      <w:r>
        <w:t>е</w:t>
      </w:r>
      <w:r>
        <w:t>ская концентрация левоэритроциклина нео в отношении грамположител</w:t>
      </w:r>
      <w:r>
        <w:t>ь</w:t>
      </w:r>
      <w:r>
        <w:t>ных микроорганизмов в опытах составляла порядка 1,56 - 3,12 мкг/мл. Данными исследований показано, что левоэритроциклин нео в концентр</w:t>
      </w:r>
      <w:r>
        <w:t>а</w:t>
      </w:r>
      <w:r>
        <w:t>ции 6,25 - 12,5 мкг/мл задерживал рост культур пастерелл и бордетелл. В отношении музейных и полевых штаммов сальм</w:t>
      </w:r>
      <w:r>
        <w:t>о</w:t>
      </w:r>
      <w:r>
        <w:t>нелл и кишечной палочки минимальная бактериостатическая концентрация составляла 25-50 мкг/мл. Бактерицидные свойства левоэритроциклина нео проявлялись в конце</w:t>
      </w:r>
      <w:r>
        <w:t>н</w:t>
      </w:r>
      <w:r>
        <w:t>трациях в 2-4 раза превышающих МБсК.</w:t>
      </w:r>
    </w:p>
    <w:p w:rsidR="00F4654E" w:rsidRDefault="00F4654E">
      <w:pPr>
        <w:pStyle w:val="a6"/>
      </w:pPr>
      <w:r>
        <w:t>Клинические испытания препарата предусматривали изучение сра</w:t>
      </w:r>
      <w:r>
        <w:t>в</w:t>
      </w:r>
      <w:r>
        <w:t xml:space="preserve">нительной терапевтической эффективности левоэритроциклина нео при желудочно-кишечных и респираторных заболеваниях молодняка крупного рогатого скота и свиней бактериальной этиологии. </w:t>
      </w:r>
    </w:p>
    <w:p w:rsidR="00F4654E" w:rsidRPr="00D75866" w:rsidRDefault="00F4654E">
      <w:pPr>
        <w:pStyle w:val="a6"/>
        <w:rPr>
          <w:spacing w:val="-4"/>
        </w:rPr>
      </w:pPr>
      <w:r w:rsidRPr="00D75866">
        <w:rPr>
          <w:spacing w:val="-4"/>
        </w:rPr>
        <w:t>Производственные испытания препарата проводили на поросятах и т</w:t>
      </w:r>
      <w:r w:rsidRPr="00D75866">
        <w:rPr>
          <w:spacing w:val="-4"/>
        </w:rPr>
        <w:t>е</w:t>
      </w:r>
      <w:r w:rsidRPr="00D75866">
        <w:rPr>
          <w:spacing w:val="-4"/>
        </w:rPr>
        <w:t>лятах 3-10 дневного возраста больных колибактериозом, сальмонеллезом; поросятах возрастом 3-5 месяцев, больных дизентерией; телятах и п</w:t>
      </w:r>
      <w:r w:rsidRPr="00D75866">
        <w:rPr>
          <w:spacing w:val="-4"/>
        </w:rPr>
        <w:t>о</w:t>
      </w:r>
      <w:r w:rsidRPr="00D75866">
        <w:rPr>
          <w:spacing w:val="-4"/>
        </w:rPr>
        <w:t>росятах 30-45 дневного возраста больных бронхопневмонией.  Диагноз на заболев</w:t>
      </w:r>
      <w:r w:rsidRPr="00D75866">
        <w:rPr>
          <w:spacing w:val="-4"/>
        </w:rPr>
        <w:t>а</w:t>
      </w:r>
      <w:r w:rsidRPr="00D75866">
        <w:rPr>
          <w:spacing w:val="-4"/>
        </w:rPr>
        <w:t>ния устанавливали на основании данных клинического обследования живо</w:t>
      </w:r>
      <w:r w:rsidRPr="00D75866">
        <w:rPr>
          <w:spacing w:val="-4"/>
        </w:rPr>
        <w:t>т</w:t>
      </w:r>
      <w:r w:rsidRPr="00D75866">
        <w:rPr>
          <w:spacing w:val="-4"/>
        </w:rPr>
        <w:t>ных, лабораторных исследований, патологоанатомического вскрытия, с уч</w:t>
      </w:r>
      <w:r w:rsidRPr="00D75866">
        <w:rPr>
          <w:spacing w:val="-4"/>
        </w:rPr>
        <w:t>е</w:t>
      </w:r>
      <w:r w:rsidRPr="00D75866">
        <w:rPr>
          <w:spacing w:val="-4"/>
        </w:rPr>
        <w:t>том эпизоотической ситуации в хозяйстве. Схемой опыта предусматривалось формирование двух клинических групп подопытных животных – группа сравнения, которой в качестве этиотропного средства лечения применяли традиционные для данных хозяйств антибактериальные средства (ветдипа</w:t>
      </w:r>
      <w:r w:rsidRPr="00D75866">
        <w:rPr>
          <w:spacing w:val="-4"/>
        </w:rPr>
        <w:t>с</w:t>
      </w:r>
      <w:r w:rsidRPr="00D75866">
        <w:rPr>
          <w:spacing w:val="-4"/>
        </w:rPr>
        <w:t>фен, окситетрациклин); и опытная группа, которой в качестве лекарственного вещества применялся левоэритроциклин нео  по схеме лечения, предусмо</w:t>
      </w:r>
      <w:r w:rsidRPr="00D75866">
        <w:rPr>
          <w:spacing w:val="-4"/>
        </w:rPr>
        <w:t>т</w:t>
      </w:r>
      <w:r w:rsidRPr="00D75866">
        <w:rPr>
          <w:spacing w:val="-4"/>
        </w:rPr>
        <w:t>ренной в наставлении: молодняку крупного рогатого скота препарат инъец</w:t>
      </w:r>
      <w:r w:rsidRPr="00D75866">
        <w:rPr>
          <w:spacing w:val="-4"/>
        </w:rPr>
        <w:t>и</w:t>
      </w:r>
      <w:r w:rsidRPr="00D75866">
        <w:rPr>
          <w:spacing w:val="-4"/>
        </w:rPr>
        <w:t>ровали внутримышечно в дозе 0,15 мл/кг массы тела, молодняку свиней в д</w:t>
      </w:r>
      <w:r w:rsidRPr="00D75866">
        <w:rPr>
          <w:spacing w:val="-4"/>
        </w:rPr>
        <w:t>о</w:t>
      </w:r>
      <w:r w:rsidRPr="00D75866">
        <w:rPr>
          <w:spacing w:val="-4"/>
        </w:rPr>
        <w:t>зе 0,2 мл/кг массы тела  двукратно с интервалом 48 часов. При тяжелом теч</w:t>
      </w:r>
      <w:r w:rsidRPr="00D75866">
        <w:rPr>
          <w:spacing w:val="-4"/>
        </w:rPr>
        <w:t>е</w:t>
      </w:r>
      <w:r w:rsidRPr="00D75866">
        <w:rPr>
          <w:spacing w:val="-4"/>
        </w:rPr>
        <w:t xml:space="preserve">нии болезни левоэритроциклин вводили трехкратно. </w:t>
      </w:r>
    </w:p>
    <w:p w:rsidR="00F4654E" w:rsidRDefault="00F4654E">
      <w:pPr>
        <w:pStyle w:val="a6"/>
      </w:pPr>
      <w:r>
        <w:t>Исследованиями показано, что левоэритроциклин нео обладает более высокой терапевтической эффективностью  по сравнению с окситетраци</w:t>
      </w:r>
      <w:r>
        <w:t>к</w:t>
      </w:r>
      <w:r>
        <w:t>лином и ветдипасфеном как при желудочно-кишечной, так и при респир</w:t>
      </w:r>
      <w:r>
        <w:t>а</w:t>
      </w:r>
      <w:r>
        <w:t>торной патологии. При его применении клиническое улучшение у живо</w:t>
      </w:r>
      <w:r>
        <w:t>т</w:t>
      </w:r>
      <w:r>
        <w:t>ных наступало чаще всего через 3-4 дня лечения, в отличие от группы сравнения, где клинические признаки заболевания исчезали обычно на 5-6 день лечения. При применении  левоэритроциклина нео значительно сн</w:t>
      </w:r>
      <w:r>
        <w:t>и</w:t>
      </w:r>
      <w:r>
        <w:t>жался падеж, причем сохранность поголовья была выше на  5-10%, чем в  группах сравнения. В частности, терапевтическая эффективность лев</w:t>
      </w:r>
      <w:r>
        <w:t>о</w:t>
      </w:r>
      <w:r>
        <w:t xml:space="preserve">эритроциклина нео при колибактериозе составила 91,4-95,5 %, что на 5-9 </w:t>
      </w:r>
      <w:r>
        <w:lastRenderedPageBreak/>
        <w:t>% выше, чем при применении окситетрациклина гидрохлорида (86 %). При этом выздоровление основной массы опытных поросят и телят проходило уже после двукратного применения препарата. Левоэритроциклин нео, с</w:t>
      </w:r>
      <w:r>
        <w:t>о</w:t>
      </w:r>
      <w:r>
        <w:t>кращая сроки заболевания, способствовал лучшему росту и развитию з</w:t>
      </w:r>
      <w:r>
        <w:t>а</w:t>
      </w:r>
      <w:r>
        <w:t>болевшего молодняка.</w:t>
      </w:r>
    </w:p>
    <w:p w:rsidR="00F4654E" w:rsidRDefault="00F4654E">
      <w:pPr>
        <w:pStyle w:val="a6"/>
      </w:pPr>
      <w:r>
        <w:t>При сальмонеллезе количество выздоровевших животных при прим</w:t>
      </w:r>
      <w:r>
        <w:t>е</w:t>
      </w:r>
      <w:r>
        <w:t>нении левоэритроциклина нео составило 95-96% от числа заболевшего п</w:t>
      </w:r>
      <w:r>
        <w:t>о</w:t>
      </w:r>
      <w:r>
        <w:t>головья, в то время как в группах сравнения  терапевтическая эффекти</w:t>
      </w:r>
      <w:r>
        <w:t>в</w:t>
      </w:r>
      <w:r>
        <w:t>ность ветдипасфена составила не более 87%. Выраженный антимикробный эффект левоэритроциклина нео обеспечивал сохранность опытных живо</w:t>
      </w:r>
      <w:r>
        <w:t>т</w:t>
      </w:r>
      <w:r>
        <w:t>ных до 100%. Сроки выздоровления заболевшего поголовья опытной гру</w:t>
      </w:r>
      <w:r>
        <w:t>п</w:t>
      </w:r>
      <w:r>
        <w:t>пы сокращались на 35-38%. Благоприятные изменения в патогенезе сал</w:t>
      </w:r>
      <w:r>
        <w:t>ь</w:t>
      </w:r>
      <w:r>
        <w:t xml:space="preserve">монеллеза у молодняка, которым применялся в качестве антимикробного средства левоэритроциклин нео обеспечивали сохранность прироста массы тела порядка 19%. </w:t>
      </w:r>
    </w:p>
    <w:p w:rsidR="00F4654E" w:rsidRDefault="00F4654E">
      <w:pPr>
        <w:pStyle w:val="a6"/>
      </w:pPr>
      <w:r>
        <w:tab/>
        <w:t>Изучение эффективности применения левоэритроциклина нео для лечения дизентерии поросят показало, что количество выздоровевших ж</w:t>
      </w:r>
      <w:r>
        <w:t>и</w:t>
      </w:r>
      <w:r>
        <w:t>вотных в опытной группе выше на 10,7 %чем в группе сравнения. Анал</w:t>
      </w:r>
      <w:r>
        <w:t>о</w:t>
      </w:r>
      <w:r>
        <w:t>гичная тенденция наблюдалась и при применеии левоэритроциклина нео на фоне бронхопневмонии.</w:t>
      </w:r>
    </w:p>
    <w:p w:rsidR="00F4654E" w:rsidRPr="00D75866" w:rsidRDefault="00F4654E">
      <w:pPr>
        <w:pStyle w:val="a6"/>
        <w:rPr>
          <w:spacing w:val="-2"/>
        </w:rPr>
      </w:pPr>
      <w:r w:rsidRPr="00D75866">
        <w:rPr>
          <w:spacing w:val="-2"/>
        </w:rPr>
        <w:t>Таким образом, левоэритроциклин нео проявляет выраженную ант</w:t>
      </w:r>
      <w:r w:rsidRPr="00D75866">
        <w:rPr>
          <w:spacing w:val="-2"/>
        </w:rPr>
        <w:t>и</w:t>
      </w:r>
      <w:r w:rsidRPr="00D75866">
        <w:rPr>
          <w:spacing w:val="-2"/>
        </w:rPr>
        <w:t>микробную активность по отношению к микробам-возбудителям желудо</w:t>
      </w:r>
      <w:r w:rsidRPr="00D75866">
        <w:rPr>
          <w:spacing w:val="-2"/>
        </w:rPr>
        <w:t>ч</w:t>
      </w:r>
      <w:r w:rsidRPr="00D75866">
        <w:rPr>
          <w:spacing w:val="-2"/>
        </w:rPr>
        <w:t>но-кишечных и респираторных заболеваний молодняка крупного рогатого скота и свиней. Применение левоэритроциклина нео сокращает сроки в</w:t>
      </w:r>
      <w:r w:rsidRPr="00D75866">
        <w:rPr>
          <w:spacing w:val="-2"/>
        </w:rPr>
        <w:t>ы</w:t>
      </w:r>
      <w:r w:rsidRPr="00D75866">
        <w:rPr>
          <w:spacing w:val="-2"/>
        </w:rPr>
        <w:t>здоровления при сальмонеллезе, колибактериозе, бронхопневмонии и д</w:t>
      </w:r>
      <w:r w:rsidRPr="00D75866">
        <w:rPr>
          <w:spacing w:val="-2"/>
        </w:rPr>
        <w:t>и</w:t>
      </w:r>
      <w:r w:rsidRPr="00D75866">
        <w:rPr>
          <w:spacing w:val="-2"/>
        </w:rPr>
        <w:t>зентерии, снижает  падеж. Вследствие этого, курс лечения левоэритроци</w:t>
      </w:r>
      <w:r w:rsidRPr="00D75866">
        <w:rPr>
          <w:spacing w:val="-2"/>
        </w:rPr>
        <w:t>к</w:t>
      </w:r>
      <w:r w:rsidRPr="00D75866">
        <w:rPr>
          <w:spacing w:val="-2"/>
        </w:rPr>
        <w:t>лином нео технологически прост в исполнении и экономически эффект</w:t>
      </w:r>
      <w:r w:rsidRPr="00D75866">
        <w:rPr>
          <w:spacing w:val="-2"/>
        </w:rPr>
        <w:t>и</w:t>
      </w:r>
      <w:r w:rsidRPr="00D75866">
        <w:rPr>
          <w:spacing w:val="-2"/>
        </w:rPr>
        <w:t>вен.</w:t>
      </w:r>
    </w:p>
    <w:p w:rsidR="00F4654E" w:rsidRDefault="00F4654E">
      <w:pPr>
        <w:pStyle w:val="a4"/>
      </w:pPr>
      <w:r>
        <w:t>УДК 619:615.015</w:t>
      </w:r>
    </w:p>
    <w:p w:rsidR="00F4654E" w:rsidRDefault="00F4654E">
      <w:pPr>
        <w:pStyle w:val="1"/>
      </w:pPr>
      <w:r>
        <w:t>ИЗУЧЕНИЕ ФАРМАКОКИНЕТИКИ АНТИБАКТЕРИАЛЬНОГО ПРЕПАРАТА ЛЕВОЭРИТРОЦИКЛИН НЕО</w:t>
      </w:r>
    </w:p>
    <w:p w:rsidR="00F4654E" w:rsidRDefault="00F4654E">
      <w:pPr>
        <w:pStyle w:val="2"/>
      </w:pPr>
      <w:r>
        <w:t xml:space="preserve">Шабунин С.В. , Востроилова Г.А.* </w:t>
      </w:r>
    </w:p>
    <w:p w:rsidR="00F4654E" w:rsidRDefault="00F4654E">
      <w:pPr>
        <w:pStyle w:val="a5"/>
      </w:pPr>
      <w:r>
        <w:t xml:space="preserve">Всероссийский НИВИ патологии, фармакологии и терапии </w:t>
      </w:r>
      <w:r>
        <w:br/>
        <w:t>ООО «Ветеринарный диагностический центр», г. Воронеж</w:t>
      </w:r>
    </w:p>
    <w:p w:rsidR="00F4654E" w:rsidRDefault="00F4654E">
      <w:pPr>
        <w:pStyle w:val="a6"/>
      </w:pPr>
      <w:r>
        <w:t>Клиническая эффективность антимикробных препаратов во многом зависит от времени удержания их терапевтической концентрации в орг</w:t>
      </w:r>
      <w:r>
        <w:t>а</w:t>
      </w:r>
      <w:r>
        <w:t>низме, так как обеспечение  необходимого количества АДВ в период леч</w:t>
      </w:r>
      <w:r>
        <w:t>е</w:t>
      </w:r>
      <w:r>
        <w:t>ния, является основным параметром, определяющим эффективность ант</w:t>
      </w:r>
      <w:r>
        <w:t>и</w:t>
      </w:r>
      <w:r>
        <w:t>биотикотерапии. Данные изучения особенностей всасывания, распредел</w:t>
      </w:r>
      <w:r>
        <w:t>е</w:t>
      </w:r>
      <w:r>
        <w:t>ния и выведения антибиотиков, т.е. фармакокинетики, являются основой для разработки адекватных схем лечения, обеспечивающих их безопа</w:t>
      </w:r>
      <w:r>
        <w:t>с</w:t>
      </w:r>
      <w:r>
        <w:t xml:space="preserve">ность и терапевтический эффект. </w:t>
      </w:r>
    </w:p>
    <w:p w:rsidR="00F4654E" w:rsidRDefault="00F4654E">
      <w:pPr>
        <w:pStyle w:val="a6"/>
      </w:pPr>
      <w:r>
        <w:lastRenderedPageBreak/>
        <w:t>Разработка пролонгированных форм антибактериальных препаратов предпочтительнее, чем нативных, так как длительное удержание рабочих концентраций антибиотиков в тканях и органах не только сокращает кол</w:t>
      </w:r>
      <w:r>
        <w:t>и</w:t>
      </w:r>
      <w:r>
        <w:t>чество инъекций за курс лечения, но и обеспечивает стабильное содерж</w:t>
      </w:r>
      <w:r>
        <w:t>а</w:t>
      </w:r>
      <w:r>
        <w:t>ние терапевтической дозы препарата в период лечения, что исключает возможность возникновения невосприимчивости патогенных микроорг</w:t>
      </w:r>
      <w:r>
        <w:t>а</w:t>
      </w:r>
      <w:r>
        <w:t>низмов. Вследствие этого, изучена сравнительная фармакокинетика нового комплексного пролонгированного антимикробного препарата – левоэри</w:t>
      </w:r>
      <w:r>
        <w:t>т</w:t>
      </w:r>
      <w:r>
        <w:t>роциклина нео, содержащего в своем составе левомицетин, эритромицин и окситетрациклин. Для обеспечения пролонгированного эффекта в состав препарата внесен комплексный полимерный растворитель, представля</w:t>
      </w:r>
      <w:r>
        <w:t>ю</w:t>
      </w:r>
      <w:r>
        <w:t xml:space="preserve">щий собой высокомолекулярный органический полимер, обеспечивающий пролонгацию за счет затрудненного всасывания действующих веществ. </w:t>
      </w:r>
    </w:p>
    <w:p w:rsidR="00F4654E" w:rsidRDefault="00F4654E">
      <w:pPr>
        <w:pStyle w:val="a6"/>
      </w:pPr>
      <w:r>
        <w:t>Изучение фармакокинетики левоэритроциклина нео проведено по о</w:t>
      </w:r>
      <w:r>
        <w:t>п</w:t>
      </w:r>
      <w:r>
        <w:t>ределению содержания левомицетина, эритромицина и окситетрациклина в органах, тканях и биологических жидкостях поросят. Концентрацию л</w:t>
      </w:r>
      <w:r>
        <w:t>е</w:t>
      </w:r>
      <w:r>
        <w:t xml:space="preserve">вомицетина и окситетрациклина в биологических субстратах определяли хроматографически, концентрацию эритромицина – микробиологическим методом диффузии в агар. </w:t>
      </w:r>
    </w:p>
    <w:p w:rsidR="00F4654E" w:rsidRDefault="00F4654E">
      <w:pPr>
        <w:pStyle w:val="a6"/>
      </w:pPr>
      <w:r>
        <w:t>Были подобраны две группы  поросят, по 15 животных в группе  ма</w:t>
      </w:r>
      <w:r>
        <w:t>с</w:t>
      </w:r>
      <w:r>
        <w:t>сой тела 9-11 кг, подобранных по принципу парных аналогов. Опытной группе животных  вводили левоэритроциклин нео внутримышечно в дозе 0,2 мл/кг однократно. Контрольной группе молодняка вводили в эквив</w:t>
      </w:r>
      <w:r>
        <w:t>а</w:t>
      </w:r>
      <w:r>
        <w:t>лентной дозе смесь  левомицетина, эритромицина и окситетрациклина без пролонгатора. Через 3, 6, 12, 24, 48 часов после введения препарата убив</w:t>
      </w:r>
      <w:r>
        <w:t>а</w:t>
      </w:r>
      <w:r>
        <w:t>ли по 3 животных с каждой группы. Содержание левомицетина, оксите</w:t>
      </w:r>
      <w:r>
        <w:t>т</w:t>
      </w:r>
      <w:r>
        <w:t>рациклина и эритромицина определяли в крови, моче, печени, почках, бе</w:t>
      </w:r>
      <w:r>
        <w:t>д</w:t>
      </w:r>
      <w:r>
        <w:t xml:space="preserve">ренной мышце и содержимом кишечника. </w:t>
      </w:r>
    </w:p>
    <w:p w:rsidR="00F4654E" w:rsidRDefault="00F4654E">
      <w:pPr>
        <w:pStyle w:val="a6"/>
      </w:pPr>
      <w:r>
        <w:t>Данными опыта установлено, что фармакокинетика левомицетина при применении комплексного пролонгированного препарата левоэритроци</w:t>
      </w:r>
      <w:r>
        <w:t>к</w:t>
      </w:r>
      <w:r>
        <w:t>лин нео и при применении левомицетина сукцината в растворе различна. Терапевтическая концентрация антибиотика в крови через 1 час после вв</w:t>
      </w:r>
      <w:r>
        <w:t>е</w:t>
      </w:r>
      <w:r>
        <w:t>дения левоэритроциклина нео и нативного аналога содержащего левом</w:t>
      </w:r>
      <w:r>
        <w:t>и</w:t>
      </w:r>
      <w:r>
        <w:t>цетина сукцинат примерно одинакова и составляет 3,00 и 3,09 мкг/мл, с</w:t>
      </w:r>
      <w:r>
        <w:t>о</w:t>
      </w:r>
      <w:r>
        <w:t xml:space="preserve">ответственно. </w:t>
      </w:r>
    </w:p>
    <w:p w:rsidR="00F4654E" w:rsidRDefault="00F4654E">
      <w:pPr>
        <w:pStyle w:val="a6"/>
      </w:pPr>
      <w:r>
        <w:t>Максимальная концентрация левомицетина в крови у животных обеих групп установлена через 3 часа после инъекции (опытная группа – 3,19мкг/мл; контрольная группа 3,50.мкг/мл). В дальнейшем концентрация левомицетина поступательно снижается у всех животных, однако, левом</w:t>
      </w:r>
      <w:r>
        <w:t>и</w:t>
      </w:r>
      <w:r>
        <w:t>цетин у группы молодняка после инъекции левоэритроциклина нео обн</w:t>
      </w:r>
      <w:r>
        <w:t>а</w:t>
      </w:r>
      <w:r>
        <w:t xml:space="preserve">руживается через 24 часа после инъекции (1,13 мкг/мл), в то время как в контрольной группе через 24 часа левомицетин не определяется, а через 12 </w:t>
      </w:r>
      <w:r>
        <w:lastRenderedPageBreak/>
        <w:t>часов после инъекции составляет 1,0 мкг/мл.. Максимальная концентрация в почках и печени наблюдалась в обоих случаях через 12 часов.</w:t>
      </w:r>
    </w:p>
    <w:p w:rsidR="00F4654E" w:rsidRDefault="00F4654E">
      <w:pPr>
        <w:pStyle w:val="a6"/>
      </w:pPr>
      <w:r>
        <w:t>Таким образом, терапевтическая концентрация левомицетина при применении левоэритроциклина нео сохраняется на протяжении 24 часов после однократного введения, в то время как в контрольной группе живо</w:t>
      </w:r>
      <w:r>
        <w:t>т</w:t>
      </w:r>
      <w:r>
        <w:t>ных, которым применялся левомицетин без пролонгатора, его терапевт</w:t>
      </w:r>
      <w:r>
        <w:t>и</w:t>
      </w:r>
      <w:r>
        <w:t xml:space="preserve">ческая концентрация сохраняется не более 12 часов. </w:t>
      </w:r>
    </w:p>
    <w:p w:rsidR="00F4654E" w:rsidRDefault="00F4654E">
      <w:pPr>
        <w:pStyle w:val="a6"/>
      </w:pPr>
      <w:r>
        <w:t>При введении контрольной группе поросят окситетрациклина без пролонгатора в дозе 100 мг/кг массы тела происходит быстрое всасывание. Уже через 1-2 часа препарат обнаруживается в терапевтической конце</w:t>
      </w:r>
      <w:r>
        <w:t>н</w:t>
      </w:r>
      <w:r>
        <w:t>трации (1,10-1,50 мкг/мл крови). К 8 часам происходит полное выведение окситетрациклина, в то время как при применении левоэритроциклина нео терапевтическая концентрация окситетрациклина в крови сохраняется до 24 часов (0,90 мкг/мл). Наивысшая концентрация окситетрациклина в по</w:t>
      </w:r>
      <w:r>
        <w:t>ч</w:t>
      </w:r>
      <w:r>
        <w:t>ках и печени установлена через 12 часов после инъекции у опытной гру</w:t>
      </w:r>
      <w:r>
        <w:t>п</w:t>
      </w:r>
      <w:r>
        <w:t>пы (1,91 и 2,18 мкг/г соответственно) и через 6 часов у контрольной (1,77 и 2,31 мкг/г). Высокое содержание окситетрациклина в печени и почках  свидетельствует о том, что основной путь выведения его из организма с желчью и мочой.</w:t>
      </w:r>
      <w:r w:rsidR="00D75866">
        <w:t xml:space="preserve"> </w:t>
      </w:r>
      <w:r>
        <w:t>Сравнительная оценка полноты и скорости всасывания левоэритр</w:t>
      </w:r>
      <w:r>
        <w:t>о</w:t>
      </w:r>
      <w:r>
        <w:t>циклина нео и эритромицина аскорбината без пролонгатора в дозе 6 мг/кг массы тела показала, что эритромицин быстро проникает в кровь у всех животных в опыте. В случае применения эритромицина а</w:t>
      </w:r>
      <w:r>
        <w:t>с</w:t>
      </w:r>
      <w:r>
        <w:t>корбината максимальной ко</w:t>
      </w:r>
      <w:r>
        <w:t>н</w:t>
      </w:r>
      <w:r>
        <w:t>центрации эритромицин достигал через 1 час, а при применении левоэри</w:t>
      </w:r>
      <w:r>
        <w:t>т</w:t>
      </w:r>
      <w:r>
        <w:t>роциклина нео - через 3 часа. При применении левоэритроциклина нео  терапевтическая концентрация эритромицина с</w:t>
      </w:r>
      <w:r>
        <w:t>о</w:t>
      </w:r>
      <w:r>
        <w:t>храняется до 24 часов, тогда как только следовые количества эритромиц</w:t>
      </w:r>
      <w:r>
        <w:t>и</w:t>
      </w:r>
      <w:r>
        <w:t>на аскорбината обнаружив</w:t>
      </w:r>
      <w:r>
        <w:t>а</w:t>
      </w:r>
      <w:r>
        <w:t xml:space="preserve">ются через 6 часов. </w:t>
      </w:r>
    </w:p>
    <w:p w:rsidR="00F4654E" w:rsidRDefault="00F4654E">
      <w:pPr>
        <w:pStyle w:val="a6"/>
      </w:pPr>
      <w:r>
        <w:t>Таким образом, терапевтическая концентрация антимикробных ко</w:t>
      </w:r>
      <w:r>
        <w:t>м</w:t>
      </w:r>
      <w:r>
        <w:t>понентов левоэритроциклина нео при применении его в дозе 0,2 мл/кг ма</w:t>
      </w:r>
      <w:r>
        <w:t>с</w:t>
      </w:r>
      <w:r>
        <w:t>сы тела однократно сохраняется до 24 часов, в то время как фармакокин</w:t>
      </w:r>
      <w:r>
        <w:t>е</w:t>
      </w:r>
      <w:r>
        <w:t>тика чистых антибиотиков без пролонгатора составляет 12 часов. Пол</w:t>
      </w:r>
      <w:r>
        <w:t>и</w:t>
      </w:r>
      <w:r>
        <w:t>мерная комплексная основа входящая в состав препарата оказывает выр</w:t>
      </w:r>
      <w:r>
        <w:t>а</w:t>
      </w:r>
      <w:r>
        <w:t xml:space="preserve">женный пролонгирующий эффект. </w:t>
      </w:r>
    </w:p>
    <w:p w:rsidR="00F4654E" w:rsidRDefault="00F4654E">
      <w:pPr>
        <w:pStyle w:val="a4"/>
      </w:pPr>
      <w:bookmarkStart w:id="6901" w:name="_Toc535561973"/>
      <w:bookmarkStart w:id="6902" w:name="_Toc535562026"/>
      <w:r>
        <w:t>УДК 619:616-099:615.91</w:t>
      </w:r>
    </w:p>
    <w:p w:rsidR="00F4654E" w:rsidRDefault="00F4654E">
      <w:pPr>
        <w:pStyle w:val="1"/>
      </w:pPr>
      <w:r>
        <w:t>ИЗУЧЕНИЕ ТоксическиХ свойств ПРЕПАРАТА левоэритроциклин нео</w:t>
      </w:r>
      <w:bookmarkEnd w:id="6901"/>
      <w:bookmarkEnd w:id="6902"/>
    </w:p>
    <w:p w:rsidR="00F4654E" w:rsidRDefault="00F4654E">
      <w:pPr>
        <w:pStyle w:val="2"/>
      </w:pPr>
      <w:r>
        <w:t>Шабунин С.В., Жаркой Б.Л.*</w:t>
      </w:r>
    </w:p>
    <w:p w:rsidR="00F4654E" w:rsidRDefault="00F4654E">
      <w:pPr>
        <w:pStyle w:val="a5"/>
      </w:pPr>
      <w:r>
        <w:t xml:space="preserve">Всероссийский НИВИ патологии, фармакологии и терапии </w:t>
      </w:r>
      <w:r>
        <w:br/>
        <w:t>ООО «Ветеринарный диагностический центр», г. Воронеж</w:t>
      </w:r>
    </w:p>
    <w:p w:rsidR="00F4654E" w:rsidRDefault="00F4654E">
      <w:pPr>
        <w:pStyle w:val="a6"/>
      </w:pPr>
      <w:r w:rsidRPr="00D75866">
        <w:rPr>
          <w:spacing w:val="-4"/>
        </w:rPr>
        <w:t>Левоэритроциклин нео – комплексный антимикробный препарат пр</w:t>
      </w:r>
      <w:r w:rsidRPr="00D75866">
        <w:rPr>
          <w:spacing w:val="-4"/>
        </w:rPr>
        <w:t>о</w:t>
      </w:r>
      <w:r w:rsidRPr="00D75866">
        <w:rPr>
          <w:spacing w:val="-4"/>
        </w:rPr>
        <w:t>лонгированного действия, содержащий в своем составе левомицетин, эри</w:t>
      </w:r>
      <w:r w:rsidRPr="00D75866">
        <w:rPr>
          <w:spacing w:val="-4"/>
        </w:rPr>
        <w:t>т</w:t>
      </w:r>
      <w:r w:rsidRPr="00D75866">
        <w:rPr>
          <w:spacing w:val="-4"/>
        </w:rPr>
        <w:lastRenderedPageBreak/>
        <w:t>ромицин и окситетрациклин. Клиническими испытаниями и данными лаб</w:t>
      </w:r>
      <w:r w:rsidRPr="00D75866">
        <w:rPr>
          <w:spacing w:val="-4"/>
        </w:rPr>
        <w:t>о</w:t>
      </w:r>
      <w:r w:rsidRPr="00D75866">
        <w:rPr>
          <w:spacing w:val="-4"/>
        </w:rPr>
        <w:t>раторных исследований показана выраженная антимикробная активность препарата по отношению к микробам-возбудителям желудочно-кишечных заболеваний молодняка крупного рогатого скота и свиней. У</w:t>
      </w:r>
      <w:r w:rsidRPr="00D75866">
        <w:rPr>
          <w:spacing w:val="-4"/>
        </w:rPr>
        <w:t>с</w:t>
      </w:r>
      <w:r w:rsidRPr="00D75866">
        <w:rPr>
          <w:spacing w:val="-4"/>
        </w:rPr>
        <w:t xml:space="preserve">тановлено, что применение левоэритроциклина нео сокращает сроки выздоровления при сальмонеллезе, колибактериозе и дизентерии, снижает  падеж. </w:t>
      </w:r>
      <w:r w:rsidR="00E05280">
        <w:rPr>
          <w:spacing w:val="-4"/>
        </w:rPr>
        <w:t xml:space="preserve"> </w:t>
      </w:r>
      <w:r>
        <w:t>Многоко</w:t>
      </w:r>
      <w:r>
        <w:t>м</w:t>
      </w:r>
      <w:r>
        <w:t>понентный состав препарата, наличие антибиотиков обуславливает изуч</w:t>
      </w:r>
      <w:r>
        <w:t>е</w:t>
      </w:r>
      <w:r>
        <w:t>ние общетоксических и сенсибилизирующих свойств препарата левоэри</w:t>
      </w:r>
      <w:r>
        <w:t>т</w:t>
      </w:r>
      <w:r>
        <w:t>роциклин нео.</w:t>
      </w:r>
    </w:p>
    <w:p w:rsidR="00F4654E" w:rsidRDefault="00F4654E">
      <w:pPr>
        <w:pStyle w:val="a6"/>
      </w:pPr>
      <w:r>
        <w:t>Изучение острой токсичности левоэритроциклина нео при однокра</w:t>
      </w:r>
      <w:r>
        <w:t>т</w:t>
      </w:r>
      <w:r>
        <w:t>ном внутрибрюшинном введении проводили на 72 беспородных белых мышах массой тела 20,0-22,0 г., подобранных по принципу парных анал</w:t>
      </w:r>
      <w:r>
        <w:t>о</w:t>
      </w:r>
      <w:r>
        <w:t>гов. Было сформировано по девять групп животных таким образом, чтобы в одной группе было по 4 самца и по 4 самки.  Токсикометрическую оце</w:t>
      </w:r>
      <w:r>
        <w:t>н</w:t>
      </w:r>
      <w:r>
        <w:t>ку левоэритроциклина нео проводили оценивая токсический эффект при дозах препарата 2,0; 3,0; 4,0; 5,0; 6,0; 7,0; 8,0 и 9,0 мл/кг массы тела. Лев</w:t>
      </w:r>
      <w:r>
        <w:t>о</w:t>
      </w:r>
      <w:r>
        <w:t>эритроциклин нео вводили внутрибрюшинно в объеме  1,0 мл. За живо</w:t>
      </w:r>
      <w:r>
        <w:t>т</w:t>
      </w:r>
      <w:r>
        <w:t>ными опытных групп проводили ежедневное клиническое наблюдение в течение 14 дней.</w:t>
      </w:r>
      <w:r w:rsidR="00D75866">
        <w:t xml:space="preserve"> </w:t>
      </w:r>
      <w:r>
        <w:t xml:space="preserve">Дозу  </w:t>
      </w:r>
      <w:r>
        <w:rPr>
          <w:lang w:val="en-US"/>
        </w:rPr>
        <w:t>LD</w:t>
      </w:r>
      <w:r>
        <w:rPr>
          <w:vertAlign w:val="subscript"/>
        </w:rPr>
        <w:t>50</w:t>
      </w:r>
      <w:r>
        <w:t xml:space="preserve">  определяли способом Спирмена-Кербера (Л</w:t>
      </w:r>
      <w:r>
        <w:t>а</w:t>
      </w:r>
      <w:r>
        <w:t xml:space="preserve">кин Г.Ф., 1990), величины </w:t>
      </w:r>
      <w:r>
        <w:rPr>
          <w:lang w:val="en-US"/>
        </w:rPr>
        <w:t>LD</w:t>
      </w:r>
      <w:r>
        <w:rPr>
          <w:vertAlign w:val="subscript"/>
        </w:rPr>
        <w:t>16</w:t>
      </w:r>
      <w:r>
        <w:t xml:space="preserve"> и </w:t>
      </w:r>
      <w:r>
        <w:rPr>
          <w:lang w:val="en-US"/>
        </w:rPr>
        <w:t>LD</w:t>
      </w:r>
      <w:r>
        <w:rPr>
          <w:vertAlign w:val="subscript"/>
        </w:rPr>
        <w:t>84</w:t>
      </w:r>
      <w:r>
        <w:t xml:space="preserve"> находили графически на основании пробитов и доз в мл/кг массы тела животных, показатель ошибки средней дозы э</w:t>
      </w:r>
      <w:r>
        <w:t>ф</w:t>
      </w:r>
      <w:r>
        <w:t xml:space="preserve">фекта - </w:t>
      </w:r>
      <w:r>
        <w:rPr>
          <w:lang w:val="en-US"/>
        </w:rPr>
        <w:t>SLD</w:t>
      </w:r>
      <w:r>
        <w:rPr>
          <w:vertAlign w:val="subscript"/>
        </w:rPr>
        <w:t>50</w:t>
      </w:r>
      <w:r>
        <w:t xml:space="preserve"> - аналитически и графически.</w:t>
      </w:r>
    </w:p>
    <w:p w:rsidR="00F4654E" w:rsidRDefault="00F4654E">
      <w:pPr>
        <w:pStyle w:val="a6"/>
      </w:pPr>
      <w:r>
        <w:t>На основании результатов первичных токсикометрических исследов</w:t>
      </w:r>
      <w:r>
        <w:t>а</w:t>
      </w:r>
      <w:r>
        <w:t xml:space="preserve">ний </w:t>
      </w:r>
      <w:r>
        <w:rPr>
          <w:lang w:val="en-US"/>
        </w:rPr>
        <w:t>LD</w:t>
      </w:r>
      <w:r>
        <w:rPr>
          <w:vertAlign w:val="subscript"/>
        </w:rPr>
        <w:t>50</w:t>
      </w:r>
      <w:r>
        <w:t xml:space="preserve"> левоэритроциклина нео для белых мышей составляет 5,21 мл/кг. Опыт по проведению подострой токсичности показал слабовыраженную кумуляцию препарата (коэффициент кумуляции равен 6,00)</w:t>
      </w:r>
    </w:p>
    <w:p w:rsidR="00F4654E" w:rsidRDefault="00F4654E">
      <w:pPr>
        <w:pStyle w:val="a6"/>
      </w:pPr>
      <w:r>
        <w:t>Исследованием эмбритоксического и тератогенного действия лев</w:t>
      </w:r>
      <w:r>
        <w:t>о</w:t>
      </w:r>
      <w:r>
        <w:t>эритроциклина нео на белых крысах, массой 180-220 г.установлено, что в дозе 0,6 мл/кг массы тела препарат не оказывает эмбриотоксического и т</w:t>
      </w:r>
      <w:r>
        <w:t>е</w:t>
      </w:r>
      <w:r>
        <w:t>ратогенного действия.</w:t>
      </w:r>
    </w:p>
    <w:p w:rsidR="00F4654E" w:rsidRDefault="00F4654E">
      <w:pPr>
        <w:pStyle w:val="a6"/>
      </w:pPr>
      <w:r>
        <w:t>Опыты по изучению раздражающего действия на кожу тела провед</w:t>
      </w:r>
      <w:r>
        <w:t>е</w:t>
      </w:r>
      <w:r>
        <w:t>ны кроликах с массой тела 2,2-2,4 кг. Количество животных в группах опытных и контрольных составляло по 6 особей разных полов. Исследу</w:t>
      </w:r>
      <w:r>
        <w:t>е</w:t>
      </w:r>
      <w:r>
        <w:t>мый препарат наносили в чистом виде. Площадь нанесения составляла 80-82 см</w:t>
      </w:r>
      <w:r>
        <w:rPr>
          <w:vertAlign w:val="superscript"/>
        </w:rPr>
        <w:t>2</w:t>
      </w:r>
      <w:r>
        <w:t xml:space="preserve">  (5% от общей поверхности тела животных). За два дня до экспер</w:t>
      </w:r>
      <w:r>
        <w:t>и</w:t>
      </w:r>
      <w:r>
        <w:t>мента тщательно выстригали шерсть на спине, избегая механических п</w:t>
      </w:r>
      <w:r>
        <w:t>о</w:t>
      </w:r>
      <w:r>
        <w:t>вреждений кожных покровов. Препарат равномерно распределяли по п</w:t>
      </w:r>
      <w:r>
        <w:t>о</w:t>
      </w:r>
      <w:r>
        <w:t>верхности участка в дозах от 20 до 100 мг/см</w:t>
      </w:r>
      <w:r>
        <w:rPr>
          <w:vertAlign w:val="superscript"/>
        </w:rPr>
        <w:t>2</w:t>
      </w:r>
      <w:r>
        <w:t xml:space="preserve"> (соответственно 0,02-0,10 мл/см</w:t>
      </w:r>
      <w:r>
        <w:rPr>
          <w:vertAlign w:val="superscript"/>
        </w:rPr>
        <w:t>2</w:t>
      </w:r>
      <w:r>
        <w:t>). Экспозиция составляла 4 часа, после чего кожу аккуратно прот</w:t>
      </w:r>
      <w:r>
        <w:t>и</w:t>
      </w:r>
      <w:r>
        <w:t>рали ватным тампоном, смоченным дистиллированной водой. Реакцию кожи на воздействие препарата оценивали через 1 и 16 часов после одн</w:t>
      </w:r>
      <w:r>
        <w:t>о</w:t>
      </w:r>
      <w:r>
        <w:t>кратного нанесения.</w:t>
      </w:r>
    </w:p>
    <w:p w:rsidR="00F4654E" w:rsidRDefault="00F4654E">
      <w:pPr>
        <w:pStyle w:val="a6"/>
      </w:pPr>
      <w:r>
        <w:lastRenderedPageBreak/>
        <w:t>Согласно полученным данным, при однократной аппликации на ко</w:t>
      </w:r>
      <w:r>
        <w:t>ж</w:t>
      </w:r>
      <w:r>
        <w:t>ные покровы кроликам при плотности нанесения от 0,020 до 0,10 мл/см</w:t>
      </w:r>
      <w:r>
        <w:rPr>
          <w:vertAlign w:val="superscript"/>
        </w:rPr>
        <w:t>2</w:t>
      </w:r>
      <w:r>
        <w:t xml:space="preserve"> (соответственно от 20 до 100 мг/см</w:t>
      </w:r>
      <w:r>
        <w:rPr>
          <w:vertAlign w:val="superscript"/>
        </w:rPr>
        <w:t>2</w:t>
      </w:r>
      <w:r>
        <w:t xml:space="preserve">), левоэритроциклин нео не вызывает повреждение кожи в виде эритемы или отеков. </w:t>
      </w:r>
    </w:p>
    <w:p w:rsidR="00F4654E" w:rsidRDefault="00F4654E">
      <w:pPr>
        <w:pStyle w:val="a6"/>
      </w:pPr>
      <w:r>
        <w:t xml:space="preserve">Оценка кожно-резорбтивного действия левоэритроциклина нео на 40 белых мышах с массой тела 20 </w:t>
      </w:r>
      <w:r>
        <w:sym w:font="Symbol" w:char="F0B1"/>
      </w:r>
      <w:r>
        <w:t xml:space="preserve"> 2 г проведена с использованием «проб</w:t>
      </w:r>
      <w:r>
        <w:t>и</w:t>
      </w:r>
      <w:r>
        <w:t>рочного метода». При этом использовали неразбавленный препарат. Время экспозиции 2 часа в сутки в течение 14 суток. Учет реакции проводили по гибели животных, по изменению массы и температуры тела, состава пер</w:t>
      </w:r>
      <w:r>
        <w:t>и</w:t>
      </w:r>
      <w:r>
        <w:t>ферической крови, общему состоянию и внешнему виду животных. Пол</w:t>
      </w:r>
      <w:r>
        <w:t>у</w:t>
      </w:r>
      <w:r>
        <w:t>ченные данные свидетельствуют, что препарат не обладает кожно-резорбтивным эффектом. При оценке кожно-резорбтивного действия лев</w:t>
      </w:r>
      <w:r>
        <w:t>о</w:t>
      </w:r>
      <w:r>
        <w:t>эритроциклина нео в опытах на 40 белых крысах с массой тела 210</w:t>
      </w:r>
      <w:r>
        <w:sym w:font="Symbol" w:char="F0B1"/>
      </w:r>
      <w:r>
        <w:t>10 г препарат наносили на предварительно подготовленные участки кожи при плотности нанесения 50-60 мг/см</w:t>
      </w:r>
      <w:r>
        <w:rPr>
          <w:vertAlign w:val="superscript"/>
        </w:rPr>
        <w:t>2</w:t>
      </w:r>
      <w:r>
        <w:t xml:space="preserve"> и экспозиции 2 часа. Продолжител</w:t>
      </w:r>
      <w:r>
        <w:t>ь</w:t>
      </w:r>
      <w:r>
        <w:t>ность опыта – 20 суток, кратность нанесения - 6 раз в неделю. Критериями кожно-резорбтивного действия препарата служили выживаемость живо</w:t>
      </w:r>
      <w:r>
        <w:t>т</w:t>
      </w:r>
      <w:r>
        <w:t xml:space="preserve">ных, изменения их массы и температуры, состав периферической крови, внешний вид, поведение, изменения со стороны кожных </w:t>
      </w:r>
    </w:p>
    <w:p w:rsidR="00F4654E" w:rsidRDefault="00F4654E">
      <w:pPr>
        <w:pStyle w:val="a6"/>
      </w:pPr>
      <w:r>
        <w:t>В опытах установлено, что 20-кратная аппликация левоэритроци</w:t>
      </w:r>
      <w:r>
        <w:t>к</w:t>
      </w:r>
      <w:r>
        <w:t>лина нео на кожные  покровы крыс не вызывает гибели животных, не н</w:t>
      </w:r>
      <w:r>
        <w:t>а</w:t>
      </w:r>
      <w:r>
        <w:t>рушает целостности кожи на месте нанесения, не нарушает функционирования о</w:t>
      </w:r>
      <w:r>
        <w:t>р</w:t>
      </w:r>
      <w:r>
        <w:t>ганизма животных.</w:t>
      </w:r>
    </w:p>
    <w:p w:rsidR="00F4654E" w:rsidRDefault="00F4654E">
      <w:pPr>
        <w:pStyle w:val="a6"/>
      </w:pPr>
      <w:r>
        <w:t>Опыты по изучению аллергенных свойств левоэритроциклина нео проведены на белых беспородных крысах массой 200-220 г. В опытах были использованы животные обоего пола. Число животных в каждой опытной группе было равным и составляло 8 особей.</w:t>
      </w:r>
    </w:p>
    <w:p w:rsidR="00F4654E" w:rsidRDefault="00F4654E">
      <w:pPr>
        <w:pStyle w:val="a6"/>
      </w:pPr>
      <w:r>
        <w:t>Животным опытных групп на выстриженные участки кожи боковой поверхности, ближе к середине туловища, наносили по 0,5 мл левоэритр</w:t>
      </w:r>
      <w:r>
        <w:t>о</w:t>
      </w:r>
      <w:r>
        <w:t>циклина нео на площадь 5 см</w:t>
      </w:r>
      <w:r>
        <w:rPr>
          <w:vertAlign w:val="superscript"/>
        </w:rPr>
        <w:t>2</w:t>
      </w:r>
      <w:r>
        <w:t>, то есть плотность нанесения препарата с</w:t>
      </w:r>
      <w:r>
        <w:t>о</w:t>
      </w:r>
      <w:r>
        <w:t>ставляла 0,1 мл /см</w:t>
      </w:r>
      <w:r>
        <w:rPr>
          <w:vertAlign w:val="superscript"/>
        </w:rPr>
        <w:t>2</w:t>
      </w:r>
      <w:r>
        <w:t>. Вещество наносили на протяжении трех недель по 6 раз в неделю. Первое тестирование путем нанесения левоэритроциклина нео в дозе в 5 раз превышающую сенсибилизирующую проводили после 10 аппликаций, затем – через 14 и 20 суток от начала аппликации реакцию кожи учитывали по шкале оценки проб. Животным контрольной группы применяли только разрешающие дозы.</w:t>
      </w:r>
      <w:r w:rsidR="00E05280">
        <w:t xml:space="preserve"> </w:t>
      </w:r>
      <w:r>
        <w:t>В эксп</w:t>
      </w:r>
      <w:r w:rsidR="00E05280">
        <w:t>ерименте установлено, что 20-</w:t>
      </w:r>
      <w:r>
        <w:t>кратная аппликация препарата не вызывает явлений сенсибилизации.</w:t>
      </w:r>
    </w:p>
    <w:p w:rsidR="00F4654E" w:rsidRDefault="00F4654E">
      <w:pPr>
        <w:pStyle w:val="a6"/>
      </w:pPr>
      <w:r>
        <w:t>Таким образом, препарат левоэритроциклин нео является малото</w:t>
      </w:r>
      <w:r>
        <w:t>к</w:t>
      </w:r>
      <w:r>
        <w:t>сичным препаратом (3 класс токсичности), обладает слабовыраженными кумулирующими свойствами, не оказывает эмбриотоксического, терат</w:t>
      </w:r>
      <w:r>
        <w:t>о</w:t>
      </w:r>
      <w:r>
        <w:t>генного и сенсибилизирующего действия.</w:t>
      </w:r>
    </w:p>
    <w:p w:rsidR="00E05280" w:rsidRDefault="00E05280">
      <w:pPr>
        <w:pStyle w:val="a4"/>
      </w:pPr>
    </w:p>
    <w:p w:rsidR="00F4654E" w:rsidRDefault="00F4654E">
      <w:pPr>
        <w:pStyle w:val="a4"/>
      </w:pPr>
      <w:r>
        <w:lastRenderedPageBreak/>
        <w:t>УДК 619:616-099:615.91</w:t>
      </w:r>
    </w:p>
    <w:p w:rsidR="00F4654E" w:rsidRDefault="00F4654E">
      <w:pPr>
        <w:pStyle w:val="1"/>
      </w:pPr>
      <w:r>
        <w:t>ИЗУЧЕНИЕ ОБЩЕТОКСИЧЕСКОГО И РАЗДРАЖАЮЩЕГО ДЕЙСТВИЯ ПРОТИВОМАСТИТНОГО ПРЕПАРАТА ЭРОКСИМАСТ</w:t>
      </w:r>
    </w:p>
    <w:p w:rsidR="00F4654E" w:rsidRDefault="00F4654E">
      <w:pPr>
        <w:pStyle w:val="2"/>
      </w:pPr>
      <w:r>
        <w:t>Шабунин С.В. ,Епифанова Е.Э.*</w:t>
      </w:r>
    </w:p>
    <w:p w:rsidR="00F4654E" w:rsidRDefault="00F4654E">
      <w:pPr>
        <w:pStyle w:val="a5"/>
      </w:pPr>
      <w:r>
        <w:t xml:space="preserve">Всероссийский НИВИ патологии, фармакологии и терапии </w:t>
      </w:r>
      <w:r>
        <w:br/>
        <w:t>ООО «Ветеринарный диагностический центр», г. Воронеж</w:t>
      </w:r>
    </w:p>
    <w:p w:rsidR="00F4654E" w:rsidRDefault="00F4654E">
      <w:pPr>
        <w:pStyle w:val="a6"/>
      </w:pPr>
      <w:r>
        <w:t>Эроксимаст - противомаститный препарат, содержащий в своем с</w:t>
      </w:r>
      <w:r>
        <w:t>о</w:t>
      </w:r>
      <w:r>
        <w:t>ставе в качестве антимикробных веществ эритромицин и окситетрациклин. Препарат обладает широким спектром антимикробной активности в отн</w:t>
      </w:r>
      <w:r>
        <w:t>о</w:t>
      </w:r>
      <w:r>
        <w:t>шении грамположительной  и грамотрицательной микрофлоры. Эрокс</w:t>
      </w:r>
      <w:r>
        <w:t>и</w:t>
      </w:r>
      <w:r>
        <w:t>маст при введении интрацистернально подавляет рост и развитие стафил</w:t>
      </w:r>
      <w:r>
        <w:t>о</w:t>
      </w:r>
      <w:r>
        <w:t xml:space="preserve">кокков, стрептококков и других микроорганизмов, вызывающих маститы у коров. </w:t>
      </w:r>
    </w:p>
    <w:p w:rsidR="00F4654E" w:rsidRDefault="00F4654E">
      <w:pPr>
        <w:pStyle w:val="a6"/>
      </w:pPr>
      <w:r>
        <w:t>Наличие в составе препарата антибиотиков, потенциально облада</w:t>
      </w:r>
      <w:r>
        <w:t>ю</w:t>
      </w:r>
      <w:r>
        <w:t>щих негативными побочными эффектами, обуславливает изучение общ</w:t>
      </w:r>
      <w:r>
        <w:t>е</w:t>
      </w:r>
      <w:r>
        <w:t>токсического и раздражающего действия эроксимаста.</w:t>
      </w:r>
    </w:p>
    <w:p w:rsidR="00F4654E" w:rsidRDefault="00F4654E">
      <w:pPr>
        <w:pStyle w:val="a6"/>
      </w:pPr>
      <w:r>
        <w:t>Исследование по изучению токсичности эроксимаста при однокра</w:t>
      </w:r>
      <w:r>
        <w:t>т</w:t>
      </w:r>
      <w:r>
        <w:t>ном подкожном введении препарата проводили на двух видах лаборато</w:t>
      </w:r>
      <w:r>
        <w:t>р</w:t>
      </w:r>
      <w:r>
        <w:t>ных животных: белых крысах и белых мышах.</w:t>
      </w:r>
    </w:p>
    <w:p w:rsidR="00F4654E" w:rsidRDefault="00F4654E">
      <w:pPr>
        <w:pStyle w:val="a6"/>
      </w:pPr>
      <w:r>
        <w:tab/>
        <w:t>При испытании токсических доз препарата изучались симптомоко</w:t>
      </w:r>
      <w:r>
        <w:t>м</w:t>
      </w:r>
      <w:r>
        <w:t>плекс острого экспериментального отравления эроксимастом и патолого-анатомические изменения в органах и тканях животных. Опыты выполн</w:t>
      </w:r>
      <w:r>
        <w:t>я</w:t>
      </w:r>
      <w:r>
        <w:t>ли в двух повторностях для каждого вида животных. В основу подбора доз и определения параметров токсичности эроксимаста положен принцип н</w:t>
      </w:r>
      <w:r>
        <w:t>а</w:t>
      </w:r>
      <w:r>
        <w:t>хождения скользящих величин, вызывающих необходимый эффект: поя</w:t>
      </w:r>
      <w:r>
        <w:t>в</w:t>
      </w:r>
      <w:r>
        <w:t>ление симптомов токсикоза или гибели особей в группах. На первом этапе исп</w:t>
      </w:r>
      <w:r>
        <w:t>ы</w:t>
      </w:r>
      <w:r>
        <w:t>таний определяли  минимальную и абсолютно смертельную дозы. На втором этапе токсические дозы испытывали с интервалами в возраста</w:t>
      </w:r>
      <w:r>
        <w:t>ю</w:t>
      </w:r>
      <w:r>
        <w:t xml:space="preserve">щем по силе действия порядке, начиная от минимальной дозы и доводили величину до 100 %-ной гибели особей. Учитывая, что о силе действия на организм лабораторных животных препарата можно судить по среднему результату, среднюю дозу эффекта - </w:t>
      </w:r>
      <w:r>
        <w:rPr>
          <w:lang w:val="en-US"/>
        </w:rPr>
        <w:t>LD</w:t>
      </w:r>
      <w:r>
        <w:rPr>
          <w:vertAlign w:val="subscript"/>
        </w:rPr>
        <w:t>50</w:t>
      </w:r>
      <w:r>
        <w:t xml:space="preserve"> - определяли аналитическим способом Спирмена-Кербера (Лакин Г.Ф., 1990), величины </w:t>
      </w:r>
      <w:r>
        <w:rPr>
          <w:lang w:val="en-US"/>
        </w:rPr>
        <w:t>LD</w:t>
      </w:r>
      <w:r>
        <w:rPr>
          <w:vertAlign w:val="subscript"/>
        </w:rPr>
        <w:t>16</w:t>
      </w:r>
      <w:r>
        <w:t xml:space="preserve"> и </w:t>
      </w:r>
      <w:r>
        <w:rPr>
          <w:lang w:val="en-US"/>
        </w:rPr>
        <w:t>LD</w:t>
      </w:r>
      <w:r>
        <w:rPr>
          <w:vertAlign w:val="subscript"/>
        </w:rPr>
        <w:t>84</w:t>
      </w:r>
      <w:r>
        <w:t xml:space="preserve"> н</w:t>
      </w:r>
      <w:r>
        <w:t>а</w:t>
      </w:r>
      <w:r>
        <w:t>ходили графически на основании пробитов и доз в мг/кг массы тела ж</w:t>
      </w:r>
      <w:r>
        <w:t>и</w:t>
      </w:r>
      <w:r>
        <w:t xml:space="preserve">вотных, показатель ошибки средней дозы эффекта - </w:t>
      </w:r>
      <w:r>
        <w:rPr>
          <w:lang w:val="en-US"/>
        </w:rPr>
        <w:t>SLD</w:t>
      </w:r>
      <w:r>
        <w:rPr>
          <w:vertAlign w:val="subscript"/>
        </w:rPr>
        <w:t>50</w:t>
      </w:r>
      <w:r>
        <w:t xml:space="preserve"> - аналитически и графически. Для проведения экспериментов использовались белые мыши и белые крысы обоего пола с массой тела у мышей  - 19-23 г., у крыс - 180-200 г. Перед началом опытов животных выдерживали на карантине в теч</w:t>
      </w:r>
      <w:r>
        <w:t>е</w:t>
      </w:r>
      <w:r>
        <w:t>ние 14 дней, а перед введением препарата не кормили в течение 8 часов.</w:t>
      </w:r>
    </w:p>
    <w:p w:rsidR="00F4654E" w:rsidRDefault="00F4654E">
      <w:pPr>
        <w:pStyle w:val="a6"/>
      </w:pPr>
      <w:r>
        <w:tab/>
        <w:t>При проведении опытов по изучению острой токсичности эроксим</w:t>
      </w:r>
      <w:r>
        <w:t>а</w:t>
      </w:r>
      <w:r>
        <w:t>ста при однократном подкожном введении формировались опытные и ко</w:t>
      </w:r>
      <w:r>
        <w:t>н</w:t>
      </w:r>
      <w:r>
        <w:t>трольные группы животных по 6 особей в каждой группе. Препарат ввод</w:t>
      </w:r>
      <w:r>
        <w:t>и</w:t>
      </w:r>
      <w:r>
        <w:lastRenderedPageBreak/>
        <w:t>ли животным опытных групп в  следующих объемах: для белых мышей подкожно - 1,0 мл; для белых крыс подкожно - 10,0 мл. Объем препарата доводили до необходимого смесью воска и вазелинового масла в соотн</w:t>
      </w:r>
      <w:r>
        <w:t>о</w:t>
      </w:r>
      <w:r>
        <w:t>шении 1:19. Животным контрольных групп вводили смесь воска и вазел</w:t>
      </w:r>
      <w:r>
        <w:t>и</w:t>
      </w:r>
      <w:r>
        <w:t>нового масла  в соотношении 1:19. За животными опытных и контрольных групп проводили ежедневное клиническое наблюдение в течение 14 дней, учитывая внешний вид, поведение, поедаемость корма и прием воды, ри</w:t>
      </w:r>
      <w:r>
        <w:t>т</w:t>
      </w:r>
      <w:r>
        <w:t>ма и частоты сердцебиения, количества дыхательных движений и глубины дыхания. Особое внимание уделяли развитию признаков токсикоза, оцен</w:t>
      </w:r>
      <w:r>
        <w:t>и</w:t>
      </w:r>
      <w:r>
        <w:t>вали их тяжесть, продолжительность, время выздоровления или гибели животных. При изучении острой токсичности эроксимаста при однокра</w:t>
      </w:r>
      <w:r>
        <w:t>т</w:t>
      </w:r>
      <w:r>
        <w:t>ном подкожном введении были сформированы  по восемь опытных групп белых мышей и белых крыс и по одной контрольной группе (по 6 живо</w:t>
      </w:r>
      <w:r>
        <w:t>т</w:t>
      </w:r>
      <w:r>
        <w:t xml:space="preserve">ных в каждой). Животным опытных групп вводили эроксимаст в дозах 5,0; 6,0; 7,0; 8,0; 9,0; 10,0; 11,0 и 12,0 мл/кг  массы тела, что соответствовало 200; 240; 280; 320; 360; 400; 440 и 480 мг/кг массы тела по АДВ. Перед введением препарат подогревали до 36 </w:t>
      </w:r>
      <w:r>
        <w:rPr>
          <w:vertAlign w:val="superscript"/>
        </w:rPr>
        <w:t>0</w:t>
      </w:r>
      <w:r>
        <w:t>С.</w:t>
      </w:r>
    </w:p>
    <w:p w:rsidR="00F4654E" w:rsidRDefault="00F4654E">
      <w:pPr>
        <w:pStyle w:val="a6"/>
      </w:pPr>
      <w:r>
        <w:tab/>
        <w:t>Результаты первичных токсикометрических исследований показ</w:t>
      </w:r>
      <w:r>
        <w:t>ы</w:t>
      </w:r>
      <w:r>
        <w:t xml:space="preserve">вают, что </w:t>
      </w:r>
      <w:r>
        <w:rPr>
          <w:lang w:val="en-US"/>
        </w:rPr>
        <w:t>LD</w:t>
      </w:r>
      <w:r>
        <w:rPr>
          <w:vertAlign w:val="subscript"/>
        </w:rPr>
        <w:t>50</w:t>
      </w:r>
      <w:r>
        <w:t xml:space="preserve"> эроксимаста при подкожном введении белым мышам и б</w:t>
      </w:r>
      <w:r>
        <w:t>е</w:t>
      </w:r>
      <w:r>
        <w:t>лым крысам составляет, соответственно, 8,97 и 8,80 мл/кг массы тела</w:t>
      </w:r>
    </w:p>
    <w:p w:rsidR="00F4654E" w:rsidRDefault="00F4654E">
      <w:pPr>
        <w:pStyle w:val="a6"/>
      </w:pPr>
      <w:r>
        <w:t>Клинические симптомы острого отравления белых мышей и белых крыс сопровождались непродолжительным периодом возбуждения с ус</w:t>
      </w:r>
      <w:r>
        <w:t>и</w:t>
      </w:r>
      <w:r>
        <w:t>лением двигательной активности у большинства особей и выраженной а</w:t>
      </w:r>
      <w:r>
        <w:t>г</w:t>
      </w:r>
      <w:r>
        <w:t>рессивности. За непродолжительным периодом возбуждения развивалось резко выраженное угнетение, переходящее затем в кому. Животные не ре</w:t>
      </w:r>
      <w:r>
        <w:t>а</w:t>
      </w:r>
      <w:r>
        <w:t>гировали на световой и тактильный раздражители. К моменту гибели ж</w:t>
      </w:r>
      <w:r>
        <w:t>и</w:t>
      </w:r>
      <w:r>
        <w:t>вотных отмечалось учащенное дыхание и сердцебиение. Дыхание часто становилось поверхностным прерывистым. Развивался цианоз слизистых оболочек. Патологоанатомические изменения острого отравления лабор</w:t>
      </w:r>
      <w:r>
        <w:t>а</w:t>
      </w:r>
      <w:r>
        <w:t>торных животных (крыс и мышей) характеризовались гемодинамическими расстройствами, повсеместным застоем венозной крови в подкожной кле</w:t>
      </w:r>
      <w:r>
        <w:t>т</w:t>
      </w:r>
      <w:r>
        <w:t>чатке и внутренних органах. Желудок при вскрытии пуст, слизистая гип</w:t>
      </w:r>
      <w:r>
        <w:t>е</w:t>
      </w:r>
      <w:r>
        <w:t>ремирована, в подслизистой дна его мелкоточечные едва заметные кров</w:t>
      </w:r>
      <w:r>
        <w:t>о</w:t>
      </w:r>
      <w:r>
        <w:t>излияния. Слизистая оболочка тонкого отдела кишечника гиперемирована, с наличием в ней мелкоточечных кровоизлияний. В просвете тонкого о</w:t>
      </w:r>
      <w:r>
        <w:t>т</w:t>
      </w:r>
      <w:r>
        <w:t>дела кишечника у отдельных крыс и мышей отмечается скопление знач</w:t>
      </w:r>
      <w:r>
        <w:t>и</w:t>
      </w:r>
      <w:r>
        <w:t>тельного количества слизи. Печень, почки полнокровны, незначительно увеличены, окраска неравномерная с фиолетовым оттенком. У большинс</w:t>
      </w:r>
      <w:r>
        <w:t>т</w:t>
      </w:r>
      <w:r>
        <w:t>ва трупов легкие гиперемированы с наличием отечной жидкости. Сердце растянуто, предсердия заполнены темно-вишневого цвета кровью. Под эпикардом, особенно в области ушек множественные кровоизлияния.</w:t>
      </w:r>
    </w:p>
    <w:p w:rsidR="00F4654E" w:rsidRDefault="00F4654E">
      <w:pPr>
        <w:pStyle w:val="a6"/>
      </w:pPr>
      <w:r>
        <w:tab/>
        <w:t>С целью установления раздражающего влияния препарата на глаз кролика были проведены опыты на двух животных массой 2,4-2,5 кг пор</w:t>
      </w:r>
      <w:r>
        <w:t>о</w:t>
      </w:r>
      <w:r>
        <w:lastRenderedPageBreak/>
        <w:t xml:space="preserve">ды белый великан. В конъюктивальный мешок левого глаза закапывали пипеткой по 2 капли подогретого до 40 </w:t>
      </w:r>
      <w:r>
        <w:rPr>
          <w:vertAlign w:val="superscript"/>
        </w:rPr>
        <w:t>0</w:t>
      </w:r>
      <w:r>
        <w:t xml:space="preserve"> С препарата. Правый глаз у обоих кроликов служил контролем, на него препарат не наносили. Через 0,5; 1; 2; 3; 4; 5 и 6 часов после инстилляции препарата учитывали клиническое с</w:t>
      </w:r>
      <w:r>
        <w:t>о</w:t>
      </w:r>
      <w:r>
        <w:t>стояние организма животных (температуру тела, частоту пульса, количес</w:t>
      </w:r>
      <w:r>
        <w:t>т</w:t>
      </w:r>
      <w:r>
        <w:t>во дыхательных движений), а также изменение кровенаполнения конъю</w:t>
      </w:r>
      <w:r>
        <w:t>к</w:t>
      </w:r>
      <w:r>
        <w:t>тивы, наличие лакримации и выделений, состояние роговицы и век. Уст</w:t>
      </w:r>
      <w:r>
        <w:t>а</w:t>
      </w:r>
      <w:r>
        <w:t>новлено, что препарат эроксимаст вызывает слабое раздражение конъю</w:t>
      </w:r>
      <w:r>
        <w:t>к</w:t>
      </w:r>
      <w:r>
        <w:t xml:space="preserve">тивы спустя 2-3 часа после закапывания, которое проходит уже к 4 часу. </w:t>
      </w:r>
    </w:p>
    <w:p w:rsidR="00F4654E" w:rsidRDefault="00F4654E">
      <w:pPr>
        <w:pStyle w:val="a6"/>
      </w:pPr>
      <w:r>
        <w:t>Таким образом установлено, что эроксимаст относится к  малотокси</w:t>
      </w:r>
      <w:r>
        <w:t>ч</w:t>
      </w:r>
      <w:r>
        <w:t>ным веществам (1</w:t>
      </w:r>
      <w:r>
        <w:rPr>
          <w:lang w:val="en-US"/>
        </w:rPr>
        <w:t>V</w:t>
      </w:r>
      <w:r>
        <w:t xml:space="preserve"> класс токсичнос</w:t>
      </w:r>
      <w:r>
        <w:softHyphen/>
        <w:t xml:space="preserve">ти).  </w:t>
      </w:r>
      <w:r>
        <w:rPr>
          <w:lang w:val="en-US"/>
        </w:rPr>
        <w:t>LD</w:t>
      </w:r>
      <w:r>
        <w:rPr>
          <w:vertAlign w:val="subscript"/>
        </w:rPr>
        <w:t>50</w:t>
      </w:r>
      <w:r>
        <w:t xml:space="preserve"> эроксимаста для белых м</w:t>
      </w:r>
      <w:r>
        <w:t>ы</w:t>
      </w:r>
      <w:r>
        <w:t>шей составляет 8,97 см</w:t>
      </w:r>
      <w:r>
        <w:rPr>
          <w:vertAlign w:val="superscript"/>
        </w:rPr>
        <w:t>3</w:t>
      </w:r>
      <w:r>
        <w:t>/кг (358,8 мг/кг по ДВ), для белых крыс 8,8 см</w:t>
      </w:r>
      <w:r>
        <w:rPr>
          <w:vertAlign w:val="superscript"/>
        </w:rPr>
        <w:t>3</w:t>
      </w:r>
      <w:r>
        <w:t>/кг (352,0 мг/кг по ДВ). Препарат обладает слабораздражающим действием.</w:t>
      </w:r>
    </w:p>
    <w:p w:rsidR="00F4654E" w:rsidRDefault="00F4654E">
      <w:pPr>
        <w:pStyle w:val="a4"/>
      </w:pPr>
      <w:r>
        <w:t>УДК 615.27:615.9</w:t>
      </w:r>
    </w:p>
    <w:p w:rsidR="00F4654E" w:rsidRDefault="00F4654E">
      <w:pPr>
        <w:pStyle w:val="1"/>
      </w:pPr>
      <w:r>
        <w:t>ВЛИЯНИЕ ТИМОГЕНА НА ИММУНОЛОГИЧЕСКУЮ РЕАКТИВНОСТЬ БЕЛЫХ МЫШЕЙ ПРИ СКАРМЛИВАНИИ ПРЕДЕЛЬНО ДОПУСТИМОЙ КОНЦЕНТРАЦИИ (ПДК) КАЛИЯ НИТРАТА</w:t>
      </w:r>
    </w:p>
    <w:p w:rsidR="00F4654E" w:rsidRDefault="00F4654E">
      <w:pPr>
        <w:pStyle w:val="2"/>
      </w:pPr>
      <w:r>
        <w:t>Артемов Б.Т., Куцеволова С.В.*</w:t>
      </w:r>
    </w:p>
    <w:p w:rsidR="00F4654E" w:rsidRDefault="00F4654E">
      <w:pPr>
        <w:pStyle w:val="a5"/>
      </w:pPr>
      <w:r>
        <w:t xml:space="preserve">Воронежский государственный аграрный университет им. К.Д. Глинки </w:t>
      </w:r>
      <w:r>
        <w:br/>
        <w:t>*Всероссийский НИВИ патологии, фармакологии и терапии</w:t>
      </w:r>
    </w:p>
    <w:p w:rsidR="00F4654E" w:rsidRDefault="00F4654E">
      <w:pPr>
        <w:pStyle w:val="a6"/>
      </w:pPr>
      <w:r>
        <w:t>В течение ряда лет, с целью наращивания производства продовольс</w:t>
      </w:r>
      <w:r>
        <w:t>т</w:t>
      </w:r>
      <w:r>
        <w:t>венных и кормовых культур, применялась широкомасштабная химизация земледелия, которая способствовала росту урожаев, повышению содерж</w:t>
      </w:r>
      <w:r>
        <w:t>а</w:t>
      </w:r>
      <w:r>
        <w:t>ния в кормах сырого протеина и, в конечном итоге, увеличению проду</w:t>
      </w:r>
      <w:r>
        <w:t>к</w:t>
      </w:r>
      <w:r>
        <w:t>тивности животных. Однако, зачастую ненормированное внесение в почву азотных удобрений имело комплекс негативных последствий, одним из к</w:t>
      </w:r>
      <w:r>
        <w:t>о</w:t>
      </w:r>
      <w:r>
        <w:t>торых явилось повышение накопления нитратов в продуктах растительн</w:t>
      </w:r>
      <w:r>
        <w:t>о</w:t>
      </w:r>
      <w:r>
        <w:t>го происхождения, используемых на корм скоту.</w:t>
      </w:r>
    </w:p>
    <w:p w:rsidR="00F4654E" w:rsidRDefault="00F4654E">
      <w:pPr>
        <w:pStyle w:val="a6"/>
      </w:pPr>
      <w:r>
        <w:t>Вопрос об изучении влияния нитратов на организм животных и чел</w:t>
      </w:r>
      <w:r>
        <w:t>о</w:t>
      </w:r>
      <w:r>
        <w:t>века стоит особо остро, так как установлено их многогранное отрицател</w:t>
      </w:r>
      <w:r>
        <w:t>ь</w:t>
      </w:r>
      <w:r>
        <w:t>ное влияние на живые биологические объекты. Известно, что нитраты и нитриты обладают токсическим, канцерогенным, мутагенным и эмбри</w:t>
      </w:r>
      <w:r>
        <w:t>о</w:t>
      </w:r>
      <w:r>
        <w:t>токсическим свойствами. Имеются сообщения об иммунодепрессивном воздействии нитратов и нитритов на животных и человека. В связи с этим, возникает ряд проблем по изысканию и применению веществ, стимул</w:t>
      </w:r>
      <w:r>
        <w:t>и</w:t>
      </w:r>
      <w:r>
        <w:t>рующих защитные функции сельскохозяйственных животных, изучению патологии, возникающей в результате депрессивного влияния таких пр</w:t>
      </w:r>
      <w:r>
        <w:t>е</w:t>
      </w:r>
      <w:r>
        <w:t>паратов на иммунологический статус.</w:t>
      </w:r>
    </w:p>
    <w:p w:rsidR="00F4654E" w:rsidRDefault="00F4654E">
      <w:pPr>
        <w:pStyle w:val="a6"/>
      </w:pPr>
      <w:r>
        <w:t>В последние годы изучается возможность стимуляции иммуногенеза с помощью разных иммуномодуляторов: нуклеината натрия, интерлейкинов, витаминов А, С, Е, В</w:t>
      </w:r>
      <w:r>
        <w:rPr>
          <w:vertAlign w:val="subscript"/>
        </w:rPr>
        <w:t>12</w:t>
      </w:r>
      <w:r>
        <w:t xml:space="preserve">, </w:t>
      </w:r>
      <w:r>
        <w:rPr>
          <w:lang w:val="en-US"/>
        </w:rPr>
        <w:t>U</w:t>
      </w:r>
      <w:r>
        <w:t>, левомизола, В-активина, пирогенала и т.д. Ос</w:t>
      </w:r>
      <w:r>
        <w:t>о</w:t>
      </w:r>
      <w:r>
        <w:lastRenderedPageBreak/>
        <w:t>бую перспективность в этом плане представляют иммуностимуляторы, п</w:t>
      </w:r>
      <w:r>
        <w:t>о</w:t>
      </w:r>
      <w:r>
        <w:t>лученные из тимуса и костного мозга. Из низкомолекулярных пептидных фракций, выделенных из тимуса, созданы препараты тимозин, Т-активин и тимоген, способные регулировать и усиливать иммунную реактивность, дифференциацию и созревание Т-лимфоцитов и их субпопуляций, опоср</w:t>
      </w:r>
      <w:r>
        <w:t>е</w:t>
      </w:r>
      <w:r>
        <w:t>дованно регулировать образование иммуноглобулинов, ингибировать о</w:t>
      </w:r>
      <w:r>
        <w:t>б</w:t>
      </w:r>
      <w:r>
        <w:t>разование аутоантител, активировать неспецифические факторы защиты, способствовать регенерации повреждённых тканей.</w:t>
      </w:r>
    </w:p>
    <w:p w:rsidR="00F4654E" w:rsidRDefault="00F4654E">
      <w:pPr>
        <w:pStyle w:val="a6"/>
      </w:pPr>
      <w:r>
        <w:t>Нами проведены исследования по изучению регулирующего действия тимогена на иммунологическую реактивность белых мышей при скармл</w:t>
      </w:r>
      <w:r>
        <w:t>и</w:t>
      </w:r>
      <w:r>
        <w:t>вании им ПДК калия нитрата в течение 90 дней в дозе 14 мг.</w:t>
      </w:r>
    </w:p>
    <w:p w:rsidR="00F4654E" w:rsidRDefault="00F4654E">
      <w:pPr>
        <w:pStyle w:val="a6"/>
      </w:pPr>
      <w:r>
        <w:t>Из этих животных были отобраны 2 группы, по 10 в каждой. Живо</w:t>
      </w:r>
      <w:r>
        <w:t>т</w:t>
      </w:r>
      <w:r>
        <w:t>ным 1-ой группы в течение 3-х дней вводили тимоген по 10 мкг/кг. По 5 животных из каждой группы на 95-й и 100-й дни после начала скармлив</w:t>
      </w:r>
      <w:r>
        <w:t>а</w:t>
      </w:r>
      <w:r>
        <w:t>ния калия нитрата убивали путём обескровливания и у них определяли Т-лимфоциты с помощью Е-розеткообразования по методике А.Н. Земского (1988) и фагоцитарную реакцию по методике А.И. Ивановой и П.А. Чухл</w:t>
      </w:r>
      <w:r>
        <w:t>о</w:t>
      </w:r>
      <w:r>
        <w:t>вина (1967).</w:t>
      </w:r>
    </w:p>
    <w:p w:rsidR="00F4654E" w:rsidRDefault="00F4654E">
      <w:pPr>
        <w:pStyle w:val="a6"/>
      </w:pPr>
      <w:r>
        <w:t>Установлено, что через 5 дней после введения тимогена процент т</w:t>
      </w:r>
      <w:r>
        <w:t>и</w:t>
      </w:r>
      <w:r>
        <w:t>мусзависимых лимфоцитов составил 67,3 %, в то время, как до применения препарата он равнялся 52,25 %. Через 10 дней он был 70,33 %, т.е. увел</w:t>
      </w:r>
      <w:r>
        <w:t>и</w:t>
      </w:r>
      <w:r>
        <w:t>чивался на 15,08 % и 18,08 % соответственно.</w:t>
      </w:r>
    </w:p>
    <w:p w:rsidR="00F4654E" w:rsidRPr="00E05280" w:rsidRDefault="00F4654E">
      <w:pPr>
        <w:pStyle w:val="a6"/>
        <w:rPr>
          <w:spacing w:val="-4"/>
        </w:rPr>
      </w:pPr>
      <w:r w:rsidRPr="00E05280">
        <w:rPr>
          <w:spacing w:val="-4"/>
        </w:rPr>
        <w:t>Тенденция увеличения прослеживается также и при анализе фагоцита</w:t>
      </w:r>
      <w:r w:rsidRPr="00E05280">
        <w:rPr>
          <w:spacing w:val="-4"/>
        </w:rPr>
        <w:t>р</w:t>
      </w:r>
      <w:r w:rsidRPr="00E05280">
        <w:rPr>
          <w:spacing w:val="-4"/>
        </w:rPr>
        <w:t>ной реакции. До введения тимогена: ФЧ – 4,76; ФИ – 2,94; процент фагоц</w:t>
      </w:r>
      <w:r w:rsidRPr="00E05280">
        <w:rPr>
          <w:spacing w:val="-4"/>
        </w:rPr>
        <w:t>и</w:t>
      </w:r>
      <w:r w:rsidRPr="00E05280">
        <w:rPr>
          <w:spacing w:val="-4"/>
        </w:rPr>
        <w:t>тоза – 62. Через 5 дней после применения тимогена эти показатели с</w:t>
      </w:r>
      <w:r w:rsidRPr="00E05280">
        <w:rPr>
          <w:spacing w:val="-4"/>
        </w:rPr>
        <w:t>о</w:t>
      </w:r>
      <w:r w:rsidRPr="00E05280">
        <w:rPr>
          <w:spacing w:val="-4"/>
        </w:rPr>
        <w:t>ставили следующие величины: ФЧ – 10,47; ФИ – 8,01; процент фагоцитоза – 74,67; и спустя 10 дней – ФЧ – 11,57; ФИ – 9,27; процент фагоцитоза – 80.</w:t>
      </w:r>
    </w:p>
    <w:p w:rsidR="00F4654E" w:rsidRDefault="00F4654E">
      <w:pPr>
        <w:pStyle w:val="a6"/>
      </w:pPr>
      <w:r>
        <w:t>Полученные результаты позволяют считать, что тимоген оказывает не только регулирующее, но и стимулирующее влияние на иммунологич</w:t>
      </w:r>
      <w:r>
        <w:t>е</w:t>
      </w:r>
      <w:r>
        <w:t>скую реактивность белых мышей.</w:t>
      </w:r>
    </w:p>
    <w:p w:rsidR="00F4654E" w:rsidRDefault="00F4654E">
      <w:pPr>
        <w:pStyle w:val="a4"/>
      </w:pPr>
      <w:r>
        <w:t>УДК 616.619.9:636.2-07</w:t>
      </w:r>
    </w:p>
    <w:p w:rsidR="00F4654E" w:rsidRDefault="00F4654E">
      <w:pPr>
        <w:pStyle w:val="1"/>
      </w:pPr>
      <w:r>
        <w:t>Влияние тимогена на иммунологическую реактивность коров</w:t>
      </w:r>
    </w:p>
    <w:p w:rsidR="00F4654E" w:rsidRDefault="00F4654E">
      <w:pPr>
        <w:pStyle w:val="2"/>
      </w:pPr>
      <w:r>
        <w:t>Артемов Б.Т., Манжурина О.А., Семичев А., Куцеволова С.В.*</w:t>
      </w:r>
    </w:p>
    <w:p w:rsidR="00F4654E" w:rsidRDefault="00F4654E">
      <w:pPr>
        <w:pStyle w:val="a5"/>
      </w:pPr>
      <w:r>
        <w:t xml:space="preserve">Воронежский государственный аграрный университет им. К.Д. Глинки </w:t>
      </w:r>
      <w:r>
        <w:br/>
        <w:t xml:space="preserve">*Всероссийский НИВИ патологии, фармакологии и терапии </w:t>
      </w:r>
    </w:p>
    <w:p w:rsidR="00F4654E" w:rsidRDefault="00F4654E">
      <w:pPr>
        <w:pStyle w:val="a6"/>
      </w:pPr>
      <w:r>
        <w:t>В большинстве случаев  у телят в молозивный и молочный периоды чаще вызывают заболевание энтеротоксигенные Е.со</w:t>
      </w:r>
      <w:r>
        <w:rPr>
          <w:lang w:val="en-US"/>
        </w:rPr>
        <w:t>li</w:t>
      </w:r>
      <w:r>
        <w:t xml:space="preserve"> или ассоциации их с другими бактериями и вирусами. (Коляков Я.Е. 1974; Урбан В.П., Наим</w:t>
      </w:r>
      <w:r>
        <w:t>а</w:t>
      </w:r>
      <w:r>
        <w:t>нов И.Л., 1984Каврук Л.С., 1994; Сидоров М.А,, Субботин В.В. 1999; У</w:t>
      </w:r>
      <w:r>
        <w:t>р</w:t>
      </w:r>
      <w:r>
        <w:t xml:space="preserve">гуев К.Р., Нажалов М.Н., 1998; Авдросик Н.Н. с соавт., 1998; Турдиев </w:t>
      </w:r>
      <w:r>
        <w:lastRenderedPageBreak/>
        <w:t xml:space="preserve">Ш.А., 1997; Иманалиев М., 1990; Сочнев В.В. с соавт., 2000; </w:t>
      </w:r>
      <w:r>
        <w:rPr>
          <w:lang w:val="en-US"/>
        </w:rPr>
        <w:t>Rao</w:t>
      </w:r>
      <w:r>
        <w:t xml:space="preserve"> </w:t>
      </w:r>
      <w:r>
        <w:rPr>
          <w:lang w:val="en-US"/>
        </w:rPr>
        <w:t>D</w:t>
      </w:r>
      <w:r>
        <w:t xml:space="preserve">. </w:t>
      </w:r>
      <w:r>
        <w:rPr>
          <w:lang w:val="en-US"/>
        </w:rPr>
        <w:t>S</w:t>
      </w:r>
      <w:r>
        <w:t xml:space="preserve">. 1990; </w:t>
      </w:r>
      <w:r>
        <w:rPr>
          <w:lang w:val="en-US"/>
        </w:rPr>
        <w:t>Said</w:t>
      </w:r>
      <w:r>
        <w:t xml:space="preserve"> </w:t>
      </w:r>
      <w:r>
        <w:rPr>
          <w:lang w:val="en-US"/>
        </w:rPr>
        <w:t>A</w:t>
      </w:r>
      <w:r>
        <w:t>.</w:t>
      </w:r>
      <w:r>
        <w:rPr>
          <w:lang w:val="en-US"/>
        </w:rPr>
        <w:t>M</w:t>
      </w:r>
      <w:r>
        <w:t xml:space="preserve">. </w:t>
      </w:r>
      <w:r>
        <w:rPr>
          <w:lang w:val="en-US"/>
        </w:rPr>
        <w:t>et</w:t>
      </w:r>
      <w:r>
        <w:t xml:space="preserve"> </w:t>
      </w:r>
      <w:r>
        <w:rPr>
          <w:lang w:val="en-US"/>
        </w:rPr>
        <w:t>al</w:t>
      </w:r>
      <w:r>
        <w:t>, 1994). В связи с этим  поиск средств и методов с</w:t>
      </w:r>
      <w:r>
        <w:t>о</w:t>
      </w:r>
      <w:r>
        <w:t>вершенствования профилактики этих заболеваний остается актуальной з</w:t>
      </w:r>
      <w:r>
        <w:t>а</w:t>
      </w:r>
      <w:r>
        <w:t>дачей для ветеринарных врачей.</w:t>
      </w:r>
    </w:p>
    <w:p w:rsidR="00F4654E" w:rsidRDefault="00F4654E">
      <w:pPr>
        <w:pStyle w:val="a6"/>
      </w:pPr>
      <w:r>
        <w:t>В задачу наших исследований входило изучить влияние тимогена на иммунологическую реактивность коров не иммунизированных и вакцин</w:t>
      </w:r>
      <w:r>
        <w:t>и</w:t>
      </w:r>
      <w:r>
        <w:t>рованных против колибактериоза.</w:t>
      </w:r>
    </w:p>
    <w:p w:rsidR="00F4654E" w:rsidRDefault="00F4654E">
      <w:pPr>
        <w:pStyle w:val="a6"/>
      </w:pPr>
      <w:r>
        <w:t>В опыте было 4 группы по 5 глубокостельных коров в каждой. Кор</w:t>
      </w:r>
      <w:r>
        <w:t>о</w:t>
      </w:r>
      <w:r>
        <w:t>вы 1-й и 2-й групп были иммунизированы за 40 и 30 дней до отела гидр</w:t>
      </w:r>
      <w:r>
        <w:t>о</w:t>
      </w:r>
      <w:r>
        <w:t xml:space="preserve">окисьалюминиевой формолвакциной против эшерихиоза животных ( Коли-вак К88, К 99, 987Р, </w:t>
      </w:r>
      <w:r>
        <w:rPr>
          <w:lang w:val="en-US"/>
        </w:rPr>
        <w:t>F</w:t>
      </w:r>
      <w:r>
        <w:t>41, ТЛ и ТС-антитоксины) в дозе 10 и 15 мл соотве</w:t>
      </w:r>
      <w:r>
        <w:t>т</w:t>
      </w:r>
      <w:r>
        <w:t>ственно. Животные 3-й группы вакцинации не подвергались. В 1-й и 3-й группах матерям за 40 и 30 дней до отела применяли тимоген в дозе 2,5 мл 0,01% р-ра. Коровы 4-й группы были интактные и служили контролем.</w:t>
      </w:r>
    </w:p>
    <w:p w:rsidR="00F4654E" w:rsidRDefault="00F4654E">
      <w:pPr>
        <w:pStyle w:val="a6"/>
      </w:pPr>
      <w:r>
        <w:t>Исследование крови у коров проводили за 40, 30, 20, 10 дней до отела и в день отела. Были изучены  гематологические (количество лейкоцитов,  лейкоформула, фагоцитарная активность лейкоцитов (ФАЛ), биохимич</w:t>
      </w:r>
      <w:r>
        <w:t>е</w:t>
      </w:r>
      <w:r>
        <w:t>ские  (общий белок и его фракционный состав), серологические (титр О- и Н-агглютининов (О- и Н-АГ) к возбудителю колибактериоза в реакции агглютинации ( РА)) показатели.</w:t>
      </w:r>
    </w:p>
    <w:p w:rsidR="00F4654E" w:rsidRDefault="00F4654E">
      <w:pPr>
        <w:pStyle w:val="a6"/>
      </w:pPr>
      <w:r>
        <w:t xml:space="preserve">Перед вакцинацией  у коров уровень лейкоцитов был 4,38 тыс/мкл, лимфоцитов 2,15 тыс./мкл, ФАЛ – 48%, ФИ- 2.1, количество общего белка – 79 г%, уровень альбуминов 51, глобулинов -49% (из них </w:t>
      </w:r>
      <w:r>
        <w:sym w:font="Symbol" w:char="F061"/>
      </w:r>
      <w:r>
        <w:t xml:space="preserve">-, </w:t>
      </w:r>
      <w:r>
        <w:sym w:font="Symbol" w:char="F062"/>
      </w:r>
      <w:r>
        <w:t xml:space="preserve">-, </w:t>
      </w:r>
      <w:r>
        <w:sym w:font="Symbol" w:char="F067"/>
      </w:r>
      <w:r>
        <w:t>-глобулинов по 16%), уровень антител к Н-АГ- 1:10, О-АГ 1: 6.</w:t>
      </w:r>
    </w:p>
    <w:p w:rsidR="00F4654E" w:rsidRPr="00E05280" w:rsidRDefault="00F4654E">
      <w:pPr>
        <w:pStyle w:val="a6"/>
        <w:rPr>
          <w:spacing w:val="-4"/>
        </w:rPr>
      </w:pPr>
      <w:r w:rsidRPr="00E05280">
        <w:rPr>
          <w:spacing w:val="-4"/>
        </w:rPr>
        <w:t>После применения вакцины и тимогена в комплексе (1гр.) и отдельно (2-я и 3-я группы)  в крови у коров отмечалось достоверное увеличение колич</w:t>
      </w:r>
      <w:r w:rsidRPr="00E05280">
        <w:rPr>
          <w:spacing w:val="-4"/>
        </w:rPr>
        <w:t>е</w:t>
      </w:r>
      <w:r w:rsidRPr="00E05280">
        <w:rPr>
          <w:spacing w:val="-4"/>
        </w:rPr>
        <w:t>ства лейкоцитов (1 гр. - на 33,6-64, 2 гр. - на 13,9-56,3, 3 гр. - на 11,7-24,4 %), лимфоцитов (1 гр. - на 23,1-76,4,  2 гр. - на 25.0-50,7, 3 гр. - на 23,1-46,8%), ФАЛ (1 гр. - на 2.1-13,1, 2 гр. - на 6,1-10,0, 3 гр. - на 4,1-10,8%), ФИ (1 гр.- в 1,4-3,2,  2 гр. – в 0,11-1,30, 3 гр. - в 1,1-2.4 раза), в 1-й и 2-й группах отмеч</w:t>
      </w:r>
      <w:r w:rsidRPr="00E05280">
        <w:rPr>
          <w:spacing w:val="-4"/>
        </w:rPr>
        <w:t>а</w:t>
      </w:r>
      <w:r w:rsidRPr="00E05280">
        <w:rPr>
          <w:spacing w:val="-4"/>
        </w:rPr>
        <w:t>лось достоверное увеличение  уровня специфических антител в 8-16 раз по сравнению с животными контрольной группы. Уровни общего белка и пр</w:t>
      </w:r>
      <w:r w:rsidRPr="00E05280">
        <w:rPr>
          <w:spacing w:val="-4"/>
        </w:rPr>
        <w:t>о</w:t>
      </w:r>
      <w:r w:rsidRPr="00E05280">
        <w:rPr>
          <w:spacing w:val="-4"/>
        </w:rPr>
        <w:t>центное соотношение белковых фракций достоверно в опытной и контрол</w:t>
      </w:r>
      <w:r w:rsidRPr="00E05280">
        <w:rPr>
          <w:spacing w:val="-4"/>
        </w:rPr>
        <w:t>ь</w:t>
      </w:r>
      <w:r w:rsidRPr="00E05280">
        <w:rPr>
          <w:spacing w:val="-4"/>
        </w:rPr>
        <w:t>ной группах  не отличались, в то же время была отмечена тенденция к увел</w:t>
      </w:r>
      <w:r w:rsidRPr="00E05280">
        <w:rPr>
          <w:spacing w:val="-4"/>
        </w:rPr>
        <w:t>и</w:t>
      </w:r>
      <w:r w:rsidRPr="00E05280">
        <w:rPr>
          <w:spacing w:val="-4"/>
        </w:rPr>
        <w:t xml:space="preserve">чению в 1-й и 2-й группах </w:t>
      </w:r>
      <w:r w:rsidRPr="00E05280">
        <w:rPr>
          <w:spacing w:val="-4"/>
        </w:rPr>
        <w:sym w:font="Symbol" w:char="F067"/>
      </w:r>
      <w:r w:rsidRPr="00E05280">
        <w:rPr>
          <w:spacing w:val="-4"/>
        </w:rPr>
        <w:t>-глобулинов до 18-19%.</w:t>
      </w:r>
    </w:p>
    <w:p w:rsidR="00F4654E" w:rsidRDefault="00F4654E">
      <w:pPr>
        <w:pStyle w:val="a6"/>
      </w:pPr>
      <w:r>
        <w:t>Кроме того, анализ проведенных исследований показал,  что 2-крат-ное использование тимогена за 40 и 30 дней  до отела  способствует акт</w:t>
      </w:r>
      <w:r>
        <w:t>и</w:t>
      </w:r>
      <w:r>
        <w:t>визации клеточных факторов иммунитета у стельных коров в последние дни стельности. Так в 1-й группе у коров (использовалась вакцина с тим</w:t>
      </w:r>
      <w:r>
        <w:t>о</w:t>
      </w:r>
      <w:r>
        <w:t>геном) показатели клеточного иммунитета были выше по сравнению с аналогичными показателями у животных 2-й группы, где вакцина прим</w:t>
      </w:r>
      <w:r>
        <w:t>е</w:t>
      </w:r>
      <w:r>
        <w:t xml:space="preserve">нялась без тимогена: уровень лейкоцитов на 2,5-29,8%, лимфоцитов – на 19,2-100%, ФАЛ  на 12.6-27%, ФИ- на 3.2-4,3%. Уровни специфических </w:t>
      </w:r>
      <w:r>
        <w:lastRenderedPageBreak/>
        <w:t xml:space="preserve">антител у коров в 1-й группы по сравнению со 2-й достоверно отличались только на 10 день после ревакцинации в 2 раза. </w:t>
      </w:r>
    </w:p>
    <w:p w:rsidR="00F4654E" w:rsidRDefault="00F4654E">
      <w:pPr>
        <w:pStyle w:val="a6"/>
      </w:pPr>
      <w:r>
        <w:t>Таким образом, использование инактивированной вакцины против колибактериоза способствует формированию иммунитета у стельных к</w:t>
      </w:r>
      <w:r>
        <w:t>о</w:t>
      </w:r>
      <w:r>
        <w:t>ров, что характеризуется увеличением показателей лейкоцитов, лимфоц</w:t>
      </w:r>
      <w:r>
        <w:t>и</w:t>
      </w:r>
      <w:r>
        <w:t xml:space="preserve">тов, ФАЛ и ФИ, уровня </w:t>
      </w:r>
      <w:r>
        <w:sym w:font="Symbol" w:char="F067"/>
      </w:r>
      <w:r>
        <w:t>-глобулинов, О- и Н-агглютининов по сравнению с животными контрольной группы. Применение тимогена коровам  в день иммунизации против колибактериоза  способствует достоверному увел</w:t>
      </w:r>
      <w:r>
        <w:t>и</w:t>
      </w:r>
      <w:r>
        <w:t>чению показателей клеточного иммунитета: уровней лейкоцитов, лимф</w:t>
      </w:r>
      <w:r>
        <w:t>о</w:t>
      </w:r>
      <w:r>
        <w:t>цитов, ФАЛ и ФИ. Использование тимогена не иммунизированным живо</w:t>
      </w:r>
      <w:r>
        <w:t>т</w:t>
      </w:r>
      <w:r>
        <w:t>ным вызывает стимуляцию неспецифических факторов клеточной защиты организма, таких как уровень лейкоцитов, лимфоцитов и ФАЛ.</w:t>
      </w:r>
    </w:p>
    <w:p w:rsidR="00F4654E" w:rsidRDefault="00F4654E">
      <w:pPr>
        <w:pStyle w:val="a6"/>
      </w:pPr>
      <w:r>
        <w:t>Наши исследования указывают на целесообразность в хозяйствах н</w:t>
      </w:r>
      <w:r>
        <w:t>е</w:t>
      </w:r>
      <w:r>
        <w:t>благополучных по колибактериозу, для повышения иммуногенности ина</w:t>
      </w:r>
      <w:r>
        <w:t>к</w:t>
      </w:r>
      <w:r>
        <w:t>тивированных вакцин использовать тимоген дважды в комплексе с вакц</w:t>
      </w:r>
      <w:r>
        <w:t>и</w:t>
      </w:r>
      <w:r>
        <w:t>ной в дозе 2,5 мл 0,01% раствора, а  в благополучных  хозяйствах – прим</w:t>
      </w:r>
      <w:r>
        <w:t>е</w:t>
      </w:r>
      <w:r>
        <w:t>нять тимоген в той же дозе и с той же кратностью глубокостельным кор</w:t>
      </w:r>
      <w:r>
        <w:t>о</w:t>
      </w:r>
      <w:r>
        <w:t>вам для активизации клеточных факторов иммунитета при физиологич</w:t>
      </w:r>
      <w:r>
        <w:t>е</w:t>
      </w:r>
      <w:r>
        <w:t>ских и сезонных иммунодефицитах.</w:t>
      </w:r>
    </w:p>
    <w:p w:rsidR="00F4654E" w:rsidRDefault="00F4654E">
      <w:pPr>
        <w:pStyle w:val="a4"/>
      </w:pPr>
      <w:r>
        <w:t>УДК 547.979.8:(636.16)</w:t>
      </w:r>
    </w:p>
    <w:p w:rsidR="00F4654E" w:rsidRDefault="00F4654E">
      <w:pPr>
        <w:pStyle w:val="1"/>
      </w:pPr>
      <w:r>
        <w:t>ВЛИЯНИЕ ПРЕПАРАТА КАРОЛИН НА ВОСПРОИЗВОДИТЕЛЬНУЮ ФУНКЦИЮ СЕЛЬСКОХОЗЯЙСТВЕННЫХ ЖИВОТНЫХ</w:t>
      </w:r>
    </w:p>
    <w:p w:rsidR="00F4654E" w:rsidRDefault="00F4654E">
      <w:pPr>
        <w:pStyle w:val="2"/>
      </w:pPr>
      <w:r>
        <w:t>Кудинова С.П., Антипов В.А., Турченко А.Н., Казарян Р.В.*</w:t>
      </w:r>
    </w:p>
    <w:p w:rsidR="00F4654E" w:rsidRDefault="00F4654E">
      <w:pPr>
        <w:pStyle w:val="a5"/>
      </w:pPr>
      <w:r>
        <w:t xml:space="preserve">Краснодарский научно-исследовательский ветеринарный институт </w:t>
      </w:r>
      <w:r>
        <w:br/>
        <w:t>*ЗАО «Роскарфарм»</w:t>
      </w:r>
    </w:p>
    <w:p w:rsidR="00F4654E" w:rsidRDefault="00F4654E">
      <w:pPr>
        <w:pStyle w:val="a6"/>
      </w:pPr>
      <w:r>
        <w:t>В настоящее время разработано огромное количество средств проф</w:t>
      </w:r>
      <w:r>
        <w:t>и</w:t>
      </w:r>
      <w:r>
        <w:t>лактики и лечения акушерско-гинекологической патологии сельскохозя</w:t>
      </w:r>
      <w:r>
        <w:t>й</w:t>
      </w:r>
      <w:r>
        <w:t>ственных животных. Однако, практически во все способы терапии входят антибиотики, специфические биологически активные вещества (гормоны, простагландины и др.). Применение таких препаратов приводит к тому, что так или иначе все это попадает в организм человека с молоком и м</w:t>
      </w:r>
      <w:r>
        <w:t>я</w:t>
      </w:r>
      <w:r>
        <w:t>сом. В связи с этим очень важной становится проблема использования эк</w:t>
      </w:r>
      <w:r>
        <w:t>о</w:t>
      </w:r>
      <w:r>
        <w:t>логически чистых, биологически активных препаратов природного прои</w:t>
      </w:r>
      <w:r>
        <w:t>с</w:t>
      </w:r>
      <w:r>
        <w:t>хождения, обладающих высокими терапевтическими свойствами и не сн</w:t>
      </w:r>
      <w:r>
        <w:t>и</w:t>
      </w:r>
      <w:r>
        <w:t>жающих санитарного качества молока и мяса. К таким препаратам отн</w:t>
      </w:r>
      <w:r>
        <w:t>о</w:t>
      </w:r>
      <w:r>
        <w:t>сится разработанный авторами и опробированный в хозяйствах препарат Каролин. Препарат содержит в своем составе бета-каротин, который пол</w:t>
      </w:r>
      <w:r>
        <w:t>у</w:t>
      </w:r>
      <w:r>
        <w:t xml:space="preserve">чают из мицелия культуры </w:t>
      </w:r>
      <w:r>
        <w:rPr>
          <w:lang w:val="en-US"/>
        </w:rPr>
        <w:t>Blakeslea</w:t>
      </w:r>
      <w:r>
        <w:t xml:space="preserve"> </w:t>
      </w:r>
      <w:r>
        <w:rPr>
          <w:lang w:val="en-US"/>
        </w:rPr>
        <w:t>trispora</w:t>
      </w:r>
      <w:r>
        <w:t>. Культура отличается высокой селективностью и избирательностью и накапливает в своем составе пр</w:t>
      </w:r>
      <w:r>
        <w:t>е</w:t>
      </w:r>
      <w:r>
        <w:t xml:space="preserve">имущественно бета-каротин. Постоянная работа над вопросами селекции штамма дала возможность довести содержание бета-каротина в мицелии </w:t>
      </w:r>
      <w:r>
        <w:lastRenderedPageBreak/>
        <w:t>до 80 г на 1 кг сухой массы. Культура относится к низшим грибам и выр</w:t>
      </w:r>
      <w:r>
        <w:t>а</w:t>
      </w:r>
      <w:r>
        <w:t>щивается на отходах пищевых производств, которые используются как и</w:t>
      </w:r>
      <w:r>
        <w:t>с</w:t>
      </w:r>
      <w:r>
        <w:t>точники белков, жиров, и углеводов. Это отходы масло-жирового, крахм</w:t>
      </w:r>
      <w:r>
        <w:t>а</w:t>
      </w:r>
      <w:r>
        <w:t>ло-паточного, консервного и др. производств. Мицелий гриба содержит до 60% липидов, которые по качественному составу, аналогичны липидам подсолнечного масла. Из сухого мицелия гриба по технологии, разраб</w:t>
      </w:r>
      <w:r>
        <w:t>о</w:t>
      </w:r>
      <w:r>
        <w:t>танной в ЗАО "Роскарфарм", извлекается бета-каротин. Технология пол</w:t>
      </w:r>
      <w:r>
        <w:t>у</w:t>
      </w:r>
      <w:r>
        <w:t>чения бета-каротина из биомассы предусматривает подготовку биомассы, извлечение кристаллов каротина, кристаллизацию, очистку и сушку кр</w:t>
      </w:r>
      <w:r>
        <w:t>и</w:t>
      </w:r>
      <w:r>
        <w:t>сталлов. В технологии производства используются только пищевые ра</w:t>
      </w:r>
      <w:r>
        <w:t>с</w:t>
      </w:r>
      <w:r>
        <w:t>творители. Бета-каротин зарегистрирован в качестве субстанции для пр</w:t>
      </w:r>
      <w:r>
        <w:t>о</w:t>
      </w:r>
      <w:r>
        <w:t>изводства лекарственных средств и выпускается по ФС 3867-99. Препарат Каролин производится в двух формах: стерильный ветеринарный препарат для инъекций и нестерильный препарат для добавления в корм (ТУ 9141-003-41341380-01).</w:t>
      </w:r>
    </w:p>
    <w:p w:rsidR="00F4654E" w:rsidRDefault="00F4654E">
      <w:pPr>
        <w:pStyle w:val="a6"/>
      </w:pPr>
      <w:r>
        <w:t>Лечебные и лечебно-профилактические свойства препарата Каролин подтверждены многолетними испытаниями препарата в хозяйствах Кра</w:t>
      </w:r>
      <w:r>
        <w:t>с</w:t>
      </w:r>
      <w:r>
        <w:t>нодарского края и Республики Беларусь, для профилактики акушерско-гинекологической патологии у сельхозживотных.</w:t>
      </w:r>
    </w:p>
    <w:p w:rsidR="00F4654E" w:rsidRDefault="00F4654E">
      <w:pPr>
        <w:pStyle w:val="a6"/>
        <w:rPr>
          <w:b/>
        </w:rPr>
      </w:pPr>
      <w:r>
        <w:t>В течение 1994-2000 г. Краснодарский НИВИ, совместно с ЗАО "Ро</w:t>
      </w:r>
      <w:r>
        <w:t>с</w:t>
      </w:r>
      <w:r>
        <w:t>карфарм" проводили широкий научно-производственный опыт по опред</w:t>
      </w:r>
      <w:r>
        <w:t>е</w:t>
      </w:r>
      <w:r>
        <w:t>лению эффективности препарата Каролин для лечения и профилактики акушерско-гинекологической патологии коров. В опытах было задейств</w:t>
      </w:r>
      <w:r>
        <w:t>о</w:t>
      </w:r>
      <w:r>
        <w:t>вано 3658 голов. Опытной группе коров препарат вводили за 30, 20 и 10 дней до отела, а затем на 1 и 10 день после отела в дозе 10 мл на 1 голову. При этом отмечалось снижение задержаний последа в 1,9 раза, на 8,4% меньше заболеваемость острым послеродовым эндометритом, на 10,1% меньше отмечалась гипофункция яичников, на 9,4% персистентных, же</w:t>
      </w:r>
      <w:r>
        <w:t>л</w:t>
      </w:r>
      <w:r>
        <w:t>тых тел, на 13 дней короче сервис-период и на 0,5 меньше индекс оплод</w:t>
      </w:r>
      <w:r>
        <w:t>о</w:t>
      </w:r>
      <w:r>
        <w:t>творения по сравнению с контрольной группой. Изучалось влияние преп</w:t>
      </w:r>
      <w:r>
        <w:t>а</w:t>
      </w:r>
      <w:r>
        <w:t>рата Каролин на акушерско-гинекологические заболевания свиноматок. Ежедневное добавление препарата в корм в количестве 20 мл на голову снизили заболеваемость свиноматок острым послеродовым эндометритом на 25%, метрит-мастит-агалактий на 33,3% в сравнении с контрольной группой, по опытной группе сохранность поросят была на 2% выше. Из</w:t>
      </w:r>
      <w:r>
        <w:t>у</w:t>
      </w:r>
      <w:r>
        <w:t>чалось влияние препарата Каролин, скармливаемого курам-несушкам на качество яиц, В опытах было задействовано 9200 голов птицы, в течение 40 дней препарат скармливали в количестве 2 л на 1 тонну корма. Иссл</w:t>
      </w:r>
      <w:r>
        <w:t>е</w:t>
      </w:r>
      <w:r>
        <w:t>дования показали, что вес яйца увеличился на 1,3%, содержание каротина в яйце увеличилось на 10,15-13,4%, витамина А на 2,1-8,92%, повысилась выводимость суточных цыплят на 2,7%.</w:t>
      </w:r>
    </w:p>
    <w:p w:rsidR="00F4654E" w:rsidRDefault="00F4654E">
      <w:pPr>
        <w:pStyle w:val="a6"/>
      </w:pPr>
      <w:r>
        <w:t>Таким образом, проведенные многолетние исследования подтвержд</w:t>
      </w:r>
      <w:r>
        <w:t>а</w:t>
      </w:r>
      <w:r>
        <w:t xml:space="preserve">ют способность препарата Каролин оказывать положительное влияние на </w:t>
      </w:r>
      <w:r>
        <w:lastRenderedPageBreak/>
        <w:t>нормализацию обмена веществ, общего и местного иммунитета, способс</w:t>
      </w:r>
      <w:r>
        <w:t>т</w:t>
      </w:r>
      <w:r>
        <w:t>вовать нормальному росту и развитию животных, оказывать профилакт</w:t>
      </w:r>
      <w:r>
        <w:t>и</w:t>
      </w:r>
      <w:r>
        <w:t>ческое действие и нормализовать воспроизводительную функцию.</w:t>
      </w:r>
    </w:p>
    <w:p w:rsidR="00F4654E" w:rsidRDefault="00F4654E">
      <w:pPr>
        <w:pStyle w:val="a4"/>
      </w:pPr>
      <w:r>
        <w:t>УДК 619:616:615:577.4:636</w:t>
      </w:r>
    </w:p>
    <w:p w:rsidR="00F4654E" w:rsidRDefault="00F4654E">
      <w:pPr>
        <w:pStyle w:val="1"/>
      </w:pPr>
      <w:r>
        <w:t xml:space="preserve">Эколого-медико-биологическая оценка перспектив организации производства тилозина </w:t>
      </w:r>
      <w:r>
        <w:br/>
        <w:t>в г. Ельце Липецкой области</w:t>
      </w:r>
    </w:p>
    <w:p w:rsidR="00F4654E" w:rsidRDefault="00F4654E">
      <w:pPr>
        <w:pStyle w:val="2"/>
      </w:pPr>
      <w:r>
        <w:t xml:space="preserve">Моргунова Л.М., Аргунов М.Н.*, Бузлама В.С.* </w:t>
      </w:r>
    </w:p>
    <w:p w:rsidR="00F4654E" w:rsidRDefault="00F4654E">
      <w:pPr>
        <w:pStyle w:val="a5"/>
      </w:pPr>
      <w:r>
        <w:t>Комитет природных ресурсов по Липецкой области</w:t>
      </w:r>
      <w:r>
        <w:br/>
        <w:t>*Всероссийский НИВИ патологии, фармакологии и терапии.</w:t>
      </w:r>
    </w:p>
    <w:p w:rsidR="00F4654E" w:rsidRDefault="00F4654E">
      <w:pPr>
        <w:pStyle w:val="a6"/>
      </w:pPr>
      <w:r>
        <w:t>Тилозин – современный антибиотик широкого спектра действия, пр</w:t>
      </w:r>
      <w:r>
        <w:t>и</w:t>
      </w:r>
      <w:r>
        <w:t>меняемый для лечения бактериальных инфекций у животных и птиц. По данным Всероссийского научно-исследовательского ветеринарного инст</w:t>
      </w:r>
      <w:r>
        <w:t>и</w:t>
      </w:r>
      <w:r>
        <w:t>тута патологии, фармакологии и терапии, этот антибиотик по значимости и ценности занимает 5 место среди лекарственных препаратов, применяемых в ветеринарии для лечения пневмоний и других инфекций у крупного р</w:t>
      </w:r>
      <w:r>
        <w:t>о</w:t>
      </w:r>
      <w:r>
        <w:t>гатого скота, свиней, птиц. Тилозин хорошо всасывается в желудочно-ки-шечном тракте, создает необходимые концентрации в крови, тканях и сп</w:t>
      </w:r>
      <w:r>
        <w:t>о</w:t>
      </w:r>
      <w:r>
        <w:t>собствует эффективному выздоровлению животных. С регистрацией ба</w:t>
      </w:r>
      <w:r>
        <w:t>к</w:t>
      </w:r>
      <w:r>
        <w:t>териальных заболеваний, возникает необходимость закупки этого препар</w:t>
      </w:r>
      <w:r>
        <w:t>а</w:t>
      </w:r>
      <w:r>
        <w:t>та за рубежом: основными производителями являются США, Англия, Бо</w:t>
      </w:r>
      <w:r>
        <w:t>л</w:t>
      </w:r>
      <w:r>
        <w:t>гария. В настоящее время Россия имеет договорные отношения на закупку тилозина с Болгарией, которая производит препарат в объеме около 250 тонн в год на 2 заводах. Закупочная стоимость тилозина высока.</w:t>
      </w:r>
    </w:p>
    <w:p w:rsidR="00F4654E" w:rsidRDefault="00F4654E">
      <w:pPr>
        <w:pStyle w:val="a6"/>
      </w:pPr>
      <w:r>
        <w:t>ОАО «Елецкий сахарный завод» при поддержке холдинговой комп</w:t>
      </w:r>
      <w:r>
        <w:t>а</w:t>
      </w:r>
      <w:r>
        <w:t>нии ООО «МКБ-Холдинг» имеет намерения наладить производство ант</w:t>
      </w:r>
      <w:r>
        <w:t>и</w:t>
      </w:r>
      <w:r>
        <w:t>биотика на имеющихся свободных, частично оборудованных площадях, ранее предназначенных для производства глутамината натрия. Актуал</w:t>
      </w:r>
      <w:r>
        <w:t>ь</w:t>
      </w:r>
      <w:r>
        <w:t>ность и значимость получения отечественного препарата положительно оценена ветер</w:t>
      </w:r>
      <w:r>
        <w:t>и</w:t>
      </w:r>
      <w:r>
        <w:t>нарными врачами, подсчитан также экономический эффект при отказе от з</w:t>
      </w:r>
      <w:r>
        <w:t>а</w:t>
      </w:r>
      <w:r>
        <w:t>купок тилозина за рубежом и при поступлении доходов от проектируемого предприятия (при его функционировании) в областной бюджет. Однако, предварительный комплексный (эколого-медико-биологический) анализ документации по планируемым намерениям стро</w:t>
      </w:r>
      <w:r>
        <w:t>и</w:t>
      </w:r>
      <w:r>
        <w:t>тельства пилотной установки производства тилозин-тартрата на одной промплощадке с пищевым предприятием, выявил невозможность реализ</w:t>
      </w:r>
      <w:r>
        <w:t>а</w:t>
      </w:r>
      <w:r>
        <w:t>ции предлагаемых проектных решений, выполненных без проведения тр</w:t>
      </w:r>
      <w:r>
        <w:t>е</w:t>
      </w:r>
      <w:r>
        <w:t>буемой оценки воздействия на окр</w:t>
      </w:r>
      <w:r>
        <w:t>у</w:t>
      </w:r>
      <w:r>
        <w:t>жающую среду; анализа риска развития возможных ближайших и отдале</w:t>
      </w:r>
      <w:r>
        <w:t>н</w:t>
      </w:r>
      <w:r>
        <w:t>ных неблагоприятных эффектов влияния на организм человека, его потомство, окружающую среду, а также во</w:t>
      </w:r>
      <w:r>
        <w:t>з</w:t>
      </w:r>
      <w:r>
        <w:t>можных социальных, экономических, и медико-биологических последс</w:t>
      </w:r>
      <w:r>
        <w:t>т</w:t>
      </w:r>
      <w:r>
        <w:lastRenderedPageBreak/>
        <w:t>вий. После проведения ряда консультаций с учеными Всероссийского н</w:t>
      </w:r>
      <w:r>
        <w:t>а</w:t>
      </w:r>
      <w:r>
        <w:t>учно-исследовательского ветеринарного института патологии, фармакол</w:t>
      </w:r>
      <w:r>
        <w:t>о</w:t>
      </w:r>
      <w:r>
        <w:t>гии и терапии, изучения особенностей применяемых отечественных техн</w:t>
      </w:r>
      <w:r>
        <w:t>о</w:t>
      </w:r>
      <w:r>
        <w:t>логий по производству антибиотиков подобного типа, с применением пр</w:t>
      </w:r>
      <w:r>
        <w:t>о</w:t>
      </w:r>
      <w:r>
        <w:t>цесса микробиологического синтеза, экспертная комиссия государстве</w:t>
      </w:r>
      <w:r>
        <w:t>н</w:t>
      </w:r>
      <w:r>
        <w:t>ной экологической экспертизы КПР по Липецкой области пришла к выв</w:t>
      </w:r>
      <w:r>
        <w:t>о</w:t>
      </w:r>
      <w:r>
        <w:t>ду о принципиальной возможности организации данного производства, по предлагаемой современной технологии. При этом основные проектные решения (за исключением собственно технологии получения пр</w:t>
      </w:r>
      <w:r>
        <w:t>е</w:t>
      </w:r>
      <w:r>
        <w:t>парата) должны быть изменены и переработаны с учетом полной гарантии обесп</w:t>
      </w:r>
      <w:r>
        <w:t>е</w:t>
      </w:r>
      <w:r>
        <w:t>чения экологической и биологической безопасности производства как в период строительства и эксплуатации предприятия, так и на отдаленную перспективу. Кроме этого, в ходе экспертизы будет детально проанализ</w:t>
      </w:r>
      <w:r>
        <w:t>и</w:t>
      </w:r>
      <w:r>
        <w:t>рован и учтен зарубежный опыт производства тилозина и обобщены мер</w:t>
      </w:r>
      <w:r>
        <w:t>о</w:t>
      </w:r>
      <w:r>
        <w:t>приятия по организации безопасности эксплуатации действующих пре</w:t>
      </w:r>
      <w:r>
        <w:t>д</w:t>
      </w:r>
      <w:r>
        <w:t>приятий в Болгарии.</w:t>
      </w:r>
    </w:p>
    <w:p w:rsidR="00F4654E" w:rsidRDefault="00F4654E">
      <w:pPr>
        <w:ind w:firstLine="709"/>
        <w:jc w:val="both"/>
      </w:pPr>
      <w:r>
        <w:t xml:space="preserve"> </w:t>
      </w: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E05280" w:rsidRDefault="00E05280">
      <w:pPr>
        <w:ind w:firstLine="709"/>
        <w:jc w:val="both"/>
      </w:pPr>
    </w:p>
    <w:p w:rsidR="00F4654E" w:rsidRDefault="00F4654E">
      <w:pPr>
        <w:pStyle w:val="a6"/>
        <w:ind w:firstLine="0"/>
        <w:jc w:val="center"/>
        <w:rPr>
          <w:b/>
          <w:caps/>
          <w:sz w:val="24"/>
        </w:rPr>
      </w:pPr>
      <w:r>
        <w:rPr>
          <w:b/>
          <w:caps/>
          <w:sz w:val="24"/>
        </w:rPr>
        <w:lastRenderedPageBreak/>
        <w:t>Оглавление</w:t>
      </w:r>
    </w:p>
    <w:p w:rsidR="00F4654E" w:rsidRDefault="00F4654E">
      <w:pPr>
        <w:pStyle w:val="a6"/>
        <w:ind w:firstLine="0"/>
        <w:jc w:val="center"/>
        <w:rPr>
          <w:b/>
          <w:caps/>
          <w:sz w:val="24"/>
        </w:rPr>
      </w:pPr>
    </w:p>
    <w:p w:rsidR="00F4654E" w:rsidRDefault="00F4654E">
      <w:pPr>
        <w:pStyle w:val="10"/>
        <w:rPr>
          <w:spacing w:val="0"/>
        </w:rPr>
      </w:pPr>
      <w:r>
        <w:rPr>
          <w:spacing w:val="0"/>
        </w:rPr>
        <w:fldChar w:fldCharType="begin"/>
      </w:r>
      <w:r>
        <w:rPr>
          <w:spacing w:val="0"/>
        </w:rPr>
        <w:instrText xml:space="preserve"> TOC \o "1-2" </w:instrText>
      </w:r>
      <w:r>
        <w:rPr>
          <w:spacing w:val="0"/>
        </w:rPr>
        <w:fldChar w:fldCharType="separate"/>
      </w:r>
      <w:r>
        <w:rPr>
          <w:spacing w:val="0"/>
        </w:rPr>
        <w:t>Этиология и профилактика желудочно-кишечных и респираторных</w:t>
      </w:r>
      <w:r>
        <w:rPr>
          <w:noProof w:val="0"/>
          <w:spacing w:val="0"/>
        </w:rPr>
        <w:t xml:space="preserve"> </w:t>
      </w:r>
      <w:r>
        <w:rPr>
          <w:spacing w:val="0"/>
        </w:rPr>
        <w:t>болезней телят и поросят</w:t>
      </w:r>
    </w:p>
    <w:p w:rsidR="00F4654E" w:rsidRDefault="00F4654E" w:rsidP="00562255">
      <w:pPr>
        <w:pStyle w:val="20"/>
      </w:pPr>
      <w:r>
        <w:t>Шахов А.Г.</w:t>
      </w:r>
      <w:r>
        <w:tab/>
      </w:r>
      <w:r>
        <w:fldChar w:fldCharType="begin"/>
      </w:r>
      <w:r>
        <w:instrText xml:space="preserve"> PAGEREF _Toc11937243 \h </w:instrText>
      </w:r>
      <w:r>
        <w:fldChar w:fldCharType="separate"/>
      </w:r>
      <w:r w:rsidR="00562255">
        <w:t>3</w:t>
      </w:r>
      <w:r>
        <w:fldChar w:fldCharType="end"/>
      </w:r>
    </w:p>
    <w:p w:rsidR="00F4654E" w:rsidRDefault="00F4654E">
      <w:pPr>
        <w:pStyle w:val="10"/>
        <w:rPr>
          <w:spacing w:val="0"/>
        </w:rPr>
      </w:pPr>
      <w:r>
        <w:rPr>
          <w:spacing w:val="0"/>
        </w:rPr>
        <w:t>Этиология и профилактика массовых желудочно-кишечных болезней телят</w:t>
      </w:r>
    </w:p>
    <w:p w:rsidR="00F4654E" w:rsidRDefault="00F4654E" w:rsidP="00562255">
      <w:pPr>
        <w:pStyle w:val="20"/>
      </w:pPr>
      <w:r>
        <w:t>Джупина С.И.</w:t>
      </w:r>
      <w:r>
        <w:tab/>
      </w:r>
      <w:r>
        <w:fldChar w:fldCharType="begin"/>
      </w:r>
      <w:r>
        <w:instrText xml:space="preserve"> PAGEREF _Toc11937245 \h </w:instrText>
      </w:r>
      <w:r>
        <w:fldChar w:fldCharType="separate"/>
      </w:r>
      <w:r w:rsidR="00562255">
        <w:t>8</w:t>
      </w:r>
      <w:r>
        <w:fldChar w:fldCharType="end"/>
      </w:r>
    </w:p>
    <w:p w:rsidR="00F4654E" w:rsidRDefault="00F4654E">
      <w:pPr>
        <w:pStyle w:val="10"/>
        <w:rPr>
          <w:spacing w:val="0"/>
        </w:rPr>
      </w:pPr>
      <w:r>
        <w:rPr>
          <w:spacing w:val="0"/>
        </w:rPr>
        <w:t>ИММУНОГРАММА ЖИВОТНЫХ В КЛИНИЧЕСКОЙ ПРАКТИКЕ</w:t>
      </w:r>
    </w:p>
    <w:p w:rsidR="00F4654E" w:rsidRDefault="00F4654E" w:rsidP="00562255">
      <w:pPr>
        <w:pStyle w:val="20"/>
      </w:pPr>
      <w:r>
        <w:t>Донник И.М.</w:t>
      </w:r>
      <w:r>
        <w:tab/>
      </w:r>
      <w:r>
        <w:fldChar w:fldCharType="begin"/>
      </w:r>
      <w:r>
        <w:instrText xml:space="preserve"> PAGEREF _Toc11937247 \h </w:instrText>
      </w:r>
      <w:r>
        <w:fldChar w:fldCharType="separate"/>
      </w:r>
      <w:r w:rsidR="00562255">
        <w:t>11</w:t>
      </w:r>
      <w:r>
        <w:fldChar w:fldCharType="end"/>
      </w:r>
    </w:p>
    <w:p w:rsidR="00F4654E" w:rsidRDefault="00F4654E">
      <w:pPr>
        <w:pStyle w:val="10"/>
        <w:rPr>
          <w:spacing w:val="0"/>
        </w:rPr>
      </w:pPr>
      <w:r>
        <w:rPr>
          <w:spacing w:val="0"/>
        </w:rPr>
        <w:t>Функциональная морфология органов иммунной и эндокринной систем поросят при гипотрофии</w:t>
      </w:r>
    </w:p>
    <w:p w:rsidR="00F4654E" w:rsidRDefault="00F4654E" w:rsidP="00562255">
      <w:pPr>
        <w:pStyle w:val="20"/>
      </w:pPr>
      <w:r>
        <w:t>Жаров А.В.</w:t>
      </w:r>
      <w:r>
        <w:tab/>
      </w:r>
      <w:r>
        <w:fldChar w:fldCharType="begin"/>
      </w:r>
      <w:r>
        <w:instrText xml:space="preserve"> PAGEREF _Toc11937249 \h </w:instrText>
      </w:r>
      <w:r>
        <w:fldChar w:fldCharType="separate"/>
      </w:r>
      <w:r w:rsidR="00562255">
        <w:t>13</w:t>
      </w:r>
      <w:r>
        <w:fldChar w:fldCharType="end"/>
      </w:r>
    </w:p>
    <w:p w:rsidR="00F4654E" w:rsidRDefault="00F4654E">
      <w:pPr>
        <w:pStyle w:val="10"/>
        <w:rPr>
          <w:spacing w:val="0"/>
        </w:rPr>
      </w:pPr>
      <w:r>
        <w:rPr>
          <w:spacing w:val="0"/>
        </w:rPr>
        <w:t>РАЗВИТИЕ ОТЕЧНОЙ БОЛЕЗНИ В АССОЦИАЦИИ С  КЛАССИЧЕСКОЙ ЧУМОЙ НА СВИНОКОМПЛЕКСАХ</w:t>
      </w:r>
    </w:p>
    <w:p w:rsidR="00F4654E" w:rsidRDefault="00F4654E" w:rsidP="00562255">
      <w:pPr>
        <w:pStyle w:val="20"/>
      </w:pPr>
      <w:r>
        <w:t>Коломыцев А.А., Стрижаков А.А., Лукьянов С.Б.</w:t>
      </w:r>
      <w:r>
        <w:tab/>
      </w:r>
      <w:r>
        <w:fldChar w:fldCharType="begin"/>
      </w:r>
      <w:r>
        <w:instrText xml:space="preserve"> PAGEREF _Toc11937251 \h </w:instrText>
      </w:r>
      <w:r>
        <w:fldChar w:fldCharType="separate"/>
      </w:r>
      <w:r w:rsidR="00562255">
        <w:t>15</w:t>
      </w:r>
      <w:r>
        <w:fldChar w:fldCharType="end"/>
      </w:r>
    </w:p>
    <w:p w:rsidR="00F4654E" w:rsidRDefault="00F4654E">
      <w:pPr>
        <w:pStyle w:val="10"/>
        <w:rPr>
          <w:spacing w:val="0"/>
        </w:rPr>
      </w:pPr>
      <w:r>
        <w:rPr>
          <w:spacing w:val="0"/>
        </w:rPr>
        <w:t xml:space="preserve">Перспективы профилактики и лечения постнатальной токсической </w:t>
      </w:r>
      <w:r>
        <w:rPr>
          <w:spacing w:val="0"/>
        </w:rPr>
        <w:br/>
        <w:t>диспепсии у телят</w:t>
      </w:r>
    </w:p>
    <w:p w:rsidR="00F4654E" w:rsidRDefault="00F4654E" w:rsidP="00562255">
      <w:pPr>
        <w:pStyle w:val="20"/>
      </w:pPr>
      <w:r>
        <w:t>Кондрахин И.П.</w:t>
      </w:r>
      <w:r>
        <w:tab/>
      </w:r>
      <w:r>
        <w:fldChar w:fldCharType="begin"/>
      </w:r>
      <w:r>
        <w:instrText xml:space="preserve"> PAGEREF _Toc11937253 \h </w:instrText>
      </w:r>
      <w:r>
        <w:fldChar w:fldCharType="separate"/>
      </w:r>
      <w:r w:rsidR="00562255">
        <w:t>19</w:t>
      </w:r>
      <w:r>
        <w:fldChar w:fldCharType="end"/>
      </w:r>
    </w:p>
    <w:p w:rsidR="00F4654E" w:rsidRDefault="00F4654E">
      <w:pPr>
        <w:pStyle w:val="10"/>
        <w:rPr>
          <w:spacing w:val="0"/>
        </w:rPr>
      </w:pPr>
      <w:r>
        <w:rPr>
          <w:spacing w:val="0"/>
        </w:rPr>
        <w:t>АГАЛАКТИЯ У СВИНОМАТОК – ОДНА ИЗ ПРИЧИН ВЫСОКОЙ ЗАБОЛЕВАЕМОСТИ</w:t>
      </w:r>
      <w:r>
        <w:rPr>
          <w:noProof w:val="0"/>
          <w:spacing w:val="0"/>
        </w:rPr>
        <w:t xml:space="preserve"> </w:t>
      </w:r>
      <w:r>
        <w:rPr>
          <w:spacing w:val="0"/>
        </w:rPr>
        <w:t xml:space="preserve">И </w:t>
      </w:r>
      <w:r>
        <w:rPr>
          <w:noProof w:val="0"/>
          <w:spacing w:val="0"/>
        </w:rPr>
        <w:br/>
      </w:r>
      <w:r>
        <w:rPr>
          <w:spacing w:val="0"/>
        </w:rPr>
        <w:t>ГИБЕЛИ ПОРОСЯТ</w:t>
      </w:r>
    </w:p>
    <w:p w:rsidR="00F4654E" w:rsidRDefault="00F4654E" w:rsidP="00562255">
      <w:pPr>
        <w:pStyle w:val="20"/>
      </w:pPr>
      <w:r>
        <w:t>Мисайлов В.Д.</w:t>
      </w:r>
      <w:r>
        <w:tab/>
      </w:r>
      <w:r>
        <w:fldChar w:fldCharType="begin"/>
      </w:r>
      <w:r>
        <w:instrText xml:space="preserve"> PAGEREF _Toc11937255 \h </w:instrText>
      </w:r>
      <w:r>
        <w:fldChar w:fldCharType="separate"/>
      </w:r>
      <w:r w:rsidR="00562255">
        <w:t>21</w:t>
      </w:r>
      <w:r>
        <w:fldChar w:fldCharType="end"/>
      </w:r>
    </w:p>
    <w:p w:rsidR="00F4654E" w:rsidRDefault="00F4654E">
      <w:pPr>
        <w:pStyle w:val="10"/>
        <w:rPr>
          <w:spacing w:val="0"/>
        </w:rPr>
      </w:pPr>
      <w:r>
        <w:rPr>
          <w:spacing w:val="0"/>
        </w:rPr>
        <w:t>АУТОИММУННАЯ ДИСПЕПСИЯ МОЛОДНЯКА</w:t>
      </w:r>
    </w:p>
    <w:p w:rsidR="00F4654E" w:rsidRDefault="00F4654E" w:rsidP="00562255">
      <w:pPr>
        <w:pStyle w:val="20"/>
      </w:pPr>
      <w:r>
        <w:t>Муралинов К.К., Саттарова Р.С., Оспанкулов А.К.</w:t>
      </w:r>
      <w:r>
        <w:tab/>
      </w:r>
      <w:r>
        <w:fldChar w:fldCharType="begin"/>
      </w:r>
      <w:r>
        <w:instrText xml:space="preserve"> PAGEREF _Toc11937257 \h </w:instrText>
      </w:r>
      <w:r>
        <w:fldChar w:fldCharType="separate"/>
      </w:r>
      <w:r w:rsidR="00562255">
        <w:t>22</w:t>
      </w:r>
      <w:r>
        <w:fldChar w:fldCharType="end"/>
      </w:r>
    </w:p>
    <w:p w:rsidR="00F4654E" w:rsidRDefault="00F4654E">
      <w:pPr>
        <w:pStyle w:val="10"/>
        <w:rPr>
          <w:spacing w:val="0"/>
        </w:rPr>
      </w:pPr>
      <w:r>
        <w:rPr>
          <w:spacing w:val="0"/>
        </w:rPr>
        <w:t xml:space="preserve">ВОСПРОИЗВОДИТЕЛЬНАЯ СПОСОБНОСТЬ И ПЕРИНАТАЛЬНАЯ ПАТОЛОГИЯ У КОРОВ </w:t>
      </w:r>
      <w:r>
        <w:rPr>
          <w:noProof w:val="0"/>
          <w:spacing w:val="0"/>
        </w:rPr>
        <w:br/>
      </w:r>
      <w:r>
        <w:rPr>
          <w:spacing w:val="0"/>
        </w:rPr>
        <w:t>В СВЯЗИ С ИММУНОПРОФИЛАКТИКОЙ ИНФЕКЦИОННЫХ БОЛЕЗНЕЙ</w:t>
      </w:r>
    </w:p>
    <w:p w:rsidR="00F4654E" w:rsidRDefault="00F4654E" w:rsidP="00562255">
      <w:pPr>
        <w:pStyle w:val="20"/>
      </w:pPr>
      <w:r>
        <w:t>Нежданов А.Г., Мануйлов А.В.</w:t>
      </w:r>
      <w:r>
        <w:tab/>
      </w:r>
      <w:r>
        <w:fldChar w:fldCharType="begin"/>
      </w:r>
      <w:r>
        <w:instrText xml:space="preserve"> PAGEREF _Toc11937259 \h </w:instrText>
      </w:r>
      <w:r>
        <w:fldChar w:fldCharType="separate"/>
      </w:r>
      <w:r w:rsidR="00562255">
        <w:t>25</w:t>
      </w:r>
      <w:r>
        <w:fldChar w:fldCharType="end"/>
      </w:r>
    </w:p>
    <w:p w:rsidR="00F4654E" w:rsidRDefault="00F4654E">
      <w:pPr>
        <w:pStyle w:val="10"/>
        <w:rPr>
          <w:spacing w:val="0"/>
        </w:rPr>
      </w:pPr>
      <w:r>
        <w:rPr>
          <w:spacing w:val="0"/>
        </w:rPr>
        <w:t>Повышение неспецифической резистентности организма поросят иммуностимуляторами нуклеиновой природы</w:t>
      </w:r>
    </w:p>
    <w:p w:rsidR="00F4654E" w:rsidRDefault="00F4654E" w:rsidP="00562255">
      <w:pPr>
        <w:pStyle w:val="20"/>
      </w:pPr>
      <w:r>
        <w:t>Прудников С.И., Духовский А.А., Прудникова Т.М.</w:t>
      </w:r>
      <w:r>
        <w:tab/>
      </w:r>
      <w:r>
        <w:fldChar w:fldCharType="begin"/>
      </w:r>
      <w:r>
        <w:instrText xml:space="preserve"> PAGEREF _Toc11937261 \h </w:instrText>
      </w:r>
      <w:r>
        <w:fldChar w:fldCharType="separate"/>
      </w:r>
      <w:r w:rsidR="00562255">
        <w:t>29</w:t>
      </w:r>
      <w:r>
        <w:fldChar w:fldCharType="end"/>
      </w:r>
    </w:p>
    <w:p w:rsidR="00F4654E" w:rsidRDefault="00F4654E">
      <w:pPr>
        <w:pStyle w:val="10"/>
        <w:rPr>
          <w:spacing w:val="0"/>
        </w:rPr>
      </w:pPr>
      <w:r>
        <w:rPr>
          <w:spacing w:val="0"/>
        </w:rPr>
        <w:t>Инфекционные болезни поросят и их иммунопрофилактика в современных условиях</w:t>
      </w:r>
    </w:p>
    <w:p w:rsidR="00F4654E" w:rsidRDefault="00F4654E" w:rsidP="00562255">
      <w:pPr>
        <w:pStyle w:val="20"/>
      </w:pPr>
      <w:r>
        <w:t>Рахманов А.М., Яременко Н.А.</w:t>
      </w:r>
      <w:r>
        <w:tab/>
      </w:r>
      <w:r>
        <w:fldChar w:fldCharType="begin"/>
      </w:r>
      <w:r>
        <w:instrText xml:space="preserve"> PAGEREF _Toc11937263 \h </w:instrText>
      </w:r>
      <w:r>
        <w:fldChar w:fldCharType="separate"/>
      </w:r>
      <w:r w:rsidR="00562255">
        <w:t>31</w:t>
      </w:r>
      <w:r>
        <w:fldChar w:fldCharType="end"/>
      </w:r>
    </w:p>
    <w:p w:rsidR="00F4654E" w:rsidRDefault="00F4654E">
      <w:pPr>
        <w:pStyle w:val="10"/>
        <w:rPr>
          <w:spacing w:val="0"/>
        </w:rPr>
      </w:pPr>
      <w:r>
        <w:rPr>
          <w:spacing w:val="0"/>
        </w:rPr>
        <w:t>ЗНАЧЕНИЕ антиоксидантного статуса в адаптивной гетерогенности и иммунологической резистентности животных</w:t>
      </w:r>
    </w:p>
    <w:p w:rsidR="00F4654E" w:rsidRDefault="00F4654E" w:rsidP="00562255">
      <w:pPr>
        <w:pStyle w:val="20"/>
      </w:pPr>
      <w:r>
        <w:t>Рецкий М.И., Бузлама В.С, Шахов А.Г.</w:t>
      </w:r>
      <w:r>
        <w:tab/>
      </w:r>
      <w:r>
        <w:fldChar w:fldCharType="begin"/>
      </w:r>
      <w:r>
        <w:instrText xml:space="preserve"> PAGEREF _Toc11937265 \h </w:instrText>
      </w:r>
      <w:r>
        <w:fldChar w:fldCharType="separate"/>
      </w:r>
      <w:r w:rsidR="00562255">
        <w:t>33</w:t>
      </w:r>
      <w:r>
        <w:fldChar w:fldCharType="end"/>
      </w:r>
    </w:p>
    <w:p w:rsidR="00F4654E" w:rsidRDefault="00F4654E">
      <w:pPr>
        <w:pStyle w:val="10"/>
        <w:rPr>
          <w:spacing w:val="0"/>
        </w:rPr>
      </w:pPr>
      <w:r>
        <w:rPr>
          <w:spacing w:val="0"/>
        </w:rPr>
        <w:t xml:space="preserve">Оптимизация метаболического статуса коров-матереЙ – основа </w:t>
      </w:r>
      <w:r>
        <w:rPr>
          <w:spacing w:val="0"/>
        </w:rPr>
        <w:br/>
        <w:t>профилактики неонатальных болезней телят</w:t>
      </w:r>
    </w:p>
    <w:p w:rsidR="00F4654E" w:rsidRDefault="00F4654E" w:rsidP="00562255">
      <w:pPr>
        <w:pStyle w:val="20"/>
      </w:pPr>
      <w:r>
        <w:t>Самохин В.Т., Рецкий М.И., Шушлебин В.И.</w:t>
      </w:r>
      <w:r>
        <w:tab/>
      </w:r>
      <w:r>
        <w:fldChar w:fldCharType="begin"/>
      </w:r>
      <w:r>
        <w:instrText xml:space="preserve"> PAGEREF _Toc11937267 \h </w:instrText>
      </w:r>
      <w:r>
        <w:fldChar w:fldCharType="separate"/>
      </w:r>
      <w:r w:rsidR="00562255">
        <w:t>37</w:t>
      </w:r>
      <w:r>
        <w:fldChar w:fldCharType="end"/>
      </w:r>
    </w:p>
    <w:p w:rsidR="00F4654E" w:rsidRDefault="00F4654E">
      <w:pPr>
        <w:pStyle w:val="10"/>
        <w:rPr>
          <w:spacing w:val="0"/>
        </w:rPr>
      </w:pPr>
      <w:r>
        <w:rPr>
          <w:spacing w:val="0"/>
        </w:rPr>
        <w:t>Профилактика вирусных респираторных болезней телят</w:t>
      </w:r>
    </w:p>
    <w:p w:rsidR="00F4654E" w:rsidRDefault="00F4654E" w:rsidP="00562255">
      <w:pPr>
        <w:pStyle w:val="20"/>
      </w:pPr>
      <w:r>
        <w:t>Сисягин П.Н., Реджепова Г.Р., Убитина И.В., Зоткин Г.В.</w:t>
      </w:r>
      <w:r>
        <w:tab/>
      </w:r>
      <w:r>
        <w:fldChar w:fldCharType="begin"/>
      </w:r>
      <w:r>
        <w:instrText xml:space="preserve"> PAGEREF _Toc11937269 \h </w:instrText>
      </w:r>
      <w:r>
        <w:fldChar w:fldCharType="separate"/>
      </w:r>
      <w:r w:rsidR="00562255">
        <w:t>38</w:t>
      </w:r>
      <w:r>
        <w:fldChar w:fldCharType="end"/>
      </w:r>
    </w:p>
    <w:p w:rsidR="00F4654E" w:rsidRDefault="00F4654E">
      <w:pPr>
        <w:pStyle w:val="10"/>
        <w:rPr>
          <w:spacing w:val="0"/>
        </w:rPr>
      </w:pPr>
      <w:r>
        <w:rPr>
          <w:spacing w:val="0"/>
        </w:rPr>
        <w:t xml:space="preserve">ЭТИОЛОГИЧЕСКАЯ СТРУКТУРА ИНФЕКЦИОННЫХ БОЛЕЗНЕЙ ПОРОСЯТ-ОТЪЕМЫШЕЙ </w:t>
      </w:r>
      <w:r>
        <w:rPr>
          <w:noProof w:val="0"/>
          <w:spacing w:val="0"/>
        </w:rPr>
        <w:br/>
      </w:r>
      <w:r>
        <w:rPr>
          <w:spacing w:val="0"/>
        </w:rPr>
        <w:t>В СВИНОВОДЧЕСКИХ КОМПЛЕКСАХ</w:t>
      </w:r>
    </w:p>
    <w:p w:rsidR="00F4654E" w:rsidRDefault="00F4654E" w:rsidP="00562255">
      <w:pPr>
        <w:pStyle w:val="20"/>
      </w:pPr>
      <w:r>
        <w:t>Спиридонов Г.Н., Гаффаров Х.З., Ефимова М.А., Сидорова Н.В.</w:t>
      </w:r>
      <w:r>
        <w:tab/>
      </w:r>
      <w:r>
        <w:fldChar w:fldCharType="begin"/>
      </w:r>
      <w:r>
        <w:instrText xml:space="preserve"> PAGEREF _Toc11937271 \h </w:instrText>
      </w:r>
      <w:r>
        <w:fldChar w:fldCharType="separate"/>
      </w:r>
      <w:r w:rsidR="00562255">
        <w:t>40</w:t>
      </w:r>
      <w:r>
        <w:fldChar w:fldCharType="end"/>
      </w:r>
    </w:p>
    <w:p w:rsidR="00F4654E" w:rsidRDefault="00F4654E">
      <w:pPr>
        <w:pStyle w:val="10"/>
        <w:rPr>
          <w:spacing w:val="0"/>
        </w:rPr>
      </w:pPr>
      <w:r>
        <w:rPr>
          <w:spacing w:val="0"/>
        </w:rPr>
        <w:t xml:space="preserve">УРОВЕНЬ ПЕРЕКИСНОГО ОКИСЛЕНИЯ ЛИПИДОВ И АНТИОКСИДАНТНОЙ ЗАЩИТЫ </w:t>
      </w:r>
      <w:r>
        <w:rPr>
          <w:spacing w:val="0"/>
        </w:rPr>
        <w:br/>
        <w:t>В КРОВИ ЛОШАДЕЙ ПРИ ИХ ВАКЦИНАЦИИ ПРОТИВ ГРИППА</w:t>
      </w:r>
    </w:p>
    <w:p w:rsidR="00F4654E" w:rsidRDefault="00F4654E" w:rsidP="00562255">
      <w:pPr>
        <w:pStyle w:val="20"/>
      </w:pPr>
      <w:r>
        <w:t>Старчеус А.П., Сокирко Т.А., Гура П.Н.</w:t>
      </w:r>
      <w:r>
        <w:tab/>
      </w:r>
      <w:r>
        <w:fldChar w:fldCharType="begin"/>
      </w:r>
      <w:r>
        <w:instrText xml:space="preserve"> PAGEREF _Toc11937273 \h </w:instrText>
      </w:r>
      <w:r>
        <w:fldChar w:fldCharType="separate"/>
      </w:r>
      <w:r w:rsidR="00562255">
        <w:t>42</w:t>
      </w:r>
      <w:r>
        <w:fldChar w:fldCharType="end"/>
      </w:r>
    </w:p>
    <w:p w:rsidR="00F4654E" w:rsidRDefault="00F4654E">
      <w:pPr>
        <w:pStyle w:val="10"/>
        <w:rPr>
          <w:spacing w:val="0"/>
        </w:rPr>
      </w:pPr>
      <w:r>
        <w:rPr>
          <w:spacing w:val="0"/>
        </w:rPr>
        <w:t>Морфологические аспекты изучения массовых незаразных и факторных заболеваний молодняка животных</w:t>
      </w:r>
    </w:p>
    <w:p w:rsidR="00F4654E" w:rsidRDefault="00F4654E" w:rsidP="00562255">
      <w:pPr>
        <w:pStyle w:val="20"/>
      </w:pPr>
      <w:r>
        <w:t>Сулейманов С.М., Слободяник В.С.</w:t>
      </w:r>
      <w:r>
        <w:tab/>
      </w:r>
      <w:r>
        <w:fldChar w:fldCharType="begin"/>
      </w:r>
      <w:r>
        <w:instrText xml:space="preserve"> PAGEREF _Toc11937275 \h </w:instrText>
      </w:r>
      <w:r>
        <w:fldChar w:fldCharType="separate"/>
      </w:r>
      <w:r w:rsidR="00562255">
        <w:t>44</w:t>
      </w:r>
      <w:r>
        <w:fldChar w:fldCharType="end"/>
      </w:r>
    </w:p>
    <w:p w:rsidR="00F4654E" w:rsidRDefault="00F4654E">
      <w:pPr>
        <w:pStyle w:val="10"/>
        <w:rPr>
          <w:spacing w:val="0"/>
        </w:rPr>
      </w:pPr>
      <w:r>
        <w:rPr>
          <w:spacing w:val="0"/>
        </w:rPr>
        <w:t>Проблемы острых кишечных болезней молодняка сельскохозяйственных животных и пути их решения</w:t>
      </w:r>
    </w:p>
    <w:p w:rsidR="00F4654E" w:rsidRDefault="00F4654E" w:rsidP="00562255">
      <w:pPr>
        <w:pStyle w:val="20"/>
      </w:pPr>
      <w:r>
        <w:t>Терехов В.И.</w:t>
      </w:r>
      <w:r>
        <w:tab/>
      </w:r>
      <w:r>
        <w:fldChar w:fldCharType="begin"/>
      </w:r>
      <w:r>
        <w:instrText xml:space="preserve"> PAGEREF _Toc11937277 \h </w:instrText>
      </w:r>
      <w:r>
        <w:fldChar w:fldCharType="separate"/>
      </w:r>
      <w:r w:rsidR="00562255">
        <w:t>48</w:t>
      </w:r>
      <w:r>
        <w:fldChar w:fldCharType="end"/>
      </w:r>
    </w:p>
    <w:p w:rsidR="00F4654E" w:rsidRDefault="00F4654E">
      <w:pPr>
        <w:pStyle w:val="10"/>
        <w:rPr>
          <w:spacing w:val="0"/>
        </w:rPr>
      </w:pPr>
      <w:r>
        <w:rPr>
          <w:spacing w:val="0"/>
        </w:rPr>
        <w:t xml:space="preserve">Изменения биофизических механизмов состояния иммунной системы </w:t>
      </w:r>
      <w:r>
        <w:rPr>
          <w:noProof w:val="0"/>
          <w:spacing w:val="0"/>
        </w:rPr>
        <w:br/>
      </w:r>
      <w:r>
        <w:rPr>
          <w:spacing w:val="0"/>
        </w:rPr>
        <w:t>под влиянием КВЧ – лучей</w:t>
      </w:r>
    </w:p>
    <w:p w:rsidR="00F4654E" w:rsidRDefault="00F4654E" w:rsidP="00562255">
      <w:pPr>
        <w:pStyle w:val="20"/>
      </w:pPr>
      <w:r>
        <w:t>Уша Б.В., Сапфиров С.Г., Иванова Т.А., Крюковская Г.М., Перфильев Е.С.</w:t>
      </w:r>
      <w:r>
        <w:tab/>
      </w:r>
      <w:r>
        <w:fldChar w:fldCharType="begin"/>
      </w:r>
      <w:r>
        <w:instrText xml:space="preserve"> PAGEREF _Toc11937279 \h </w:instrText>
      </w:r>
      <w:r>
        <w:fldChar w:fldCharType="separate"/>
      </w:r>
      <w:r w:rsidR="00562255">
        <w:t>51</w:t>
      </w:r>
      <w:r>
        <w:fldChar w:fldCharType="end"/>
      </w:r>
    </w:p>
    <w:p w:rsidR="00D6523B" w:rsidRDefault="00D6523B">
      <w:pPr>
        <w:pStyle w:val="10"/>
        <w:rPr>
          <w:spacing w:val="0"/>
        </w:rPr>
      </w:pPr>
    </w:p>
    <w:p w:rsidR="00F4654E" w:rsidRDefault="00F4654E">
      <w:pPr>
        <w:pStyle w:val="10"/>
        <w:rPr>
          <w:spacing w:val="0"/>
        </w:rPr>
      </w:pPr>
      <w:r>
        <w:rPr>
          <w:spacing w:val="0"/>
        </w:rPr>
        <w:lastRenderedPageBreak/>
        <w:t>ЛЕЧЕНИЕ БРОНХОПНЕВМОНИИ ТЕЛЯТ</w:t>
      </w:r>
    </w:p>
    <w:p w:rsidR="00F4654E" w:rsidRDefault="00F4654E" w:rsidP="00562255">
      <w:pPr>
        <w:pStyle w:val="20"/>
      </w:pPr>
      <w:r>
        <w:t>Абдуллаев М.Г. , Мамедов А.Т.</w:t>
      </w:r>
      <w:r>
        <w:tab/>
      </w:r>
      <w:r>
        <w:fldChar w:fldCharType="begin"/>
      </w:r>
      <w:r>
        <w:instrText xml:space="preserve"> PAGEREF _Toc11937281 \h </w:instrText>
      </w:r>
      <w:r>
        <w:fldChar w:fldCharType="separate"/>
      </w:r>
      <w:r w:rsidR="00562255">
        <w:t>54</w:t>
      </w:r>
      <w:r>
        <w:fldChar w:fldCharType="end"/>
      </w:r>
    </w:p>
    <w:p w:rsidR="00F4654E" w:rsidRDefault="00F4654E">
      <w:pPr>
        <w:pStyle w:val="10"/>
        <w:rPr>
          <w:spacing w:val="0"/>
        </w:rPr>
      </w:pPr>
      <w:r>
        <w:rPr>
          <w:spacing w:val="0"/>
        </w:rPr>
        <w:t>ИЗМЕНЕНИЕ ДИНАМИКИ ОБЩЕГО САХАРА КРОВИ СВИНОМАТОК ПРИ ЭКСПЕРИМЕНТАЛЬНОМ ГЕПАТОЗЕ И ПОСЛЕ ПРИМЕНЕНИЯ БИОПРЕПАРАТОВ</w:t>
      </w:r>
    </w:p>
    <w:p w:rsidR="00F4654E" w:rsidRDefault="00F4654E" w:rsidP="00562255">
      <w:pPr>
        <w:pStyle w:val="20"/>
      </w:pPr>
      <w:r>
        <w:t>Абидуева Е.Ю., Тарнуев Ю.А.,  Дембэрэлийн Нармандах</w:t>
      </w:r>
      <w:r>
        <w:tab/>
      </w:r>
      <w:r>
        <w:fldChar w:fldCharType="begin"/>
      </w:r>
      <w:r>
        <w:instrText xml:space="preserve"> PAGEREF _Toc11937283 \h </w:instrText>
      </w:r>
      <w:r>
        <w:fldChar w:fldCharType="separate"/>
      </w:r>
      <w:r w:rsidR="00562255">
        <w:t>56</w:t>
      </w:r>
      <w:r>
        <w:fldChar w:fldCharType="end"/>
      </w:r>
    </w:p>
    <w:p w:rsidR="00F4654E" w:rsidRDefault="00F4654E">
      <w:pPr>
        <w:pStyle w:val="10"/>
        <w:rPr>
          <w:spacing w:val="0"/>
        </w:rPr>
      </w:pPr>
      <w:r>
        <w:rPr>
          <w:spacing w:val="0"/>
        </w:rPr>
        <w:t xml:space="preserve">АНАЛИЗ ГЕМАТОЛОГИЧЕСКИХ, БИОХИМИЧЕСКИХ И ИММУНОЛОГИЧЕСКИХ </w:t>
      </w:r>
      <w:r>
        <w:rPr>
          <w:noProof w:val="0"/>
          <w:spacing w:val="0"/>
        </w:rPr>
        <w:br/>
      </w:r>
      <w:r>
        <w:rPr>
          <w:spacing w:val="0"/>
        </w:rPr>
        <w:t>ПОКАЗАТЕЛЕЙ ПРИ СИСТЕМНЫХ МИКОЗАХ</w:t>
      </w:r>
    </w:p>
    <w:p w:rsidR="00F4654E" w:rsidRDefault="00F4654E" w:rsidP="00562255">
      <w:pPr>
        <w:pStyle w:val="20"/>
      </w:pPr>
      <w:r>
        <w:t>Агольцов В. А.</w:t>
      </w:r>
      <w:r>
        <w:tab/>
      </w:r>
      <w:r>
        <w:fldChar w:fldCharType="begin"/>
      </w:r>
      <w:r>
        <w:instrText xml:space="preserve"> PAGEREF _Toc11937285 \h </w:instrText>
      </w:r>
      <w:r>
        <w:fldChar w:fldCharType="separate"/>
      </w:r>
      <w:r w:rsidR="00562255">
        <w:t>58</w:t>
      </w:r>
      <w:r>
        <w:fldChar w:fldCharType="end"/>
      </w:r>
    </w:p>
    <w:p w:rsidR="00F4654E" w:rsidRDefault="00F4654E">
      <w:pPr>
        <w:pStyle w:val="10"/>
        <w:rPr>
          <w:spacing w:val="0"/>
        </w:rPr>
      </w:pPr>
      <w:r>
        <w:rPr>
          <w:spacing w:val="0"/>
        </w:rPr>
        <w:t>ЯВЛЕНИЕ ФАГОЦИТОЗА IN VITRO У ГРИБОВ: ASPERGILLIUS, MUCOR, CANDIDA</w:t>
      </w:r>
    </w:p>
    <w:p w:rsidR="00F4654E" w:rsidRDefault="00F4654E" w:rsidP="00562255">
      <w:pPr>
        <w:pStyle w:val="20"/>
      </w:pPr>
      <w:r>
        <w:t>Агольцов В.А.</w:t>
      </w:r>
      <w:r>
        <w:tab/>
      </w:r>
      <w:r>
        <w:fldChar w:fldCharType="begin"/>
      </w:r>
      <w:r>
        <w:instrText xml:space="preserve"> PAGEREF _Toc11937287 \h </w:instrText>
      </w:r>
      <w:r>
        <w:fldChar w:fldCharType="separate"/>
      </w:r>
      <w:r w:rsidR="00562255">
        <w:t>60</w:t>
      </w:r>
      <w:r>
        <w:fldChar w:fldCharType="end"/>
      </w:r>
    </w:p>
    <w:p w:rsidR="00F4654E" w:rsidRDefault="00F4654E">
      <w:pPr>
        <w:pStyle w:val="10"/>
        <w:rPr>
          <w:spacing w:val="0"/>
        </w:rPr>
      </w:pPr>
      <w:r>
        <w:rPr>
          <w:spacing w:val="0"/>
        </w:rPr>
        <w:t>Иммунодефицит и его коррекция при трихофитии телят</w:t>
      </w:r>
    </w:p>
    <w:p w:rsidR="00F4654E" w:rsidRDefault="00F4654E" w:rsidP="00562255">
      <w:pPr>
        <w:pStyle w:val="20"/>
      </w:pPr>
      <w:r>
        <w:t xml:space="preserve">Алешкевич  В.Н., Прудников В.С.,  Жавненко В.М., Лабусова Н.И., </w:t>
      </w:r>
      <w:r>
        <w:br/>
        <w:t>Красочко П.А.</w:t>
      </w:r>
      <w:r>
        <w:tab/>
      </w:r>
      <w:r>
        <w:fldChar w:fldCharType="begin"/>
      </w:r>
      <w:r>
        <w:instrText xml:space="preserve"> PAGEREF _Toc11937289 \h </w:instrText>
      </w:r>
      <w:r>
        <w:fldChar w:fldCharType="separate"/>
      </w:r>
      <w:r w:rsidR="00562255">
        <w:t>61</w:t>
      </w:r>
      <w:r>
        <w:fldChar w:fldCharType="end"/>
      </w:r>
    </w:p>
    <w:p w:rsidR="00F4654E" w:rsidRDefault="00F4654E">
      <w:pPr>
        <w:pStyle w:val="10"/>
        <w:rPr>
          <w:spacing w:val="0"/>
        </w:rPr>
      </w:pPr>
      <w:r>
        <w:rPr>
          <w:spacing w:val="0"/>
        </w:rPr>
        <w:t>ВИТАМИН F – НЕЗАМЕНИМЫЙ ФАКТОР, ПРЕДУПРЕЖДАЮЩИЙ ДИСПЕПСИИ НОВОРОЖДЕННЫХ ТЕЛЯТ</w:t>
      </w:r>
    </w:p>
    <w:p w:rsidR="00F4654E" w:rsidRDefault="00F4654E" w:rsidP="00562255">
      <w:pPr>
        <w:pStyle w:val="20"/>
      </w:pPr>
      <w:r>
        <w:t>Алиев А. А.</w:t>
      </w:r>
      <w:r>
        <w:tab/>
      </w:r>
      <w:r>
        <w:fldChar w:fldCharType="begin"/>
      </w:r>
      <w:r>
        <w:instrText xml:space="preserve"> PAGEREF _Toc11937291 \h </w:instrText>
      </w:r>
      <w:r>
        <w:fldChar w:fldCharType="separate"/>
      </w:r>
      <w:r w:rsidR="00562255">
        <w:t>64</w:t>
      </w:r>
      <w:r>
        <w:fldChar w:fldCharType="end"/>
      </w:r>
    </w:p>
    <w:p w:rsidR="00F4654E" w:rsidRDefault="00F4654E">
      <w:pPr>
        <w:pStyle w:val="10"/>
        <w:rPr>
          <w:spacing w:val="0"/>
        </w:rPr>
      </w:pPr>
      <w:r>
        <w:rPr>
          <w:spacing w:val="0"/>
        </w:rPr>
        <w:t>НОВОЕ В ПРОФИЛАКТИКЕ И ЛЕЧЕНИИ ДИСПЕПСИИ ТЕЛЯТ</w:t>
      </w:r>
    </w:p>
    <w:p w:rsidR="00F4654E" w:rsidRDefault="00F4654E" w:rsidP="00562255">
      <w:pPr>
        <w:pStyle w:val="20"/>
      </w:pPr>
      <w:r>
        <w:t>Алиев А. А., Семенютин В. В.</w:t>
      </w:r>
      <w:r>
        <w:tab/>
      </w:r>
      <w:r>
        <w:fldChar w:fldCharType="begin"/>
      </w:r>
      <w:r>
        <w:instrText xml:space="preserve"> PAGEREF _Toc11937293 \h </w:instrText>
      </w:r>
      <w:r>
        <w:fldChar w:fldCharType="separate"/>
      </w:r>
      <w:r w:rsidR="00562255">
        <w:t>67</w:t>
      </w:r>
      <w:r>
        <w:fldChar w:fldCharType="end"/>
      </w:r>
    </w:p>
    <w:p w:rsidR="00F4654E" w:rsidRDefault="00F4654E">
      <w:pPr>
        <w:pStyle w:val="10"/>
        <w:rPr>
          <w:spacing w:val="0"/>
        </w:rPr>
      </w:pPr>
      <w:r>
        <w:rPr>
          <w:spacing w:val="0"/>
        </w:rPr>
        <w:t>Интенсификация воспроизводства коров биотехнологическими</w:t>
      </w:r>
      <w:r w:rsidR="00E05280">
        <w:rPr>
          <w:spacing w:val="0"/>
        </w:rPr>
        <w:t xml:space="preserve"> </w:t>
      </w:r>
      <w:r>
        <w:rPr>
          <w:spacing w:val="0"/>
        </w:rPr>
        <w:t>методами</w:t>
      </w:r>
    </w:p>
    <w:p w:rsidR="00F4654E" w:rsidRDefault="00F4654E" w:rsidP="00562255">
      <w:pPr>
        <w:pStyle w:val="20"/>
      </w:pPr>
      <w:r>
        <w:t>Амагырова Т.О., Муруев А.В., Хоженоев Ю.К., Анганов В.В.</w:t>
      </w:r>
      <w:r>
        <w:tab/>
      </w:r>
      <w:r>
        <w:fldChar w:fldCharType="begin"/>
      </w:r>
      <w:r>
        <w:instrText xml:space="preserve"> PAGEREF _Toc11937295 \h </w:instrText>
      </w:r>
      <w:r>
        <w:fldChar w:fldCharType="separate"/>
      </w:r>
      <w:r w:rsidR="00562255">
        <w:t>69</w:t>
      </w:r>
      <w:r>
        <w:fldChar w:fldCharType="end"/>
      </w:r>
    </w:p>
    <w:p w:rsidR="00F4654E" w:rsidRDefault="00F4654E">
      <w:pPr>
        <w:pStyle w:val="10"/>
        <w:rPr>
          <w:spacing w:val="0"/>
        </w:rPr>
      </w:pPr>
      <w:r>
        <w:rPr>
          <w:spacing w:val="0"/>
        </w:rPr>
        <w:t>ФАРМАКОКОРРЕКЦИЯ ЛИМФОЦИТАРНОГО ЗВЕНА ИММУНИТЕТА У КОРОВ ПРИ ЭНДОМЕТРИТАХ</w:t>
      </w:r>
    </w:p>
    <w:p w:rsidR="00F4654E" w:rsidRDefault="00F4654E" w:rsidP="00562255">
      <w:pPr>
        <w:pStyle w:val="20"/>
      </w:pPr>
      <w:r>
        <w:t>Андреева А.В.</w:t>
      </w:r>
      <w:r>
        <w:tab/>
      </w:r>
      <w:r>
        <w:fldChar w:fldCharType="begin"/>
      </w:r>
      <w:r>
        <w:instrText xml:space="preserve"> PAGEREF _Toc11937297 \h </w:instrText>
      </w:r>
      <w:r>
        <w:fldChar w:fldCharType="separate"/>
      </w:r>
      <w:r w:rsidR="00562255">
        <w:t>70</w:t>
      </w:r>
      <w:r>
        <w:fldChar w:fldCharType="end"/>
      </w:r>
    </w:p>
    <w:p w:rsidR="00F4654E" w:rsidRDefault="00F4654E">
      <w:pPr>
        <w:pStyle w:val="10"/>
        <w:rPr>
          <w:spacing w:val="0"/>
        </w:rPr>
      </w:pPr>
      <w:r>
        <w:rPr>
          <w:spacing w:val="0"/>
        </w:rPr>
        <w:t>ВЛИЯНИЕ СОЧЕТАННОГО ПРИМЕНЕНИЯ ИММУНОСТИМУЛЯТОРОВ НА ПОКАЗАТЕЛИ БАКТЕРИЦИДНОЙ, ЛИЗОЦИМНОЙ АКТИВНОСТИ СЫВОРОТКИ КРОВИ И ФАГОЦИТАРНОЙ АКТИВНОСТИ ЛЕЙКОЦИТОВ</w:t>
      </w:r>
    </w:p>
    <w:p w:rsidR="00F4654E" w:rsidRDefault="00F4654E" w:rsidP="00562255">
      <w:pPr>
        <w:pStyle w:val="20"/>
      </w:pPr>
      <w:r>
        <w:t>Андреева А.В.</w:t>
      </w:r>
      <w:r>
        <w:tab/>
      </w:r>
      <w:r>
        <w:fldChar w:fldCharType="begin"/>
      </w:r>
      <w:r>
        <w:instrText xml:space="preserve"> PAGEREF _Toc11937299 \h </w:instrText>
      </w:r>
      <w:r>
        <w:fldChar w:fldCharType="separate"/>
      </w:r>
      <w:r w:rsidR="00562255">
        <w:t>72</w:t>
      </w:r>
      <w:r>
        <w:fldChar w:fldCharType="end"/>
      </w:r>
    </w:p>
    <w:p w:rsidR="00F4654E" w:rsidRDefault="00F4654E">
      <w:pPr>
        <w:pStyle w:val="10"/>
        <w:rPr>
          <w:spacing w:val="0"/>
        </w:rPr>
      </w:pPr>
      <w:r>
        <w:rPr>
          <w:spacing w:val="0"/>
        </w:rPr>
        <w:t xml:space="preserve">Эффективность седатина для повышения естественной резистентности </w:t>
      </w:r>
      <w:r>
        <w:rPr>
          <w:noProof w:val="0"/>
          <w:spacing w:val="0"/>
        </w:rPr>
        <w:br/>
      </w:r>
      <w:r>
        <w:rPr>
          <w:spacing w:val="0"/>
        </w:rPr>
        <w:t>у новорожденных телят при гипотрофии</w:t>
      </w:r>
    </w:p>
    <w:p w:rsidR="00F4654E" w:rsidRDefault="00F4654E" w:rsidP="00562255">
      <w:pPr>
        <w:pStyle w:val="20"/>
      </w:pPr>
      <w:r>
        <w:t>Анохин Б.М., Бузлама В.С., Саврасов Д.А., Мулько В.И.</w:t>
      </w:r>
      <w:r>
        <w:tab/>
      </w:r>
      <w:r>
        <w:fldChar w:fldCharType="begin"/>
      </w:r>
      <w:r>
        <w:instrText xml:space="preserve"> PAGEREF _Toc11937301 \h </w:instrText>
      </w:r>
      <w:r>
        <w:fldChar w:fldCharType="separate"/>
      </w:r>
      <w:r w:rsidR="00562255">
        <w:t>75</w:t>
      </w:r>
      <w:r>
        <w:fldChar w:fldCharType="end"/>
      </w:r>
    </w:p>
    <w:p w:rsidR="00F4654E" w:rsidRDefault="00F4654E">
      <w:pPr>
        <w:pStyle w:val="10"/>
        <w:rPr>
          <w:spacing w:val="0"/>
        </w:rPr>
      </w:pPr>
      <w:r>
        <w:rPr>
          <w:spacing w:val="0"/>
        </w:rPr>
        <w:t xml:space="preserve">Влияние озонированного физиологического раствора на организм </w:t>
      </w:r>
      <w:r>
        <w:rPr>
          <w:spacing w:val="0"/>
        </w:rPr>
        <w:br/>
        <w:t>здоровых поросят</w:t>
      </w:r>
    </w:p>
    <w:p w:rsidR="00F4654E" w:rsidRDefault="00F4654E" w:rsidP="00562255">
      <w:pPr>
        <w:pStyle w:val="20"/>
      </w:pPr>
      <w:r>
        <w:t>Анохин Б.М., Крайс В.В.</w:t>
      </w:r>
      <w:r>
        <w:tab/>
      </w:r>
      <w:r>
        <w:fldChar w:fldCharType="begin"/>
      </w:r>
      <w:r>
        <w:instrText xml:space="preserve"> PAGEREF _Toc11937303 \h </w:instrText>
      </w:r>
      <w:r>
        <w:fldChar w:fldCharType="separate"/>
      </w:r>
      <w:r w:rsidR="00562255">
        <w:t>77</w:t>
      </w:r>
      <w:r>
        <w:fldChar w:fldCharType="end"/>
      </w:r>
    </w:p>
    <w:p w:rsidR="00F4654E" w:rsidRDefault="00F4654E">
      <w:pPr>
        <w:pStyle w:val="10"/>
        <w:rPr>
          <w:spacing w:val="0"/>
        </w:rPr>
      </w:pPr>
      <w:r>
        <w:rPr>
          <w:spacing w:val="0"/>
        </w:rPr>
        <w:t>Особенности ферротерапии при различных формах  гипохромной микроцитарной анемии  телят-молочников</w:t>
      </w:r>
    </w:p>
    <w:p w:rsidR="00F4654E" w:rsidRDefault="00F4654E" w:rsidP="00562255">
      <w:pPr>
        <w:pStyle w:val="20"/>
      </w:pPr>
      <w:r>
        <w:t>Анохин Б.М., Макринова Н. Ю.</w:t>
      </w:r>
      <w:r>
        <w:tab/>
      </w:r>
      <w:r>
        <w:fldChar w:fldCharType="begin"/>
      </w:r>
      <w:r>
        <w:instrText xml:space="preserve"> PAGEREF _Toc11937305 \h </w:instrText>
      </w:r>
      <w:r>
        <w:fldChar w:fldCharType="separate"/>
      </w:r>
      <w:r w:rsidR="00562255">
        <w:t>78</w:t>
      </w:r>
      <w:r>
        <w:fldChar w:fldCharType="end"/>
      </w:r>
    </w:p>
    <w:p w:rsidR="00F4654E" w:rsidRDefault="00F4654E">
      <w:pPr>
        <w:pStyle w:val="10"/>
        <w:rPr>
          <w:spacing w:val="0"/>
        </w:rPr>
      </w:pPr>
      <w:r>
        <w:rPr>
          <w:spacing w:val="0"/>
        </w:rPr>
        <w:t xml:space="preserve">Клинические и биохимические показатели при гипотонии и атонии </w:t>
      </w:r>
      <w:r>
        <w:rPr>
          <w:noProof w:val="0"/>
          <w:spacing w:val="0"/>
        </w:rPr>
        <w:br/>
      </w:r>
      <w:r>
        <w:rPr>
          <w:spacing w:val="0"/>
        </w:rPr>
        <w:t>рубца у молодняка крупного рогатого скота</w:t>
      </w:r>
    </w:p>
    <w:p w:rsidR="00F4654E" w:rsidRDefault="00F4654E" w:rsidP="00562255">
      <w:pPr>
        <w:pStyle w:val="20"/>
      </w:pPr>
      <w:r>
        <w:t>Анохин Б.М., Шураева И.Ю.</w:t>
      </w:r>
      <w:r>
        <w:tab/>
      </w:r>
      <w:r>
        <w:fldChar w:fldCharType="begin"/>
      </w:r>
      <w:r>
        <w:instrText xml:space="preserve"> PAGEREF _Toc11937307 \h </w:instrText>
      </w:r>
      <w:r>
        <w:fldChar w:fldCharType="separate"/>
      </w:r>
      <w:r w:rsidR="00562255">
        <w:t>79</w:t>
      </w:r>
      <w:r>
        <w:fldChar w:fldCharType="end"/>
      </w:r>
    </w:p>
    <w:p w:rsidR="00F4654E" w:rsidRDefault="00F4654E">
      <w:pPr>
        <w:pStyle w:val="10"/>
        <w:rPr>
          <w:spacing w:val="0"/>
        </w:rPr>
      </w:pPr>
      <w:r>
        <w:rPr>
          <w:spacing w:val="0"/>
        </w:rPr>
        <w:t xml:space="preserve">ИНТЕРФЕРЕНЦИЯ, ИНТЕРФЕРОН И РОЛЬ ИХ В ДИАГНОСТИКЕ И ПРОФИЛАКТИКЕ </w:t>
      </w:r>
      <w:r>
        <w:rPr>
          <w:spacing w:val="0"/>
        </w:rPr>
        <w:br/>
        <w:t>ВИРУСНЫХ ИНФЕКЦИЙ</w:t>
      </w:r>
    </w:p>
    <w:p w:rsidR="00F4654E" w:rsidRDefault="00F4654E" w:rsidP="00562255">
      <w:pPr>
        <w:pStyle w:val="20"/>
      </w:pPr>
      <w:r>
        <w:t>Ануфриева Л.А.</w:t>
      </w:r>
      <w:r>
        <w:tab/>
      </w:r>
      <w:r>
        <w:fldChar w:fldCharType="begin"/>
      </w:r>
      <w:r>
        <w:instrText xml:space="preserve"> PAGEREF _Toc11937309 \h </w:instrText>
      </w:r>
      <w:r>
        <w:fldChar w:fldCharType="separate"/>
      </w:r>
      <w:r w:rsidR="00562255">
        <w:t>80</w:t>
      </w:r>
      <w:r>
        <w:fldChar w:fldCharType="end"/>
      </w:r>
    </w:p>
    <w:p w:rsidR="00F4654E" w:rsidRDefault="00F4654E">
      <w:pPr>
        <w:pStyle w:val="10"/>
        <w:rPr>
          <w:spacing w:val="0"/>
        </w:rPr>
      </w:pPr>
      <w:r>
        <w:rPr>
          <w:spacing w:val="0"/>
        </w:rPr>
        <w:t xml:space="preserve">КЛАССИЧЕСКАЯ ЧУМА СВИНЕЙ  (ИММУНОЛОГИЧЕСКИЕ АСПЕКТЫ ИНФЕКЦИИ) </w:t>
      </w:r>
    </w:p>
    <w:p w:rsidR="00F4654E" w:rsidRDefault="00F4654E" w:rsidP="00562255">
      <w:pPr>
        <w:pStyle w:val="20"/>
      </w:pPr>
      <w:r>
        <w:t>Ануфриев А.И.</w:t>
      </w:r>
      <w:r>
        <w:tab/>
      </w:r>
      <w:r>
        <w:fldChar w:fldCharType="begin"/>
      </w:r>
      <w:r>
        <w:instrText xml:space="preserve"> PAGEREF _Toc11937311 \h </w:instrText>
      </w:r>
      <w:r>
        <w:fldChar w:fldCharType="separate"/>
      </w:r>
      <w:r w:rsidR="00562255">
        <w:t>83</w:t>
      </w:r>
      <w:r>
        <w:fldChar w:fldCharType="end"/>
      </w:r>
    </w:p>
    <w:p w:rsidR="00F4654E" w:rsidRDefault="00F4654E">
      <w:pPr>
        <w:pStyle w:val="10"/>
        <w:rPr>
          <w:spacing w:val="0"/>
        </w:rPr>
      </w:pPr>
      <w:r>
        <w:rPr>
          <w:spacing w:val="0"/>
        </w:rPr>
        <w:t>ДИАГНОСТИКА И ПРОФИЛАКТИКА ХЛАМИДИОЗА У СВИНЕЙ</w:t>
      </w:r>
    </w:p>
    <w:p w:rsidR="00F4654E" w:rsidRDefault="00F4654E" w:rsidP="00562255">
      <w:pPr>
        <w:pStyle w:val="20"/>
      </w:pPr>
      <w:r>
        <w:t xml:space="preserve">Ануфриев </w:t>
      </w:r>
      <w:r>
        <w:rPr>
          <w:noProof w:val="0"/>
        </w:rPr>
        <w:t>П.</w:t>
      </w:r>
      <w:r>
        <w:t>А., Першина С.И.</w:t>
      </w:r>
      <w:r>
        <w:rPr>
          <w:noProof w:val="0"/>
        </w:rPr>
        <w:t xml:space="preserve">, Фролов Н.С. </w:t>
      </w:r>
      <w:r>
        <w:tab/>
      </w:r>
      <w:r>
        <w:fldChar w:fldCharType="begin"/>
      </w:r>
      <w:r>
        <w:instrText xml:space="preserve"> PAGEREF _Toc11937313 \h </w:instrText>
      </w:r>
      <w:r>
        <w:fldChar w:fldCharType="separate"/>
      </w:r>
      <w:r w:rsidR="00562255">
        <w:t>86</w:t>
      </w:r>
      <w:r>
        <w:fldChar w:fldCharType="end"/>
      </w:r>
    </w:p>
    <w:p w:rsidR="00F4654E" w:rsidRDefault="00F4654E">
      <w:pPr>
        <w:pStyle w:val="10"/>
        <w:rPr>
          <w:spacing w:val="0"/>
        </w:rPr>
      </w:pPr>
      <w:r>
        <w:rPr>
          <w:spacing w:val="0"/>
        </w:rPr>
        <w:t xml:space="preserve">КЛИНИКО-ЭПИЗООТОЛОГИЧЕСКИЙ МОНИТОРИНГ ПРИ ПРИМЕНЕНИИ ВАКЦИН </w:t>
      </w:r>
      <w:r>
        <w:rPr>
          <w:spacing w:val="0"/>
        </w:rPr>
        <w:br/>
        <w:t>ПРОТИВ РРСС + ПВИС И ТГС</w:t>
      </w:r>
    </w:p>
    <w:p w:rsidR="00F4654E" w:rsidRDefault="00F4654E" w:rsidP="00562255">
      <w:pPr>
        <w:pStyle w:val="20"/>
      </w:pPr>
      <w:r>
        <w:t>Ануфриев П.А., Першина С.И.</w:t>
      </w:r>
      <w:r>
        <w:tab/>
      </w:r>
      <w:r>
        <w:fldChar w:fldCharType="begin"/>
      </w:r>
      <w:r>
        <w:instrText xml:space="preserve"> PAGEREF _Toc11937315 \h </w:instrText>
      </w:r>
      <w:r>
        <w:fldChar w:fldCharType="separate"/>
      </w:r>
      <w:r w:rsidR="00562255">
        <w:t>89</w:t>
      </w:r>
      <w:r>
        <w:fldChar w:fldCharType="end"/>
      </w:r>
    </w:p>
    <w:p w:rsidR="00F4654E" w:rsidRDefault="00F4654E">
      <w:pPr>
        <w:pStyle w:val="10"/>
        <w:rPr>
          <w:spacing w:val="0"/>
        </w:rPr>
      </w:pPr>
      <w:r>
        <w:rPr>
          <w:spacing w:val="0"/>
        </w:rPr>
        <w:t>ИММУНОЛОГИЧЕСКАЯ РЕАКТИВНОСТЬ И НЕСПЕЦИФИЧЕСКАЯ РЕЗИСТЕНТНОСТЬ</w:t>
      </w:r>
      <w:r>
        <w:rPr>
          <w:spacing w:val="0"/>
        </w:rPr>
        <w:br/>
        <w:t>У СВИНЕЙ ПРИ ВАКЦИНАЦИИ ИХ ПРОТИВ РРСС, ПВИС И ТГС</w:t>
      </w:r>
    </w:p>
    <w:p w:rsidR="00F4654E" w:rsidRDefault="00F4654E" w:rsidP="00562255">
      <w:pPr>
        <w:pStyle w:val="20"/>
      </w:pPr>
      <w:r>
        <w:t>Ануфриев А.И., Ануфриев П.А., Першина С.И.</w:t>
      </w:r>
      <w:r>
        <w:tab/>
      </w:r>
      <w:r>
        <w:fldChar w:fldCharType="begin"/>
      </w:r>
      <w:r>
        <w:instrText xml:space="preserve"> PAGEREF _Toc11937317 \h </w:instrText>
      </w:r>
      <w:r>
        <w:fldChar w:fldCharType="separate"/>
      </w:r>
      <w:r w:rsidR="00562255">
        <w:t>91</w:t>
      </w:r>
      <w:r>
        <w:fldChar w:fldCharType="end"/>
      </w:r>
    </w:p>
    <w:p w:rsidR="00F4654E" w:rsidRDefault="00F4654E">
      <w:pPr>
        <w:pStyle w:val="10"/>
        <w:rPr>
          <w:spacing w:val="0"/>
        </w:rPr>
      </w:pPr>
      <w:r>
        <w:rPr>
          <w:spacing w:val="0"/>
        </w:rPr>
        <w:t>Морфологическая характеристика печени крыс в зависимости от обеспеченности организма кальцием</w:t>
      </w:r>
    </w:p>
    <w:p w:rsidR="00F4654E" w:rsidRDefault="00F4654E" w:rsidP="00562255">
      <w:pPr>
        <w:pStyle w:val="20"/>
      </w:pPr>
      <w:r>
        <w:t>Арешидзе Д.А., Руденко В.В.</w:t>
      </w:r>
      <w:r>
        <w:tab/>
      </w:r>
      <w:r>
        <w:fldChar w:fldCharType="begin"/>
      </w:r>
      <w:r>
        <w:instrText xml:space="preserve"> PAGEREF _Toc11937319 \h </w:instrText>
      </w:r>
      <w:r>
        <w:fldChar w:fldCharType="separate"/>
      </w:r>
      <w:r w:rsidR="00562255">
        <w:t>94</w:t>
      </w:r>
      <w:r>
        <w:fldChar w:fldCharType="end"/>
      </w:r>
    </w:p>
    <w:p w:rsidR="00F4654E" w:rsidRDefault="00F4654E">
      <w:pPr>
        <w:pStyle w:val="10"/>
        <w:rPr>
          <w:spacing w:val="0"/>
        </w:rPr>
      </w:pPr>
      <w:r>
        <w:rPr>
          <w:spacing w:val="0"/>
        </w:rPr>
        <w:lastRenderedPageBreak/>
        <w:t>Испытание биологической активности  диаквадибензимидазолосульфата меди</w:t>
      </w:r>
    </w:p>
    <w:p w:rsidR="00F4654E" w:rsidRDefault="00F4654E" w:rsidP="00562255">
      <w:pPr>
        <w:pStyle w:val="20"/>
      </w:pPr>
      <w:r>
        <w:t xml:space="preserve">Арзыбаев М., Бабакулов М., Дюшеналиева Ч.К.,  Сулайманкулов К.С., </w:t>
      </w:r>
      <w:r>
        <w:rPr>
          <w:noProof w:val="0"/>
        </w:rPr>
        <w:br/>
      </w:r>
      <w:r>
        <w:t>Шыйтиева Н.К.</w:t>
      </w:r>
      <w:r>
        <w:tab/>
      </w:r>
      <w:r>
        <w:fldChar w:fldCharType="begin"/>
      </w:r>
      <w:r>
        <w:instrText xml:space="preserve"> PAGEREF _Toc11937321 \h </w:instrText>
      </w:r>
      <w:r>
        <w:fldChar w:fldCharType="separate"/>
      </w:r>
      <w:r w:rsidR="00562255">
        <w:t>95</w:t>
      </w:r>
      <w:r>
        <w:fldChar w:fldCharType="end"/>
      </w:r>
    </w:p>
    <w:p w:rsidR="00F4654E" w:rsidRDefault="00F4654E">
      <w:pPr>
        <w:pStyle w:val="10"/>
        <w:rPr>
          <w:spacing w:val="0"/>
        </w:rPr>
      </w:pPr>
      <w:r>
        <w:rPr>
          <w:spacing w:val="0"/>
        </w:rPr>
        <w:t>Токсические свойства и антибактериальная активность соединений гексаметилентетрамина</w:t>
      </w:r>
    </w:p>
    <w:p w:rsidR="00F4654E" w:rsidRDefault="00F4654E" w:rsidP="00562255">
      <w:pPr>
        <w:pStyle w:val="20"/>
      </w:pPr>
      <w:r>
        <w:t>Арзыбаев М., Иманалиев М.И., Алтыбаева Д.Т., Токтоматов Т.А.</w:t>
      </w:r>
      <w:r>
        <w:tab/>
      </w:r>
      <w:r>
        <w:fldChar w:fldCharType="begin"/>
      </w:r>
      <w:r>
        <w:instrText xml:space="preserve"> PAGEREF _Toc11937323 \h </w:instrText>
      </w:r>
      <w:r>
        <w:fldChar w:fldCharType="separate"/>
      </w:r>
      <w:r w:rsidR="00562255">
        <w:t>98</w:t>
      </w:r>
      <w:r>
        <w:fldChar w:fldCharType="end"/>
      </w:r>
    </w:p>
    <w:p w:rsidR="00F4654E" w:rsidRDefault="00F4654E">
      <w:pPr>
        <w:pStyle w:val="10"/>
        <w:rPr>
          <w:spacing w:val="0"/>
        </w:rPr>
      </w:pPr>
      <w:r>
        <w:rPr>
          <w:spacing w:val="0"/>
        </w:rPr>
        <w:t>Антибактериальные производные пиромеллитовой кислоты</w:t>
      </w:r>
    </w:p>
    <w:p w:rsidR="00F4654E" w:rsidRDefault="00F4654E" w:rsidP="00562255">
      <w:pPr>
        <w:pStyle w:val="20"/>
      </w:pPr>
      <w:r>
        <w:t>Арзыбаев М., Иманалиев М.И., Королева Р.П., Арапбаева Г.М.</w:t>
      </w:r>
      <w:r>
        <w:tab/>
      </w:r>
      <w:r>
        <w:fldChar w:fldCharType="begin"/>
      </w:r>
      <w:r>
        <w:instrText xml:space="preserve"> PAGEREF _Toc11937325 \h </w:instrText>
      </w:r>
      <w:r>
        <w:fldChar w:fldCharType="separate"/>
      </w:r>
      <w:r w:rsidR="00562255">
        <w:t>100</w:t>
      </w:r>
      <w:r>
        <w:fldChar w:fldCharType="end"/>
      </w:r>
    </w:p>
    <w:p w:rsidR="00F4654E" w:rsidRDefault="00F4654E">
      <w:pPr>
        <w:pStyle w:val="10"/>
        <w:rPr>
          <w:spacing w:val="0"/>
        </w:rPr>
      </w:pPr>
      <w:r>
        <w:rPr>
          <w:spacing w:val="0"/>
        </w:rPr>
        <w:t xml:space="preserve">Биологическая активность моноаквадипиридоксин </w:t>
      </w:r>
      <w:r>
        <w:rPr>
          <w:noProof w:val="0"/>
          <w:spacing w:val="0"/>
        </w:rPr>
        <w:br/>
      </w:r>
      <w:r>
        <w:rPr>
          <w:spacing w:val="0"/>
        </w:rPr>
        <w:t>хлорида меди</w:t>
      </w:r>
    </w:p>
    <w:p w:rsidR="00F4654E" w:rsidRDefault="00F4654E" w:rsidP="00562255">
      <w:pPr>
        <w:pStyle w:val="20"/>
      </w:pPr>
      <w:r>
        <w:t>Арзыбаев М., Карабатырова Г.А., Сулаймонкулов К.С., Шыйтиева Н.</w:t>
      </w:r>
      <w:r>
        <w:tab/>
      </w:r>
      <w:r>
        <w:fldChar w:fldCharType="begin"/>
      </w:r>
      <w:r>
        <w:instrText xml:space="preserve"> PAGEREF _Toc11937327 \h </w:instrText>
      </w:r>
      <w:r>
        <w:fldChar w:fldCharType="separate"/>
      </w:r>
      <w:r w:rsidR="00562255">
        <w:t>102</w:t>
      </w:r>
      <w:r>
        <w:fldChar w:fldCharType="end"/>
      </w:r>
    </w:p>
    <w:p w:rsidR="00F4654E" w:rsidRDefault="00F4654E">
      <w:pPr>
        <w:pStyle w:val="10"/>
        <w:rPr>
          <w:spacing w:val="0"/>
        </w:rPr>
      </w:pPr>
      <w:r>
        <w:rPr>
          <w:spacing w:val="0"/>
        </w:rPr>
        <w:t xml:space="preserve">влияния лигфола на систему пол-аоз у быков в ранней </w:t>
      </w:r>
      <w:r>
        <w:rPr>
          <w:noProof w:val="0"/>
          <w:spacing w:val="0"/>
        </w:rPr>
        <w:br/>
      </w:r>
      <w:r>
        <w:rPr>
          <w:spacing w:val="0"/>
        </w:rPr>
        <w:t>стадии применения</w:t>
      </w:r>
    </w:p>
    <w:p w:rsidR="00F4654E" w:rsidRDefault="00F4654E" w:rsidP="00562255">
      <w:pPr>
        <w:pStyle w:val="20"/>
      </w:pPr>
      <w:r>
        <w:t>Артемьев Е.И., Бузлама В.С.</w:t>
      </w:r>
      <w:r>
        <w:tab/>
      </w:r>
      <w:r>
        <w:fldChar w:fldCharType="begin"/>
      </w:r>
      <w:r>
        <w:instrText xml:space="preserve"> PAGEREF _Toc11937329 \h </w:instrText>
      </w:r>
      <w:r>
        <w:fldChar w:fldCharType="separate"/>
      </w:r>
      <w:r w:rsidR="00562255">
        <w:t>104</w:t>
      </w:r>
      <w:r>
        <w:fldChar w:fldCharType="end"/>
      </w:r>
    </w:p>
    <w:p w:rsidR="00F4654E" w:rsidRDefault="00F4654E">
      <w:pPr>
        <w:pStyle w:val="10"/>
        <w:rPr>
          <w:spacing w:val="0"/>
        </w:rPr>
      </w:pPr>
      <w:r>
        <w:rPr>
          <w:spacing w:val="0"/>
        </w:rPr>
        <w:t xml:space="preserve">Изменение показателей процессов перекисного окисления липидов </w:t>
      </w:r>
      <w:r>
        <w:rPr>
          <w:spacing w:val="0"/>
        </w:rPr>
        <w:br/>
        <w:t xml:space="preserve">и системы антиоксидантной защиты у быков на откорме на позднем </w:t>
      </w:r>
      <w:r>
        <w:rPr>
          <w:noProof w:val="0"/>
          <w:spacing w:val="0"/>
        </w:rPr>
        <w:br/>
      </w:r>
      <w:r>
        <w:rPr>
          <w:spacing w:val="0"/>
        </w:rPr>
        <w:t>этапе применения лигфола</w:t>
      </w:r>
    </w:p>
    <w:p w:rsidR="00F4654E" w:rsidRDefault="00F4654E" w:rsidP="00562255">
      <w:pPr>
        <w:pStyle w:val="20"/>
      </w:pPr>
      <w:r>
        <w:t>Артемьев Е.И.</w:t>
      </w:r>
      <w:r>
        <w:tab/>
      </w:r>
      <w:r>
        <w:fldChar w:fldCharType="begin"/>
      </w:r>
      <w:r>
        <w:instrText xml:space="preserve"> PAGEREF _Toc11937331 \h </w:instrText>
      </w:r>
      <w:r>
        <w:fldChar w:fldCharType="separate"/>
      </w:r>
      <w:r w:rsidR="00562255">
        <w:t>105</w:t>
      </w:r>
      <w:r>
        <w:fldChar w:fldCharType="end"/>
      </w:r>
    </w:p>
    <w:p w:rsidR="00F4654E" w:rsidRDefault="00F4654E">
      <w:pPr>
        <w:pStyle w:val="10"/>
        <w:rPr>
          <w:spacing w:val="0"/>
        </w:rPr>
      </w:pPr>
      <w:r>
        <w:rPr>
          <w:spacing w:val="0"/>
        </w:rPr>
        <w:t xml:space="preserve">ЭЛЕКТРОННО-МИКРОСКОПИЧЕСКОЕ ИССЛЕДОВАНИЕ ПОПУЛЯЦИЙ MYCOBACTERIUM </w:t>
      </w:r>
      <w:r>
        <w:rPr>
          <w:spacing w:val="0"/>
        </w:rPr>
        <w:br/>
        <w:t>AVIUM НА ОБЪЕКТАХ ОКРУЖАЮЩЕЙ СРЕДЫ</w:t>
      </w:r>
    </w:p>
    <w:p w:rsidR="00F4654E" w:rsidRDefault="00F4654E" w:rsidP="00562255">
      <w:pPr>
        <w:pStyle w:val="20"/>
      </w:pPr>
      <w:r>
        <w:t xml:space="preserve">Архипова </w:t>
      </w:r>
      <w:r>
        <w:rPr>
          <w:caps/>
        </w:rPr>
        <w:t>н.д.</w:t>
      </w:r>
      <w:r>
        <w:tab/>
      </w:r>
      <w:r>
        <w:fldChar w:fldCharType="begin"/>
      </w:r>
      <w:r>
        <w:instrText xml:space="preserve"> PAGEREF _Toc11937333 \h </w:instrText>
      </w:r>
      <w:r>
        <w:fldChar w:fldCharType="separate"/>
      </w:r>
      <w:r w:rsidR="00562255">
        <w:t>106</w:t>
      </w:r>
      <w:r>
        <w:fldChar w:fldCharType="end"/>
      </w:r>
    </w:p>
    <w:p w:rsidR="00F4654E" w:rsidRDefault="00F4654E">
      <w:pPr>
        <w:pStyle w:val="10"/>
        <w:rPr>
          <w:spacing w:val="0"/>
        </w:rPr>
      </w:pPr>
      <w:r>
        <w:rPr>
          <w:spacing w:val="0"/>
        </w:rPr>
        <w:t>ВЛИЯНИЕ ДИМЕТИЛСУЛЬФОКСИДА НА ПОПУЛЯЦИЮ КЛЕТОК МИКОБАКТЕРИЙ</w:t>
      </w:r>
    </w:p>
    <w:p w:rsidR="00F4654E" w:rsidRDefault="00F4654E" w:rsidP="00562255">
      <w:pPr>
        <w:pStyle w:val="20"/>
      </w:pPr>
      <w:r>
        <w:t>Архипова Н.Д.</w:t>
      </w:r>
      <w:r>
        <w:tab/>
      </w:r>
      <w:r>
        <w:fldChar w:fldCharType="begin"/>
      </w:r>
      <w:r>
        <w:instrText xml:space="preserve"> PAGEREF _Toc11937335 \h </w:instrText>
      </w:r>
      <w:r>
        <w:fldChar w:fldCharType="separate"/>
      </w:r>
      <w:r w:rsidR="00562255">
        <w:t>108</w:t>
      </w:r>
      <w:r>
        <w:fldChar w:fldCharType="end"/>
      </w:r>
    </w:p>
    <w:p w:rsidR="00F4654E" w:rsidRDefault="00F4654E">
      <w:pPr>
        <w:pStyle w:val="10"/>
        <w:rPr>
          <w:spacing w:val="0"/>
        </w:rPr>
      </w:pPr>
      <w:r>
        <w:rPr>
          <w:spacing w:val="0"/>
        </w:rPr>
        <w:t>изучение полипептидных профилей различных штаммов сальмонелл</w:t>
      </w:r>
    </w:p>
    <w:p w:rsidR="00F4654E" w:rsidRDefault="00F4654E" w:rsidP="00562255">
      <w:pPr>
        <w:pStyle w:val="20"/>
      </w:pPr>
      <w:r>
        <w:t>Ахмадеев Р.М., Зайнуллин Л.И., Алимов А.М.</w:t>
      </w:r>
      <w:r>
        <w:tab/>
      </w:r>
      <w:r>
        <w:fldChar w:fldCharType="begin"/>
      </w:r>
      <w:r>
        <w:instrText xml:space="preserve"> PAGEREF _Toc11937337 \h </w:instrText>
      </w:r>
      <w:r>
        <w:fldChar w:fldCharType="separate"/>
      </w:r>
      <w:r w:rsidR="00562255">
        <w:t>109</w:t>
      </w:r>
      <w:r>
        <w:fldChar w:fldCharType="end"/>
      </w:r>
    </w:p>
    <w:p w:rsidR="00F4654E" w:rsidRDefault="00F4654E">
      <w:pPr>
        <w:pStyle w:val="10"/>
        <w:rPr>
          <w:spacing w:val="0"/>
        </w:rPr>
      </w:pPr>
      <w:r>
        <w:rPr>
          <w:spacing w:val="0"/>
        </w:rPr>
        <w:t>НЕКОТОРЫЕ ОСОБЕННОСТИ КОЛОСТРАЛЬНОГО ИММУНИТЕТА</w:t>
      </w:r>
      <w:r>
        <w:rPr>
          <w:noProof w:val="0"/>
          <w:spacing w:val="0"/>
        </w:rPr>
        <w:t xml:space="preserve"> </w:t>
      </w:r>
      <w:r>
        <w:rPr>
          <w:spacing w:val="0"/>
        </w:rPr>
        <w:t>У ЯГНЯТ</w:t>
      </w:r>
    </w:p>
    <w:p w:rsidR="00F4654E" w:rsidRDefault="00F4654E" w:rsidP="00562255">
      <w:pPr>
        <w:pStyle w:val="20"/>
      </w:pPr>
      <w:r>
        <w:t>Абдалимов С.Х</w:t>
      </w:r>
      <w:r>
        <w:tab/>
      </w:r>
      <w:r>
        <w:fldChar w:fldCharType="begin"/>
      </w:r>
      <w:r>
        <w:instrText xml:space="preserve"> PAGEREF _Toc11937339 \h </w:instrText>
      </w:r>
      <w:r>
        <w:fldChar w:fldCharType="separate"/>
      </w:r>
      <w:r w:rsidR="00562255">
        <w:t>110</w:t>
      </w:r>
      <w:r>
        <w:fldChar w:fldCharType="end"/>
      </w:r>
    </w:p>
    <w:p w:rsidR="00F4654E" w:rsidRDefault="00F4654E">
      <w:pPr>
        <w:pStyle w:val="10"/>
        <w:rPr>
          <w:spacing w:val="0"/>
        </w:rPr>
      </w:pPr>
      <w:r>
        <w:rPr>
          <w:spacing w:val="0"/>
        </w:rPr>
        <w:t xml:space="preserve">Токсикометрическая оценка и эффективность нового препарата для профилактики желудочно-кишечных болезней новорожденных </w:t>
      </w:r>
      <w:r>
        <w:rPr>
          <w:noProof w:val="0"/>
          <w:spacing w:val="0"/>
        </w:rPr>
        <w:br/>
      </w:r>
      <w:r>
        <w:rPr>
          <w:spacing w:val="0"/>
        </w:rPr>
        <w:t>животных и птиц с признаками диареи</w:t>
      </w:r>
    </w:p>
    <w:p w:rsidR="00F4654E" w:rsidRDefault="00F4654E" w:rsidP="00562255">
      <w:pPr>
        <w:pStyle w:val="20"/>
      </w:pPr>
      <w:r>
        <w:t>Аргунов М.Н., Симонова Е.М., Щедров И.Н., Дедяев В.И.</w:t>
      </w:r>
      <w:r>
        <w:tab/>
      </w:r>
      <w:r>
        <w:fldChar w:fldCharType="begin"/>
      </w:r>
      <w:r>
        <w:instrText xml:space="preserve"> PAGEREF _Toc11937341 \h </w:instrText>
      </w:r>
      <w:r>
        <w:fldChar w:fldCharType="separate"/>
      </w:r>
      <w:r w:rsidR="00562255">
        <w:t>111</w:t>
      </w:r>
      <w:r>
        <w:fldChar w:fldCharType="end"/>
      </w:r>
    </w:p>
    <w:p w:rsidR="00F4654E" w:rsidRDefault="00F4654E">
      <w:pPr>
        <w:pStyle w:val="10"/>
        <w:rPr>
          <w:spacing w:val="0"/>
        </w:rPr>
      </w:pPr>
      <w:r>
        <w:rPr>
          <w:spacing w:val="0"/>
        </w:rPr>
        <w:t>Биохимические изменения в организме животных при экспериментальной интоксикации кадмием</w:t>
      </w:r>
    </w:p>
    <w:p w:rsidR="00F4654E" w:rsidRDefault="00F4654E" w:rsidP="00562255">
      <w:pPr>
        <w:pStyle w:val="20"/>
      </w:pPr>
      <w:r>
        <w:t>Аргунов М.Н., Свиридов Е.М.</w:t>
      </w:r>
      <w:r>
        <w:tab/>
      </w:r>
      <w:r>
        <w:fldChar w:fldCharType="begin"/>
      </w:r>
      <w:r>
        <w:instrText xml:space="preserve"> PAGEREF _Toc11937343 \h </w:instrText>
      </w:r>
      <w:r>
        <w:fldChar w:fldCharType="separate"/>
      </w:r>
      <w:r w:rsidR="00562255">
        <w:t>113</w:t>
      </w:r>
      <w:r>
        <w:fldChar w:fldCharType="end"/>
      </w:r>
    </w:p>
    <w:p w:rsidR="00F4654E" w:rsidRDefault="00F4654E">
      <w:pPr>
        <w:pStyle w:val="10"/>
        <w:rPr>
          <w:spacing w:val="0"/>
        </w:rPr>
      </w:pPr>
      <w:r>
        <w:rPr>
          <w:spacing w:val="0"/>
        </w:rPr>
        <w:t>ТЕРАПЕВТИЧЕСКАЯ АКТИВНОСТЬ ХИНОЛЕВОКСИДА ПРИ ЭКСПЕРИМЕНТАЛЬНЫХ ИНФЕКЦИЯХ БЕЛЫХ МЫШЕЙ</w:t>
      </w:r>
    </w:p>
    <w:p w:rsidR="00F4654E" w:rsidRDefault="00F4654E" w:rsidP="00562255">
      <w:pPr>
        <w:pStyle w:val="20"/>
      </w:pPr>
      <w:r>
        <w:t>Ащеулов В.В.</w:t>
      </w:r>
      <w:r>
        <w:tab/>
      </w:r>
      <w:r>
        <w:fldChar w:fldCharType="begin"/>
      </w:r>
      <w:r>
        <w:instrText xml:space="preserve"> PAGEREF _Toc11937345 \h </w:instrText>
      </w:r>
      <w:r>
        <w:fldChar w:fldCharType="separate"/>
      </w:r>
      <w:r w:rsidR="00562255">
        <w:t>115</w:t>
      </w:r>
      <w:r>
        <w:fldChar w:fldCharType="end"/>
      </w:r>
    </w:p>
    <w:p w:rsidR="00F4654E" w:rsidRDefault="00F4654E">
      <w:pPr>
        <w:pStyle w:val="10"/>
        <w:rPr>
          <w:spacing w:val="0"/>
        </w:rPr>
      </w:pPr>
      <w:r>
        <w:rPr>
          <w:spacing w:val="0"/>
        </w:rPr>
        <w:t>АНТИМИКРОБНАЯ АКТИВНОСТЬ ХИНОЛЕВОКСИДА</w:t>
      </w:r>
    </w:p>
    <w:p w:rsidR="00F4654E" w:rsidRDefault="00F4654E" w:rsidP="00562255">
      <w:pPr>
        <w:pStyle w:val="20"/>
      </w:pPr>
      <w:r>
        <w:t>Ащеулов В.В.</w:t>
      </w:r>
      <w:r>
        <w:tab/>
      </w:r>
      <w:r>
        <w:fldChar w:fldCharType="begin"/>
      </w:r>
      <w:r>
        <w:instrText xml:space="preserve"> PAGEREF _Toc11937347 \h </w:instrText>
      </w:r>
      <w:r>
        <w:fldChar w:fldCharType="separate"/>
      </w:r>
      <w:r w:rsidR="00562255">
        <w:t>117</w:t>
      </w:r>
      <w:r>
        <w:fldChar w:fldCharType="end"/>
      </w:r>
    </w:p>
    <w:p w:rsidR="00F4654E" w:rsidRDefault="00F4654E">
      <w:pPr>
        <w:pStyle w:val="10"/>
        <w:rPr>
          <w:spacing w:val="0"/>
        </w:rPr>
      </w:pPr>
      <w:r>
        <w:rPr>
          <w:spacing w:val="0"/>
        </w:rPr>
        <w:t xml:space="preserve">ИЗУЧЕНИЕ АДАПТАЦИИ И РЕАДАПТАЦИИ ЭШЕРИХИЙ И САЛЬМОНЕЛЛ </w:t>
      </w:r>
      <w:r>
        <w:rPr>
          <w:noProof w:val="0"/>
          <w:spacing w:val="0"/>
        </w:rPr>
        <w:br/>
      </w:r>
      <w:r>
        <w:rPr>
          <w:spacing w:val="0"/>
        </w:rPr>
        <w:t>К ХИНОЛЕВОКСИДУ</w:t>
      </w:r>
    </w:p>
    <w:p w:rsidR="00F4654E" w:rsidRDefault="00F4654E" w:rsidP="00562255">
      <w:pPr>
        <w:pStyle w:val="20"/>
      </w:pPr>
      <w:r>
        <w:t>Ащеулов В.В.</w:t>
      </w:r>
      <w:r>
        <w:tab/>
      </w:r>
      <w:r>
        <w:fldChar w:fldCharType="begin"/>
      </w:r>
      <w:r>
        <w:instrText xml:space="preserve"> PAGEREF _Toc11937349 \h </w:instrText>
      </w:r>
      <w:r>
        <w:fldChar w:fldCharType="separate"/>
      </w:r>
      <w:r w:rsidR="00562255">
        <w:t>118</w:t>
      </w:r>
      <w:r>
        <w:fldChar w:fldCharType="end"/>
      </w:r>
    </w:p>
    <w:p w:rsidR="00F4654E" w:rsidRDefault="00F4654E">
      <w:pPr>
        <w:pStyle w:val="10"/>
        <w:rPr>
          <w:spacing w:val="0"/>
        </w:rPr>
      </w:pPr>
      <w:r>
        <w:rPr>
          <w:spacing w:val="0"/>
        </w:rPr>
        <w:t>СРАВНИТЕЛЬНАЯ ЭФФЕКТИВНОСТЬ МЕТОДОВ ЛЕЧЕНИЯ ТЕЛЯТ,</w:t>
      </w:r>
      <w:r w:rsidR="00E05280">
        <w:rPr>
          <w:spacing w:val="0"/>
        </w:rPr>
        <w:t xml:space="preserve"> </w:t>
      </w:r>
      <w:r>
        <w:rPr>
          <w:spacing w:val="0"/>
        </w:rPr>
        <w:t>БОЛЬНЫХ ТИМПАНИЕЙ</w:t>
      </w:r>
    </w:p>
    <w:p w:rsidR="00F4654E" w:rsidRDefault="00F4654E" w:rsidP="00562255">
      <w:pPr>
        <w:pStyle w:val="20"/>
      </w:pPr>
      <w:r>
        <w:t>Бабкина Т.Н.,  Щебетовский Д.А.</w:t>
      </w:r>
      <w:r>
        <w:tab/>
      </w:r>
      <w:r>
        <w:fldChar w:fldCharType="begin"/>
      </w:r>
      <w:r>
        <w:instrText xml:space="preserve"> PAGEREF _Toc11937351 \h </w:instrText>
      </w:r>
      <w:r>
        <w:fldChar w:fldCharType="separate"/>
      </w:r>
      <w:r w:rsidR="00562255">
        <w:t>119</w:t>
      </w:r>
      <w:r>
        <w:fldChar w:fldCharType="end"/>
      </w:r>
    </w:p>
    <w:p w:rsidR="00F4654E" w:rsidRDefault="00F4654E">
      <w:pPr>
        <w:pStyle w:val="10"/>
        <w:rPr>
          <w:spacing w:val="0"/>
        </w:rPr>
      </w:pPr>
      <w:r>
        <w:rPr>
          <w:spacing w:val="0"/>
        </w:rPr>
        <w:t>Полиштаммовая эмульсионная инактивированная вакцина  ВНИИЗЖ для иммунопрофилактики трансмиссивного гастроэнтерита поросят</w:t>
      </w:r>
    </w:p>
    <w:p w:rsidR="00F4654E" w:rsidRDefault="00F4654E" w:rsidP="00562255">
      <w:pPr>
        <w:pStyle w:val="20"/>
      </w:pPr>
      <w:r>
        <w:t xml:space="preserve">Байбиков Т.З., Пузанкова О.С., Кукушкин С.А.,  </w:t>
      </w:r>
      <w:r>
        <w:rPr>
          <w:noProof w:val="0"/>
        </w:rPr>
        <w:br/>
      </w:r>
      <w:r>
        <w:t>Рахманов А. М., Толокнов А.С.</w:t>
      </w:r>
      <w:r>
        <w:tab/>
      </w:r>
      <w:r>
        <w:fldChar w:fldCharType="begin"/>
      </w:r>
      <w:r>
        <w:instrText xml:space="preserve"> PAGEREF _Toc11937353 \h </w:instrText>
      </w:r>
      <w:r>
        <w:fldChar w:fldCharType="separate"/>
      </w:r>
      <w:r w:rsidR="00562255">
        <w:t>122</w:t>
      </w:r>
      <w:r>
        <w:fldChar w:fldCharType="end"/>
      </w:r>
    </w:p>
    <w:p w:rsidR="00F4654E" w:rsidRDefault="00F4654E">
      <w:pPr>
        <w:pStyle w:val="10"/>
        <w:rPr>
          <w:spacing w:val="0"/>
        </w:rPr>
      </w:pPr>
      <w:r>
        <w:rPr>
          <w:spacing w:val="0"/>
        </w:rPr>
        <w:t xml:space="preserve">МОРФОГЕНЕЗ ПОЛОВЫХ ОРГАНОВ И ВОСПРОИЗВОДИТЕЛЬНАЯ СПОСОБНОСТЬ </w:t>
      </w:r>
      <w:r>
        <w:rPr>
          <w:noProof w:val="0"/>
          <w:spacing w:val="0"/>
        </w:rPr>
        <w:br/>
      </w:r>
      <w:r>
        <w:rPr>
          <w:spacing w:val="0"/>
        </w:rPr>
        <w:t>ТЕЛОК В ЗАВИСИМОСТИ ОТ СТЕПЕНИ ЛОКОМОЦИИ</w:t>
      </w:r>
    </w:p>
    <w:p w:rsidR="00F4654E" w:rsidRDefault="00F4654E" w:rsidP="00562255">
      <w:pPr>
        <w:pStyle w:val="20"/>
      </w:pPr>
      <w:r>
        <w:t>Баймишев Х.Б.</w:t>
      </w:r>
      <w:r>
        <w:tab/>
      </w:r>
      <w:r>
        <w:fldChar w:fldCharType="begin"/>
      </w:r>
      <w:r>
        <w:instrText xml:space="preserve"> PAGEREF _Toc11937355 \h </w:instrText>
      </w:r>
      <w:r>
        <w:fldChar w:fldCharType="separate"/>
      </w:r>
      <w:r w:rsidR="00562255">
        <w:t>124</w:t>
      </w:r>
      <w:r>
        <w:fldChar w:fldCharType="end"/>
      </w:r>
    </w:p>
    <w:p w:rsidR="00F4654E" w:rsidRDefault="00F4654E">
      <w:pPr>
        <w:pStyle w:val="10"/>
        <w:rPr>
          <w:spacing w:val="0"/>
        </w:rPr>
      </w:pPr>
      <w:r>
        <w:rPr>
          <w:spacing w:val="0"/>
        </w:rPr>
        <w:t>ПРИМЕНЕНИЕ ГОРМОНОВ ТИМУСА ДЛЯ КОРРЕКЦИИ ИММУНОЛОГИЧЕСКОЙ</w:t>
      </w:r>
      <w:r>
        <w:rPr>
          <w:spacing w:val="0"/>
        </w:rPr>
        <w:br/>
        <w:t>РЕАКТИВНОСТИ ТЕЛЯТ</w:t>
      </w:r>
    </w:p>
    <w:p w:rsidR="00F4654E" w:rsidRDefault="00F4654E" w:rsidP="00562255">
      <w:pPr>
        <w:pStyle w:val="20"/>
      </w:pPr>
      <w:r>
        <w:t>Басова Н.Ю.</w:t>
      </w:r>
      <w:r>
        <w:tab/>
      </w:r>
      <w:r>
        <w:fldChar w:fldCharType="begin"/>
      </w:r>
      <w:r>
        <w:instrText xml:space="preserve"> PAGEREF _Toc11937357 \h </w:instrText>
      </w:r>
      <w:r>
        <w:fldChar w:fldCharType="separate"/>
      </w:r>
      <w:r w:rsidR="00562255">
        <w:t>127</w:t>
      </w:r>
      <w:r>
        <w:fldChar w:fldCharType="end"/>
      </w:r>
    </w:p>
    <w:p w:rsidR="00F4654E" w:rsidRDefault="00F4654E">
      <w:pPr>
        <w:pStyle w:val="10"/>
        <w:rPr>
          <w:spacing w:val="0"/>
        </w:rPr>
      </w:pPr>
      <w:r>
        <w:rPr>
          <w:spacing w:val="0"/>
        </w:rPr>
        <w:lastRenderedPageBreak/>
        <w:t xml:space="preserve">РАСПРОСТРАНЕНИЕ РЕСПИРАТОРНЫХ БОЛЕЗНЕЙ МОЛОДНЯКА КРУПНОГО </w:t>
      </w:r>
      <w:r>
        <w:rPr>
          <w:noProof w:val="0"/>
          <w:spacing w:val="0"/>
        </w:rPr>
        <w:br/>
      </w:r>
      <w:r>
        <w:rPr>
          <w:spacing w:val="0"/>
        </w:rPr>
        <w:t>РОГАТОГО СКОТА В КРАСНОДАРСКОМ КРАЕ</w:t>
      </w:r>
    </w:p>
    <w:p w:rsidR="00F4654E" w:rsidRDefault="00F4654E" w:rsidP="00562255">
      <w:pPr>
        <w:pStyle w:val="20"/>
      </w:pPr>
      <w:r>
        <w:t>Басова Н.Ю., Шипицын А.Г., Бель В.В.</w:t>
      </w:r>
      <w:r>
        <w:tab/>
      </w:r>
      <w:r>
        <w:fldChar w:fldCharType="begin"/>
      </w:r>
      <w:r>
        <w:instrText xml:space="preserve"> PAGEREF _Toc11937359 \h </w:instrText>
      </w:r>
      <w:r>
        <w:fldChar w:fldCharType="separate"/>
      </w:r>
      <w:r w:rsidR="00562255">
        <w:t>129</w:t>
      </w:r>
      <w:r>
        <w:fldChar w:fldCharType="end"/>
      </w:r>
    </w:p>
    <w:p w:rsidR="00F4654E" w:rsidRDefault="00F4654E">
      <w:pPr>
        <w:pStyle w:val="10"/>
        <w:rPr>
          <w:spacing w:val="0"/>
        </w:rPr>
      </w:pPr>
      <w:r>
        <w:rPr>
          <w:spacing w:val="0"/>
        </w:rPr>
        <w:t xml:space="preserve">Особенности циркадианных ритмов внутриклеточного ионизированного кальция и РНК в гепатоцитах крыс с экспериментальным </w:t>
      </w:r>
      <w:r>
        <w:rPr>
          <w:noProof w:val="0"/>
          <w:spacing w:val="0"/>
        </w:rPr>
        <w:br/>
      </w:r>
      <w:r>
        <w:rPr>
          <w:spacing w:val="0"/>
        </w:rPr>
        <w:t>гиперпаратиреозом</w:t>
      </w:r>
    </w:p>
    <w:p w:rsidR="00F4654E" w:rsidRDefault="00F4654E" w:rsidP="00562255">
      <w:pPr>
        <w:pStyle w:val="20"/>
      </w:pPr>
      <w:r>
        <w:t>Батурин В.А., Тимченко Л.Д., Арешидзе Д.А., Руденко В.В.</w:t>
      </w:r>
      <w:r>
        <w:tab/>
      </w:r>
      <w:r>
        <w:fldChar w:fldCharType="begin"/>
      </w:r>
      <w:r>
        <w:instrText xml:space="preserve"> PAGEREF _Toc11937361 \h </w:instrText>
      </w:r>
      <w:r>
        <w:fldChar w:fldCharType="separate"/>
      </w:r>
      <w:r w:rsidR="00562255">
        <w:t>130</w:t>
      </w:r>
      <w:r>
        <w:fldChar w:fldCharType="end"/>
      </w:r>
    </w:p>
    <w:p w:rsidR="00F4654E" w:rsidRDefault="00F4654E">
      <w:pPr>
        <w:pStyle w:val="10"/>
        <w:rPr>
          <w:spacing w:val="0"/>
        </w:rPr>
      </w:pPr>
      <w:r>
        <w:rPr>
          <w:spacing w:val="0"/>
        </w:rPr>
        <w:t>Патоморфологические признаки кандидоза индюшат</w:t>
      </w:r>
    </w:p>
    <w:p w:rsidR="00F4654E" w:rsidRDefault="00F4654E" w:rsidP="00562255">
      <w:pPr>
        <w:pStyle w:val="20"/>
      </w:pPr>
      <w:r>
        <w:t>Белокобыльская Л.Г.</w:t>
      </w:r>
      <w:r>
        <w:tab/>
      </w:r>
      <w:r>
        <w:fldChar w:fldCharType="begin"/>
      </w:r>
      <w:r>
        <w:instrText xml:space="preserve"> PAGEREF _Toc11937363 \h </w:instrText>
      </w:r>
      <w:r>
        <w:fldChar w:fldCharType="separate"/>
      </w:r>
      <w:r w:rsidR="00562255">
        <w:t>132</w:t>
      </w:r>
      <w:r>
        <w:fldChar w:fldCharType="end"/>
      </w:r>
    </w:p>
    <w:p w:rsidR="00F4654E" w:rsidRDefault="00F4654E">
      <w:pPr>
        <w:pStyle w:val="10"/>
        <w:rPr>
          <w:spacing w:val="0"/>
        </w:rPr>
      </w:pPr>
      <w:r>
        <w:rPr>
          <w:spacing w:val="0"/>
        </w:rPr>
        <w:t xml:space="preserve">Профилактика мастита коров путем применения препаратов селена </w:t>
      </w:r>
      <w:r>
        <w:rPr>
          <w:noProof w:val="0"/>
          <w:spacing w:val="0"/>
        </w:rPr>
        <w:br/>
      </w:r>
      <w:r>
        <w:rPr>
          <w:spacing w:val="0"/>
        </w:rPr>
        <w:t>в период сухостоя</w:t>
      </w:r>
    </w:p>
    <w:p w:rsidR="00F4654E" w:rsidRDefault="00F4654E" w:rsidP="00562255">
      <w:pPr>
        <w:pStyle w:val="20"/>
      </w:pPr>
      <w:r>
        <w:t>Беляев В.И., Слободяник В.И., Брюхова И.В.</w:t>
      </w:r>
      <w:r>
        <w:tab/>
      </w:r>
      <w:r>
        <w:fldChar w:fldCharType="begin"/>
      </w:r>
      <w:r>
        <w:instrText xml:space="preserve"> PAGEREF _Toc11937365 \h </w:instrText>
      </w:r>
      <w:r>
        <w:fldChar w:fldCharType="separate"/>
      </w:r>
      <w:r w:rsidR="00562255">
        <w:t>133</w:t>
      </w:r>
      <w:r>
        <w:fldChar w:fldCharType="end"/>
      </w:r>
    </w:p>
    <w:p w:rsidR="00F4654E" w:rsidRDefault="00F4654E">
      <w:pPr>
        <w:pStyle w:val="10"/>
        <w:rPr>
          <w:spacing w:val="0"/>
        </w:rPr>
      </w:pPr>
      <w:r>
        <w:rPr>
          <w:spacing w:val="0"/>
        </w:rPr>
        <w:t>ВЛИЯНИЕ ПРЕПАРАТА СЕЛЕКОР НА ОРГАНИЗМ ПОРОСЯТ-ОТЪЕМЫШЕЙ</w:t>
      </w:r>
    </w:p>
    <w:p w:rsidR="00F4654E" w:rsidRDefault="00F4654E" w:rsidP="00562255">
      <w:pPr>
        <w:pStyle w:val="20"/>
      </w:pPr>
      <w:r>
        <w:t>Беляев В.И., Мельникова Т.Е., Алехин Ю.Н., Часовников А.В.</w:t>
      </w:r>
      <w:r>
        <w:tab/>
      </w:r>
      <w:r>
        <w:fldChar w:fldCharType="begin"/>
      </w:r>
      <w:r>
        <w:instrText xml:space="preserve"> PAGEREF _Toc11937367 \h </w:instrText>
      </w:r>
      <w:r>
        <w:fldChar w:fldCharType="separate"/>
      </w:r>
      <w:r w:rsidR="00562255">
        <w:t>134</w:t>
      </w:r>
      <w:r>
        <w:fldChar w:fldCharType="end"/>
      </w:r>
    </w:p>
    <w:p w:rsidR="00F4654E" w:rsidRDefault="00F4654E">
      <w:pPr>
        <w:pStyle w:val="10"/>
        <w:rPr>
          <w:spacing w:val="0"/>
        </w:rPr>
      </w:pPr>
      <w:r>
        <w:rPr>
          <w:spacing w:val="0"/>
        </w:rPr>
        <w:t xml:space="preserve">КОНЦЕНТРАЦИЯ  ИММУНОГЛОБУЛИНОВ G, M, A  В  СЫВОРОТКЕ КРОВИ КОРОВ </w:t>
      </w:r>
      <w:r>
        <w:rPr>
          <w:noProof w:val="0"/>
          <w:spacing w:val="0"/>
        </w:rPr>
        <w:br/>
      </w:r>
      <w:r>
        <w:rPr>
          <w:spacing w:val="0"/>
        </w:rPr>
        <w:t>ДО И ПОСЛЕ ОТЕЛА</w:t>
      </w:r>
    </w:p>
    <w:p w:rsidR="00F4654E" w:rsidRDefault="00F4654E" w:rsidP="00562255">
      <w:pPr>
        <w:pStyle w:val="20"/>
      </w:pPr>
      <w:r>
        <w:t>Беляев В.И., Лободин К.А.</w:t>
      </w:r>
      <w:r>
        <w:tab/>
      </w:r>
      <w:r>
        <w:fldChar w:fldCharType="begin"/>
      </w:r>
      <w:r>
        <w:instrText xml:space="preserve"> PAGEREF _Toc11937369 \h </w:instrText>
      </w:r>
      <w:r>
        <w:fldChar w:fldCharType="separate"/>
      </w:r>
      <w:r w:rsidR="00562255">
        <w:t>136</w:t>
      </w:r>
      <w:r>
        <w:fldChar w:fldCharType="end"/>
      </w:r>
    </w:p>
    <w:p w:rsidR="00F4654E" w:rsidRDefault="00F4654E">
      <w:pPr>
        <w:pStyle w:val="10"/>
        <w:rPr>
          <w:spacing w:val="0"/>
        </w:rPr>
      </w:pPr>
      <w:r>
        <w:rPr>
          <w:spacing w:val="0"/>
        </w:rPr>
        <w:t>МИКРОБИОЦЕНОЗ ПОЛОВОГО ТРАКТА СВИНОМАТОК ДО ОПОРОСА</w:t>
      </w:r>
    </w:p>
    <w:p w:rsidR="00F4654E" w:rsidRDefault="00F4654E" w:rsidP="00562255">
      <w:pPr>
        <w:pStyle w:val="20"/>
      </w:pPr>
      <w:r>
        <w:t>Бирюков М.В.</w:t>
      </w:r>
      <w:r>
        <w:tab/>
      </w:r>
      <w:r>
        <w:fldChar w:fldCharType="begin"/>
      </w:r>
      <w:r>
        <w:instrText xml:space="preserve"> PAGEREF _Toc11937371 \h </w:instrText>
      </w:r>
      <w:r>
        <w:fldChar w:fldCharType="separate"/>
      </w:r>
      <w:r w:rsidR="00562255">
        <w:t>137</w:t>
      </w:r>
      <w:r>
        <w:fldChar w:fldCharType="end"/>
      </w:r>
    </w:p>
    <w:p w:rsidR="00F4654E" w:rsidRDefault="00F4654E">
      <w:pPr>
        <w:pStyle w:val="10"/>
        <w:rPr>
          <w:spacing w:val="0"/>
        </w:rPr>
      </w:pPr>
      <w:r>
        <w:rPr>
          <w:spacing w:val="0"/>
        </w:rPr>
        <w:t xml:space="preserve">ИММУНОМОРФОЛОГИЧЕСКИЕ ИЗМЕНЕНИЯ У ПОРОСЯТ ПОСТНАТАЛЬНОГО </w:t>
      </w:r>
      <w:r>
        <w:rPr>
          <w:noProof w:val="0"/>
          <w:spacing w:val="0"/>
        </w:rPr>
        <w:br/>
      </w:r>
      <w:r>
        <w:rPr>
          <w:spacing w:val="0"/>
        </w:rPr>
        <w:t>ПЕРИОДА</w:t>
      </w:r>
      <w:r>
        <w:rPr>
          <w:noProof w:val="0"/>
          <w:spacing w:val="0"/>
        </w:rPr>
        <w:t xml:space="preserve"> </w:t>
      </w:r>
      <w:r>
        <w:rPr>
          <w:spacing w:val="0"/>
        </w:rPr>
        <w:t>ПРИ СПОНТАННОМ РРСС</w:t>
      </w:r>
    </w:p>
    <w:p w:rsidR="00F4654E" w:rsidRDefault="00F4654E" w:rsidP="00562255">
      <w:pPr>
        <w:pStyle w:val="20"/>
      </w:pPr>
      <w:r>
        <w:t>Бородавкин И. В., Бубнова Е. А.</w:t>
      </w:r>
      <w:r>
        <w:tab/>
      </w:r>
      <w:r>
        <w:fldChar w:fldCharType="begin"/>
      </w:r>
      <w:r>
        <w:instrText xml:space="preserve"> PAGEREF _Toc11937373 \h </w:instrText>
      </w:r>
      <w:r>
        <w:fldChar w:fldCharType="separate"/>
      </w:r>
      <w:r w:rsidR="00562255">
        <w:t>139</w:t>
      </w:r>
      <w:r>
        <w:fldChar w:fldCharType="end"/>
      </w:r>
    </w:p>
    <w:p w:rsidR="00F4654E" w:rsidRDefault="00F4654E">
      <w:pPr>
        <w:pStyle w:val="10"/>
        <w:rPr>
          <w:spacing w:val="0"/>
        </w:rPr>
      </w:pPr>
      <w:r>
        <w:rPr>
          <w:spacing w:val="0"/>
        </w:rPr>
        <w:t xml:space="preserve">ПАТОМОРФОЛОГИЧЕСКИЙ ДИАГНОЗ  РЕПРОДУКТИВНО-РЕСПИРАТОРНОГО </w:t>
      </w:r>
      <w:r>
        <w:rPr>
          <w:noProof w:val="0"/>
          <w:spacing w:val="0"/>
        </w:rPr>
        <w:br/>
      </w:r>
      <w:r>
        <w:rPr>
          <w:spacing w:val="0"/>
        </w:rPr>
        <w:t>СИНДРОМА СВИНЕЙ</w:t>
      </w:r>
    </w:p>
    <w:p w:rsidR="00F4654E" w:rsidRDefault="00F4654E" w:rsidP="00562255">
      <w:pPr>
        <w:pStyle w:val="20"/>
      </w:pPr>
      <w:r>
        <w:t>Бородавкин И. В., Бубнова Е.А.</w:t>
      </w:r>
      <w:r>
        <w:tab/>
      </w:r>
      <w:r>
        <w:fldChar w:fldCharType="begin"/>
      </w:r>
      <w:r>
        <w:instrText xml:space="preserve"> PAGEREF _Toc11937375 \h </w:instrText>
      </w:r>
      <w:r>
        <w:fldChar w:fldCharType="separate"/>
      </w:r>
      <w:r w:rsidR="00562255">
        <w:t>140</w:t>
      </w:r>
      <w:r>
        <w:fldChar w:fldCharType="end"/>
      </w:r>
    </w:p>
    <w:p w:rsidR="00F4654E" w:rsidRDefault="00F4654E">
      <w:pPr>
        <w:pStyle w:val="10"/>
        <w:rPr>
          <w:spacing w:val="0"/>
        </w:rPr>
      </w:pPr>
      <w:r>
        <w:rPr>
          <w:spacing w:val="0"/>
        </w:rPr>
        <w:t xml:space="preserve">ИЗУЧЕНИЕ ЭФФЕКТИВНОСТИ ПРЕПАРАТА СКБ (СМЕСЬ КОРМОВАЯ БЕЛКОВАЯ) </w:t>
      </w:r>
      <w:r>
        <w:rPr>
          <w:noProof w:val="0"/>
          <w:spacing w:val="0"/>
        </w:rPr>
        <w:br/>
      </w:r>
      <w:r>
        <w:rPr>
          <w:spacing w:val="0"/>
        </w:rPr>
        <w:t>ДЛЯ КУР-НЕСУШЕК</w:t>
      </w:r>
    </w:p>
    <w:p w:rsidR="00F4654E" w:rsidRDefault="00F4654E" w:rsidP="00562255">
      <w:pPr>
        <w:pStyle w:val="20"/>
      </w:pPr>
      <w:r>
        <w:t>Бояринцев Л.Е.</w:t>
      </w:r>
      <w:r>
        <w:tab/>
      </w:r>
      <w:r>
        <w:fldChar w:fldCharType="begin"/>
      </w:r>
      <w:r>
        <w:instrText xml:space="preserve"> PAGEREF _Toc11937377 \h </w:instrText>
      </w:r>
      <w:r>
        <w:fldChar w:fldCharType="separate"/>
      </w:r>
      <w:r w:rsidR="00562255">
        <w:t>141</w:t>
      </w:r>
      <w:r>
        <w:fldChar w:fldCharType="end"/>
      </w:r>
    </w:p>
    <w:p w:rsidR="00F4654E" w:rsidRDefault="00F4654E">
      <w:pPr>
        <w:pStyle w:val="10"/>
        <w:rPr>
          <w:spacing w:val="0"/>
        </w:rPr>
      </w:pPr>
      <w:r>
        <w:rPr>
          <w:spacing w:val="0"/>
        </w:rPr>
        <w:t>ВЛИЯНИЕ «ФОСПРЕНИЛА» НА ПРОДУКТИВНОЕ ЗДОРОВЬЕ ПЕСЦОВ</w:t>
      </w:r>
    </w:p>
    <w:p w:rsidR="00F4654E" w:rsidRDefault="00F4654E" w:rsidP="00562255">
      <w:pPr>
        <w:pStyle w:val="20"/>
      </w:pPr>
      <w:r>
        <w:t>Брюхова И.В., Жуков С.П.</w:t>
      </w:r>
      <w:r>
        <w:tab/>
      </w:r>
      <w:r>
        <w:fldChar w:fldCharType="begin"/>
      </w:r>
      <w:r>
        <w:instrText xml:space="preserve"> PAGEREF _Toc11937379 \h </w:instrText>
      </w:r>
      <w:r>
        <w:fldChar w:fldCharType="separate"/>
      </w:r>
      <w:r w:rsidR="00562255">
        <w:t>143</w:t>
      </w:r>
      <w:r>
        <w:fldChar w:fldCharType="end"/>
      </w:r>
    </w:p>
    <w:p w:rsidR="00F4654E" w:rsidRDefault="00F4654E">
      <w:pPr>
        <w:pStyle w:val="10"/>
        <w:rPr>
          <w:spacing w:val="0"/>
        </w:rPr>
      </w:pPr>
      <w:r>
        <w:rPr>
          <w:spacing w:val="0"/>
        </w:rPr>
        <w:t>ИЗМЕНЕНИЕ БИОХИМИЧЕСКИХ ПОКАЗАТЕЛЕЙ СЫВОРОТКИ КРОВИ ОВЦЕМАТОК И ИХ ПРИПЛОДА ПОД ВЛИЯНИЕМ ТКАНЕВОГО ПРЕПАРАТА ИЗ КУКУМАРИИ ЯПОНСКОЙ</w:t>
      </w:r>
    </w:p>
    <w:p w:rsidR="00F4654E" w:rsidRDefault="00F4654E" w:rsidP="00562255">
      <w:pPr>
        <w:pStyle w:val="20"/>
      </w:pPr>
      <w:r>
        <w:t>Бугатов А.Б., Абидуева Е.Ю., Чойдонов А.С.</w:t>
      </w:r>
      <w:r>
        <w:tab/>
      </w:r>
      <w:r>
        <w:fldChar w:fldCharType="begin"/>
      </w:r>
      <w:r>
        <w:instrText xml:space="preserve"> PAGEREF _Toc11937381 \h </w:instrText>
      </w:r>
      <w:r>
        <w:fldChar w:fldCharType="separate"/>
      </w:r>
      <w:r w:rsidR="00562255">
        <w:t>145</w:t>
      </w:r>
      <w:r>
        <w:fldChar w:fldCharType="end"/>
      </w:r>
    </w:p>
    <w:p w:rsidR="00F4654E" w:rsidRDefault="00F4654E">
      <w:pPr>
        <w:pStyle w:val="10"/>
        <w:rPr>
          <w:spacing w:val="0"/>
        </w:rPr>
      </w:pPr>
      <w:r>
        <w:rPr>
          <w:spacing w:val="0"/>
        </w:rPr>
        <w:t xml:space="preserve">ВЛИЯНИЕ ЭКСТРАКТА КУКУМАРИИ ЯПОНСКОЙ НА КЛЕТОЧНЫЕ И ГУМОРАЛЬНЫЕ </w:t>
      </w:r>
      <w:r>
        <w:rPr>
          <w:spacing w:val="0"/>
        </w:rPr>
        <w:br/>
        <w:t xml:space="preserve">ФАКТОРЫ НЕСПЕЦЕФИЧЕСКОЙ РЕЗИСТЕНТНОСТИ ЯГНЯТ АБОРИГЕННОЙ </w:t>
      </w:r>
      <w:r>
        <w:rPr>
          <w:spacing w:val="0"/>
        </w:rPr>
        <w:br/>
        <w:t>БУРЯТСКОЙ ПОРОДЫ</w:t>
      </w:r>
    </w:p>
    <w:p w:rsidR="00F4654E" w:rsidRDefault="00F4654E" w:rsidP="00562255">
      <w:pPr>
        <w:pStyle w:val="20"/>
      </w:pPr>
      <w:r>
        <w:t>Бугатов А.Б., Чойдонов А.С., Тарнуев Ю.А., Лубсанова Л.Б.</w:t>
      </w:r>
      <w:r>
        <w:tab/>
      </w:r>
      <w:r>
        <w:fldChar w:fldCharType="begin"/>
      </w:r>
      <w:r>
        <w:instrText xml:space="preserve"> PAGEREF _Toc11937383 \h </w:instrText>
      </w:r>
      <w:r>
        <w:fldChar w:fldCharType="separate"/>
      </w:r>
      <w:r w:rsidR="00562255">
        <w:t>147</w:t>
      </w:r>
      <w:r>
        <w:fldChar w:fldCharType="end"/>
      </w:r>
    </w:p>
    <w:p w:rsidR="00F4654E" w:rsidRDefault="00F4654E">
      <w:pPr>
        <w:pStyle w:val="10"/>
        <w:rPr>
          <w:spacing w:val="0"/>
        </w:rPr>
      </w:pPr>
      <w:r>
        <w:rPr>
          <w:spacing w:val="0"/>
        </w:rPr>
        <w:t xml:space="preserve">ОПЕРАТИВНОЕ ВЖИВЛЕНИЕ ЭЛЕКТРОДОВ В ЖЕЛУДОК И ОТДЕЛЫ КИШЕЧНИКА </w:t>
      </w:r>
      <w:r>
        <w:rPr>
          <w:noProof w:val="0"/>
          <w:spacing w:val="0"/>
        </w:rPr>
        <w:br/>
      </w:r>
      <w:r>
        <w:rPr>
          <w:spacing w:val="0"/>
        </w:rPr>
        <w:t>ГУСЕЙ, ИНДЕЕК</w:t>
      </w:r>
    </w:p>
    <w:p w:rsidR="00F4654E" w:rsidRDefault="00F4654E" w:rsidP="00562255">
      <w:pPr>
        <w:pStyle w:val="20"/>
      </w:pPr>
      <w:r>
        <w:t>Будаев Р.Д.</w:t>
      </w:r>
      <w:r>
        <w:tab/>
      </w:r>
      <w:r>
        <w:fldChar w:fldCharType="begin"/>
      </w:r>
      <w:r>
        <w:instrText xml:space="preserve"> PAGEREF _Toc11937385 \h </w:instrText>
      </w:r>
      <w:r>
        <w:fldChar w:fldCharType="separate"/>
      </w:r>
      <w:r w:rsidR="00562255">
        <w:t>149</w:t>
      </w:r>
      <w:r>
        <w:fldChar w:fldCharType="end"/>
      </w:r>
    </w:p>
    <w:p w:rsidR="00F4654E" w:rsidRDefault="00F4654E">
      <w:pPr>
        <w:pStyle w:val="10"/>
        <w:rPr>
          <w:spacing w:val="0"/>
        </w:rPr>
      </w:pPr>
      <w:r>
        <w:rPr>
          <w:spacing w:val="0"/>
        </w:rPr>
        <w:t>МЕТОДИКА ВЖИВЛЕНИЯ ЭЛЕКТРОДОВ В МЫШЕЧНЫЙ, ЖЕЛЕЗИСТЫЙ ЖЕЛУДОК, ДВЕНАДЦАТИПЕРСТНУЮ,ТОЩУЮ, ПОДЗДОШНУЮ И СЛЕПЫЕ КИШКИ У КУР</w:t>
      </w:r>
    </w:p>
    <w:p w:rsidR="00F4654E" w:rsidRDefault="00F4654E" w:rsidP="00562255">
      <w:pPr>
        <w:pStyle w:val="20"/>
      </w:pPr>
      <w:r>
        <w:t>Будаев Р.Д., Холхоева О.В.</w:t>
      </w:r>
      <w:r>
        <w:tab/>
      </w:r>
      <w:r>
        <w:fldChar w:fldCharType="begin"/>
      </w:r>
      <w:r>
        <w:instrText xml:space="preserve"> PAGEREF _Toc11937387 \h </w:instrText>
      </w:r>
      <w:r>
        <w:fldChar w:fldCharType="separate"/>
      </w:r>
      <w:r w:rsidR="00562255">
        <w:t>150</w:t>
      </w:r>
      <w:r>
        <w:fldChar w:fldCharType="end"/>
      </w:r>
    </w:p>
    <w:p w:rsidR="00F4654E" w:rsidRDefault="00F4654E">
      <w:pPr>
        <w:pStyle w:val="10"/>
        <w:rPr>
          <w:spacing w:val="0"/>
        </w:rPr>
      </w:pPr>
      <w:r>
        <w:rPr>
          <w:spacing w:val="0"/>
        </w:rPr>
        <w:t>Результаты практического применения адаптогенА  стресс-корректора  лигфола на  группе  поросят пиг-балия</w:t>
      </w:r>
    </w:p>
    <w:p w:rsidR="00F4654E" w:rsidRDefault="00F4654E" w:rsidP="00562255">
      <w:pPr>
        <w:pStyle w:val="20"/>
      </w:pPr>
      <w:r>
        <w:t>Бузлама С.В.</w:t>
      </w:r>
      <w:r>
        <w:tab/>
      </w:r>
      <w:r>
        <w:fldChar w:fldCharType="begin"/>
      </w:r>
      <w:r>
        <w:instrText xml:space="preserve"> PAGEREF _Toc11937389 \h </w:instrText>
      </w:r>
      <w:r>
        <w:fldChar w:fldCharType="separate"/>
      </w:r>
      <w:r w:rsidR="00562255">
        <w:t>151</w:t>
      </w:r>
      <w:r>
        <w:fldChar w:fldCharType="end"/>
      </w:r>
    </w:p>
    <w:p w:rsidR="00F4654E" w:rsidRDefault="00F4654E">
      <w:pPr>
        <w:pStyle w:val="10"/>
        <w:rPr>
          <w:spacing w:val="0"/>
        </w:rPr>
      </w:pPr>
      <w:r>
        <w:rPr>
          <w:spacing w:val="0"/>
        </w:rPr>
        <w:t>Сравнение токсического действия лигфола  при разных способах введения</w:t>
      </w:r>
    </w:p>
    <w:p w:rsidR="00F4654E" w:rsidRDefault="00F4654E" w:rsidP="00562255">
      <w:pPr>
        <w:pStyle w:val="20"/>
      </w:pPr>
      <w:r>
        <w:t>Бузлама С.В., Ермакова Т.И.</w:t>
      </w:r>
      <w:r>
        <w:tab/>
      </w:r>
      <w:r>
        <w:fldChar w:fldCharType="begin"/>
      </w:r>
      <w:r>
        <w:instrText xml:space="preserve"> PAGEREF _Toc11937391 \h </w:instrText>
      </w:r>
      <w:r>
        <w:fldChar w:fldCharType="separate"/>
      </w:r>
      <w:r w:rsidR="00562255">
        <w:t>152</w:t>
      </w:r>
      <w:r>
        <w:fldChar w:fldCharType="end"/>
      </w:r>
    </w:p>
    <w:p w:rsidR="00F4654E" w:rsidRDefault="00F4654E">
      <w:pPr>
        <w:pStyle w:val="10"/>
        <w:rPr>
          <w:spacing w:val="0"/>
        </w:rPr>
      </w:pPr>
      <w:r>
        <w:rPr>
          <w:spacing w:val="0"/>
        </w:rPr>
        <w:t>Влияние лигфола на глубокосупоросных свиноматок</w:t>
      </w:r>
    </w:p>
    <w:p w:rsidR="00F4654E" w:rsidRDefault="00F4654E" w:rsidP="00562255">
      <w:pPr>
        <w:pStyle w:val="20"/>
      </w:pPr>
      <w:r>
        <w:t>Бузлама С.В., Мешков А.В.</w:t>
      </w:r>
      <w:r>
        <w:tab/>
      </w:r>
      <w:r>
        <w:fldChar w:fldCharType="begin"/>
      </w:r>
      <w:r>
        <w:instrText xml:space="preserve"> PAGEREF _Toc11937393 \h </w:instrText>
      </w:r>
      <w:r>
        <w:fldChar w:fldCharType="separate"/>
      </w:r>
      <w:r w:rsidR="00562255">
        <w:t>154</w:t>
      </w:r>
      <w:r>
        <w:fldChar w:fldCharType="end"/>
      </w:r>
    </w:p>
    <w:p w:rsidR="00F4654E" w:rsidRDefault="00F4654E">
      <w:pPr>
        <w:pStyle w:val="10"/>
        <w:rPr>
          <w:spacing w:val="0"/>
        </w:rPr>
      </w:pPr>
      <w:r>
        <w:rPr>
          <w:spacing w:val="0"/>
        </w:rPr>
        <w:t xml:space="preserve">Эффективность Феррум Лек при гипохромной микроцитарной анемии </w:t>
      </w:r>
      <w:r>
        <w:rPr>
          <w:noProof w:val="0"/>
          <w:spacing w:val="0"/>
        </w:rPr>
        <w:br/>
      </w:r>
      <w:r>
        <w:rPr>
          <w:spacing w:val="0"/>
        </w:rPr>
        <w:t>телят-молочников</w:t>
      </w:r>
    </w:p>
    <w:p w:rsidR="00F4654E" w:rsidRDefault="00F4654E" w:rsidP="00562255">
      <w:pPr>
        <w:pStyle w:val="20"/>
      </w:pPr>
      <w:r>
        <w:t>Бурмакова Л.М., Макринова Н.Ю.</w:t>
      </w:r>
      <w:r>
        <w:tab/>
      </w:r>
      <w:r>
        <w:fldChar w:fldCharType="begin"/>
      </w:r>
      <w:r>
        <w:instrText xml:space="preserve"> PAGEREF _Toc11937395 \h </w:instrText>
      </w:r>
      <w:r>
        <w:fldChar w:fldCharType="separate"/>
      </w:r>
      <w:r w:rsidR="00562255">
        <w:t>155</w:t>
      </w:r>
      <w:r>
        <w:fldChar w:fldCharType="end"/>
      </w:r>
    </w:p>
    <w:p w:rsidR="00F4654E" w:rsidRDefault="00F4654E">
      <w:pPr>
        <w:pStyle w:val="10"/>
        <w:rPr>
          <w:spacing w:val="0"/>
        </w:rPr>
      </w:pPr>
      <w:r>
        <w:rPr>
          <w:spacing w:val="0"/>
        </w:rPr>
        <w:t>К ВОПРОСУ О СРОКАХ ВАКЦИНАЦИИ ТЕЛЯТ ПОЛИВАЛЕНТНОЙ РАДИОВАКЦИНОЙ</w:t>
      </w:r>
    </w:p>
    <w:p w:rsidR="00F4654E" w:rsidRDefault="00F4654E" w:rsidP="00562255">
      <w:pPr>
        <w:pStyle w:val="20"/>
      </w:pPr>
      <w:r>
        <w:t>Булханов Р. У., Юлдашев Р. Ю., Мирзаев Б. Ш.</w:t>
      </w:r>
      <w:r>
        <w:tab/>
      </w:r>
      <w:r>
        <w:fldChar w:fldCharType="begin"/>
      </w:r>
      <w:r>
        <w:instrText xml:space="preserve"> PAGEREF _Toc11937397 \h </w:instrText>
      </w:r>
      <w:r>
        <w:fldChar w:fldCharType="separate"/>
      </w:r>
      <w:r w:rsidR="00562255">
        <w:t>156</w:t>
      </w:r>
      <w:r>
        <w:fldChar w:fldCharType="end"/>
      </w:r>
    </w:p>
    <w:p w:rsidR="00F4654E" w:rsidRDefault="00F4654E">
      <w:pPr>
        <w:pStyle w:val="10"/>
        <w:rPr>
          <w:spacing w:val="0"/>
        </w:rPr>
      </w:pPr>
      <w:r>
        <w:rPr>
          <w:spacing w:val="0"/>
        </w:rPr>
        <w:lastRenderedPageBreak/>
        <w:t>МОРФОЛОГИЯ КИШЕЧНИКА ПРИ АССОЦИАТИВНОМ ТЕЧЕНИИ АСКАРИДИОЗА И КОЛИБАКТЕРИОЗА</w:t>
      </w:r>
    </w:p>
    <w:p w:rsidR="00F4654E" w:rsidRDefault="00F4654E" w:rsidP="00562255">
      <w:pPr>
        <w:pStyle w:val="20"/>
      </w:pPr>
      <w:r>
        <w:t>Ванина Н.Н.</w:t>
      </w:r>
      <w:r>
        <w:tab/>
      </w:r>
      <w:r>
        <w:fldChar w:fldCharType="begin"/>
      </w:r>
      <w:r>
        <w:instrText xml:space="preserve"> PAGEREF _Toc11937399 \h </w:instrText>
      </w:r>
      <w:r>
        <w:fldChar w:fldCharType="separate"/>
      </w:r>
      <w:r w:rsidR="00562255">
        <w:t>158</w:t>
      </w:r>
      <w:r>
        <w:fldChar w:fldCharType="end"/>
      </w:r>
    </w:p>
    <w:p w:rsidR="00F4654E" w:rsidRDefault="00F4654E">
      <w:pPr>
        <w:pStyle w:val="10"/>
        <w:rPr>
          <w:spacing w:val="0"/>
        </w:rPr>
      </w:pPr>
      <w:r>
        <w:rPr>
          <w:spacing w:val="0"/>
        </w:rPr>
        <w:t>РОЛЬ ЦИТОЛОГИЧЕСКОГО МЕТОДА ИССЛЕДОВАНИЯ В ДИАГНОСТИКЕ БОЛЕЗНЕЙ ОРГАНОВ ПИЩЕВАРЕНИЯ</w:t>
      </w:r>
    </w:p>
    <w:p w:rsidR="00F4654E" w:rsidRDefault="00F4654E" w:rsidP="00562255">
      <w:pPr>
        <w:pStyle w:val="20"/>
      </w:pPr>
      <w:r>
        <w:t>Ванина Н.Н.</w:t>
      </w:r>
      <w:r>
        <w:tab/>
      </w:r>
      <w:r>
        <w:fldChar w:fldCharType="begin"/>
      </w:r>
      <w:r>
        <w:instrText xml:space="preserve"> PAGEREF _Toc11937401 \h </w:instrText>
      </w:r>
      <w:r>
        <w:fldChar w:fldCharType="separate"/>
      </w:r>
      <w:r w:rsidR="00562255">
        <w:t>159</w:t>
      </w:r>
      <w:r>
        <w:fldChar w:fldCharType="end"/>
      </w:r>
    </w:p>
    <w:p w:rsidR="00F4654E" w:rsidRDefault="00F4654E">
      <w:pPr>
        <w:pStyle w:val="10"/>
        <w:rPr>
          <w:spacing w:val="0"/>
        </w:rPr>
      </w:pPr>
      <w:r>
        <w:rPr>
          <w:spacing w:val="0"/>
        </w:rPr>
        <w:t>ПАТОМОРФОЛОГИЧЕСКИЕ ИЗМЕНЕНИЯ ПРИ  АССОЦИИРОВАННОЙ ИНВАЗИИ (КРИПТОСПОРИДИОЗА И ЭЗОФАГОСТОМОЗА) ПОРОСЯТ</w:t>
      </w:r>
    </w:p>
    <w:p w:rsidR="00F4654E" w:rsidRDefault="00F4654E" w:rsidP="00562255">
      <w:pPr>
        <w:pStyle w:val="20"/>
      </w:pPr>
      <w:r>
        <w:t>Васильева В.А.</w:t>
      </w:r>
      <w:r>
        <w:tab/>
      </w:r>
      <w:r>
        <w:fldChar w:fldCharType="begin"/>
      </w:r>
      <w:r>
        <w:instrText xml:space="preserve"> PAGEREF _Toc11937403 \h </w:instrText>
      </w:r>
      <w:r>
        <w:fldChar w:fldCharType="separate"/>
      </w:r>
      <w:r w:rsidR="00562255">
        <w:t>160</w:t>
      </w:r>
      <w:r>
        <w:fldChar w:fldCharType="end"/>
      </w:r>
    </w:p>
    <w:p w:rsidR="00F4654E" w:rsidRDefault="00F4654E">
      <w:pPr>
        <w:pStyle w:val="10"/>
        <w:rPr>
          <w:spacing w:val="0"/>
        </w:rPr>
      </w:pPr>
      <w:r>
        <w:rPr>
          <w:spacing w:val="0"/>
        </w:rPr>
        <w:t>КЛИНИКО-ГЕМАТОЛОГИЧЕСКИЕ ПОКАЗАТЕЛИ ПРИ ЭКСПЕРИМЕНТАЛЬНОМ ЭЗОФАГОСТОМОЗЕ ПОРОСЯТ</w:t>
      </w:r>
    </w:p>
    <w:p w:rsidR="00F4654E" w:rsidRDefault="00F4654E" w:rsidP="00562255">
      <w:pPr>
        <w:pStyle w:val="20"/>
      </w:pPr>
      <w:r>
        <w:t>Васильева В.А.</w:t>
      </w:r>
      <w:r>
        <w:tab/>
      </w:r>
      <w:r>
        <w:fldChar w:fldCharType="begin"/>
      </w:r>
      <w:r>
        <w:instrText xml:space="preserve"> PAGEREF _Toc11937405 \h </w:instrText>
      </w:r>
      <w:r>
        <w:fldChar w:fldCharType="separate"/>
      </w:r>
      <w:r w:rsidR="00562255">
        <w:t>162</w:t>
      </w:r>
      <w:r>
        <w:fldChar w:fldCharType="end"/>
      </w:r>
    </w:p>
    <w:p w:rsidR="00F4654E" w:rsidRDefault="00F4654E">
      <w:pPr>
        <w:pStyle w:val="10"/>
        <w:rPr>
          <w:spacing w:val="0"/>
        </w:rPr>
      </w:pPr>
      <w:r>
        <w:rPr>
          <w:spacing w:val="0"/>
        </w:rPr>
        <w:t>ПАТОМОРФОЛОГИЧЕСКИЕ ИЗМЕНЕНИЯ В КИШЕЧНИКЕ ПОРОСЯТ ПРИ  ЭКСПЕРИМЕНТАЛЬНОМ КРИПТОСПОРИДИОЗЕ</w:t>
      </w:r>
    </w:p>
    <w:p w:rsidR="00F4654E" w:rsidRDefault="00F4654E" w:rsidP="00562255">
      <w:pPr>
        <w:pStyle w:val="20"/>
      </w:pPr>
      <w:r>
        <w:t>Васильева В.А., Родькин А.М.</w:t>
      </w:r>
      <w:r>
        <w:tab/>
      </w:r>
      <w:r>
        <w:fldChar w:fldCharType="begin"/>
      </w:r>
      <w:r>
        <w:instrText xml:space="preserve"> PAGEREF _Toc11937407 \h </w:instrText>
      </w:r>
      <w:r>
        <w:fldChar w:fldCharType="separate"/>
      </w:r>
      <w:r w:rsidR="00562255">
        <w:t>163</w:t>
      </w:r>
      <w:r>
        <w:fldChar w:fldCharType="end"/>
      </w:r>
    </w:p>
    <w:p w:rsidR="00F4654E" w:rsidRDefault="00F4654E">
      <w:pPr>
        <w:pStyle w:val="10"/>
        <w:rPr>
          <w:spacing w:val="0"/>
        </w:rPr>
      </w:pPr>
      <w:r>
        <w:rPr>
          <w:spacing w:val="0"/>
        </w:rPr>
        <w:t xml:space="preserve">ПРОБЛЕМЫ ИЗУЧЕНИЯ ФЕТОПЛАЦЕНТАРНОЙ НЕДОСТАТОЧНОСТИ У </w:t>
      </w:r>
      <w:r>
        <w:rPr>
          <w:noProof w:val="0"/>
          <w:spacing w:val="0"/>
        </w:rPr>
        <w:br/>
      </w:r>
      <w:r>
        <w:rPr>
          <w:spacing w:val="0"/>
        </w:rPr>
        <w:t>КРУПНОГО РОГАТОГО СКОТА</w:t>
      </w:r>
    </w:p>
    <w:p w:rsidR="00F4654E" w:rsidRDefault="00F4654E" w:rsidP="00562255">
      <w:pPr>
        <w:pStyle w:val="20"/>
      </w:pPr>
      <w:r>
        <w:t>Власов С. А.</w:t>
      </w:r>
      <w:r>
        <w:tab/>
      </w:r>
      <w:r>
        <w:fldChar w:fldCharType="begin"/>
      </w:r>
      <w:r>
        <w:instrText xml:space="preserve"> PAGEREF _Toc11937409 \h </w:instrText>
      </w:r>
      <w:r>
        <w:fldChar w:fldCharType="separate"/>
      </w:r>
      <w:r w:rsidR="00562255">
        <w:t>164</w:t>
      </w:r>
      <w:r>
        <w:fldChar w:fldCharType="end"/>
      </w:r>
    </w:p>
    <w:p w:rsidR="00F4654E" w:rsidRDefault="00F4654E">
      <w:pPr>
        <w:pStyle w:val="10"/>
        <w:rPr>
          <w:spacing w:val="0"/>
        </w:rPr>
      </w:pPr>
      <w:r>
        <w:rPr>
          <w:spacing w:val="0"/>
        </w:rPr>
        <w:t>ПРОГНОЗИРОВАНИЕ СТРЕССОВОЙ СИТУАЦИИ У ТЕЛЯТ</w:t>
      </w:r>
    </w:p>
    <w:p w:rsidR="00F4654E" w:rsidRDefault="00F4654E" w:rsidP="00562255">
      <w:pPr>
        <w:pStyle w:val="20"/>
      </w:pPr>
      <w:r>
        <w:t>Ворошилова Т.Г., Семина Л.К., Маринин Е.А</w:t>
      </w:r>
      <w:r>
        <w:rPr>
          <w:noProof w:val="0"/>
        </w:rPr>
        <w:t xml:space="preserve">. </w:t>
      </w:r>
      <w:r>
        <w:t>.</w:t>
      </w:r>
      <w:r>
        <w:tab/>
      </w:r>
      <w:r>
        <w:fldChar w:fldCharType="begin"/>
      </w:r>
      <w:r>
        <w:instrText xml:space="preserve"> PAGEREF _Toc11937411 \h </w:instrText>
      </w:r>
      <w:r>
        <w:fldChar w:fldCharType="separate"/>
      </w:r>
      <w:r w:rsidR="00562255">
        <w:t>167</w:t>
      </w:r>
      <w:r>
        <w:fldChar w:fldCharType="end"/>
      </w:r>
    </w:p>
    <w:p w:rsidR="00F4654E" w:rsidRDefault="00F4654E">
      <w:pPr>
        <w:pStyle w:val="10"/>
        <w:rPr>
          <w:spacing w:val="0"/>
        </w:rPr>
      </w:pPr>
      <w:r>
        <w:rPr>
          <w:spacing w:val="0"/>
        </w:rPr>
        <w:t xml:space="preserve">ТЕЧЕНИЕ ЭНЗООТИЧЕСКОЙ АТАКСИИ ЯГНЯТ В СОВРЕМЕННЫХ УСЛОВИЯХ </w:t>
      </w:r>
      <w:r>
        <w:rPr>
          <w:noProof w:val="0"/>
          <w:spacing w:val="0"/>
        </w:rPr>
        <w:br/>
      </w:r>
      <w:r>
        <w:rPr>
          <w:spacing w:val="0"/>
        </w:rPr>
        <w:t>ВЕДЕНИЯ ОВЦЕВОДСТВА</w:t>
      </w:r>
    </w:p>
    <w:p w:rsidR="00F4654E" w:rsidRDefault="00F4654E" w:rsidP="00562255">
      <w:pPr>
        <w:pStyle w:val="20"/>
      </w:pPr>
      <w:r>
        <w:t xml:space="preserve">Водолазский М.Г., Шкурин А.И. </w:t>
      </w:r>
      <w:r>
        <w:tab/>
      </w:r>
      <w:r>
        <w:fldChar w:fldCharType="begin"/>
      </w:r>
      <w:r>
        <w:instrText xml:space="preserve"> PAGEREF _Toc11937413 \h </w:instrText>
      </w:r>
      <w:r>
        <w:fldChar w:fldCharType="separate"/>
      </w:r>
      <w:r w:rsidR="00562255">
        <w:t>168</w:t>
      </w:r>
      <w:r>
        <w:fldChar w:fldCharType="end"/>
      </w:r>
    </w:p>
    <w:p w:rsidR="00F4654E" w:rsidRDefault="00F4654E">
      <w:pPr>
        <w:pStyle w:val="10"/>
        <w:rPr>
          <w:spacing w:val="0"/>
        </w:rPr>
      </w:pPr>
      <w:r>
        <w:rPr>
          <w:spacing w:val="0"/>
        </w:rPr>
        <w:t>Применение дизпаркола для лечения желудочно-кишечных болезней</w:t>
      </w:r>
      <w:r>
        <w:rPr>
          <w:spacing w:val="0"/>
        </w:rPr>
        <w:br/>
        <w:t>поросят и телят</w:t>
      </w:r>
    </w:p>
    <w:p w:rsidR="00F4654E" w:rsidRDefault="00F4654E" w:rsidP="00562255">
      <w:pPr>
        <w:pStyle w:val="20"/>
      </w:pPr>
      <w:r>
        <w:t>Востроилова Г.А., Водолазский Ю.В.</w:t>
      </w:r>
      <w:r>
        <w:tab/>
      </w:r>
      <w:r>
        <w:fldChar w:fldCharType="begin"/>
      </w:r>
      <w:r>
        <w:instrText xml:space="preserve"> PAGEREF _Toc11937415 \h </w:instrText>
      </w:r>
      <w:r>
        <w:fldChar w:fldCharType="separate"/>
      </w:r>
      <w:r w:rsidR="00562255">
        <w:t>171</w:t>
      </w:r>
      <w:r>
        <w:fldChar w:fldCharType="end"/>
      </w:r>
    </w:p>
    <w:p w:rsidR="00F4654E" w:rsidRDefault="00F4654E">
      <w:pPr>
        <w:pStyle w:val="10"/>
        <w:rPr>
          <w:spacing w:val="0"/>
        </w:rPr>
      </w:pPr>
      <w:r>
        <w:rPr>
          <w:spacing w:val="0"/>
        </w:rPr>
        <w:t>ЭФФЕКТИВНОСТЬ КОМПЛЕКСНОГО ПРИМЕНЕНИЯ ГОРМОНОВ И БИОГЕННЫХ СТИМУЛЯТОРОВ ПРИ ГИПОФУНКЦИИ ЯИЧНИКОВ У КОРОВ</w:t>
      </w:r>
    </w:p>
    <w:p w:rsidR="00F4654E" w:rsidRDefault="00F4654E" w:rsidP="00562255">
      <w:pPr>
        <w:pStyle w:val="20"/>
      </w:pPr>
      <w:r>
        <w:t>Гарбузов А.А</w:t>
      </w:r>
      <w:r>
        <w:rPr>
          <w:noProof w:val="0"/>
        </w:rPr>
        <w:t>.</w:t>
      </w:r>
      <w:r>
        <w:tab/>
      </w:r>
      <w:r>
        <w:fldChar w:fldCharType="begin"/>
      </w:r>
      <w:r>
        <w:instrText xml:space="preserve"> PAGEREF _Toc11937417 \h </w:instrText>
      </w:r>
      <w:r>
        <w:fldChar w:fldCharType="separate"/>
      </w:r>
      <w:r w:rsidR="00562255">
        <w:t>172</w:t>
      </w:r>
      <w:r>
        <w:fldChar w:fldCharType="end"/>
      </w:r>
    </w:p>
    <w:p w:rsidR="00F4654E" w:rsidRDefault="00F4654E">
      <w:pPr>
        <w:pStyle w:val="10"/>
        <w:rPr>
          <w:spacing w:val="0"/>
        </w:rPr>
      </w:pPr>
      <w:r>
        <w:rPr>
          <w:spacing w:val="0"/>
        </w:rPr>
        <w:t>ДИАГНОСТИКА И ЛЕЧЕНИЕ СУБКЛИНИЧЕСКОГО ЭНДОМЕТРИТА У КОРОВ</w:t>
      </w:r>
    </w:p>
    <w:p w:rsidR="00F4654E" w:rsidRDefault="00F4654E" w:rsidP="00562255">
      <w:pPr>
        <w:pStyle w:val="20"/>
      </w:pPr>
      <w:r>
        <w:t>Гарбузов А.А. Валюшкин К.Д.</w:t>
      </w:r>
      <w:r>
        <w:tab/>
      </w:r>
      <w:r>
        <w:fldChar w:fldCharType="begin"/>
      </w:r>
      <w:r>
        <w:instrText xml:space="preserve"> PAGEREF _Toc11937419 \h </w:instrText>
      </w:r>
      <w:r>
        <w:fldChar w:fldCharType="separate"/>
      </w:r>
      <w:r w:rsidR="00562255">
        <w:t>174</w:t>
      </w:r>
      <w:r>
        <w:fldChar w:fldCharType="end"/>
      </w:r>
    </w:p>
    <w:p w:rsidR="00F4654E" w:rsidRDefault="00F4654E">
      <w:pPr>
        <w:pStyle w:val="10"/>
        <w:rPr>
          <w:spacing w:val="0"/>
        </w:rPr>
      </w:pPr>
      <w:r>
        <w:rPr>
          <w:spacing w:val="0"/>
        </w:rPr>
        <w:t>Никелевый токсикоз телят техногенной провинции  Южного Урала</w:t>
      </w:r>
    </w:p>
    <w:p w:rsidR="00F4654E" w:rsidRDefault="00F4654E" w:rsidP="00562255">
      <w:pPr>
        <w:pStyle w:val="20"/>
      </w:pPr>
      <w:r>
        <w:t>Гертман А.М., Рабинович М.И.</w:t>
      </w:r>
      <w:r>
        <w:rPr>
          <w:noProof w:val="0"/>
        </w:rPr>
        <w:t xml:space="preserve"> </w:t>
      </w:r>
      <w:r>
        <w:tab/>
      </w:r>
      <w:r>
        <w:fldChar w:fldCharType="begin"/>
      </w:r>
      <w:r>
        <w:instrText xml:space="preserve"> PAGEREF _Toc11937421 \h </w:instrText>
      </w:r>
      <w:r>
        <w:fldChar w:fldCharType="separate"/>
      </w:r>
      <w:r w:rsidR="00562255">
        <w:t>176</w:t>
      </w:r>
      <w:r>
        <w:fldChar w:fldCharType="end"/>
      </w:r>
    </w:p>
    <w:p w:rsidR="00F4654E" w:rsidRDefault="00F4654E">
      <w:pPr>
        <w:pStyle w:val="10"/>
        <w:rPr>
          <w:spacing w:val="0"/>
        </w:rPr>
      </w:pPr>
      <w:r>
        <w:rPr>
          <w:spacing w:val="0"/>
        </w:rPr>
        <w:t xml:space="preserve">СРАВНИТЕЛЬНАЯ ОЦЕНКА ПРИМЕНЕНИЯ ИНТЕРФЕРОНОВ ЭКЗОГЕННОГО И </w:t>
      </w:r>
      <w:r>
        <w:rPr>
          <w:spacing w:val="0"/>
        </w:rPr>
        <w:br/>
        <w:t>ЭНДОГЕННОГО ВОЗДЕЙСТВИЯ ПРИ ИНФЕКЦИОННОМ РИНОТРАХЕИТЕ У ТЕЛЯТ</w:t>
      </w:r>
    </w:p>
    <w:p w:rsidR="00F4654E" w:rsidRDefault="00F4654E" w:rsidP="00562255">
      <w:pPr>
        <w:pStyle w:val="20"/>
      </w:pPr>
      <w:r>
        <w:t>Гизатулина С.Р.</w:t>
      </w:r>
      <w:r>
        <w:tab/>
      </w:r>
      <w:r>
        <w:fldChar w:fldCharType="begin"/>
      </w:r>
      <w:r>
        <w:instrText xml:space="preserve"> PAGEREF _Toc11937423 \h </w:instrText>
      </w:r>
      <w:r>
        <w:fldChar w:fldCharType="separate"/>
      </w:r>
      <w:r w:rsidR="00562255">
        <w:t>179</w:t>
      </w:r>
      <w:r>
        <w:fldChar w:fldCharType="end"/>
      </w:r>
    </w:p>
    <w:p w:rsidR="00F4654E" w:rsidRDefault="00F4654E">
      <w:pPr>
        <w:pStyle w:val="10"/>
        <w:rPr>
          <w:spacing w:val="0"/>
        </w:rPr>
      </w:pPr>
      <w:r>
        <w:rPr>
          <w:spacing w:val="0"/>
        </w:rPr>
        <w:t xml:space="preserve">ТОКСИЛОГИЧЕСКАЯ ОЦЕНКА ПРЕПАРАТА «ЭНТЕРОСАН» </w:t>
      </w:r>
    </w:p>
    <w:p w:rsidR="00F4654E" w:rsidRDefault="00F4654E" w:rsidP="00562255">
      <w:pPr>
        <w:pStyle w:val="20"/>
      </w:pPr>
      <w:r>
        <w:t>Гладских Л. В., Штукарева М. Ю.</w:t>
      </w:r>
      <w:r>
        <w:tab/>
      </w:r>
      <w:r>
        <w:fldChar w:fldCharType="begin"/>
      </w:r>
      <w:r>
        <w:instrText xml:space="preserve"> PAGEREF _Toc11937425 \h </w:instrText>
      </w:r>
      <w:r>
        <w:fldChar w:fldCharType="separate"/>
      </w:r>
      <w:r w:rsidR="00562255">
        <w:t>180</w:t>
      </w:r>
      <w:r>
        <w:fldChar w:fldCharType="end"/>
      </w:r>
    </w:p>
    <w:p w:rsidR="00F4654E" w:rsidRDefault="00F4654E">
      <w:pPr>
        <w:pStyle w:val="10"/>
        <w:rPr>
          <w:spacing w:val="0"/>
        </w:rPr>
      </w:pPr>
      <w:r>
        <w:rPr>
          <w:spacing w:val="0"/>
        </w:rPr>
        <w:t>Причины увеличения желчного пузыря у молодняка КРС</w:t>
      </w:r>
    </w:p>
    <w:p w:rsidR="00F4654E" w:rsidRDefault="00F4654E" w:rsidP="00562255">
      <w:pPr>
        <w:pStyle w:val="20"/>
      </w:pPr>
      <w:r>
        <w:t>Голубев А.Н.,Зайцев В.В.,Горчаков В.В.,Мищенко В.А.,Гетманский О.И.</w:t>
      </w:r>
      <w:r>
        <w:tab/>
      </w:r>
      <w:r>
        <w:fldChar w:fldCharType="begin"/>
      </w:r>
      <w:r>
        <w:instrText xml:space="preserve"> PAGEREF _Toc11937427 \h </w:instrText>
      </w:r>
      <w:r>
        <w:fldChar w:fldCharType="separate"/>
      </w:r>
      <w:r w:rsidR="00562255">
        <w:t>182</w:t>
      </w:r>
      <w:r>
        <w:fldChar w:fldCharType="end"/>
      </w:r>
    </w:p>
    <w:p w:rsidR="00F4654E" w:rsidRDefault="00F4654E">
      <w:pPr>
        <w:pStyle w:val="10"/>
        <w:rPr>
          <w:spacing w:val="0"/>
        </w:rPr>
      </w:pPr>
      <w:r>
        <w:rPr>
          <w:spacing w:val="0"/>
        </w:rPr>
        <w:t xml:space="preserve">ЛЕЧЕНИЕ ЭКСПЕРИМЕНТАЛЬНЫХ РАН У СОБАК ПЛЕНОЧНЫМ  </w:t>
      </w:r>
      <w:r>
        <w:rPr>
          <w:noProof w:val="0"/>
          <w:spacing w:val="0"/>
        </w:rPr>
        <w:br/>
      </w:r>
      <w:r>
        <w:rPr>
          <w:spacing w:val="0"/>
        </w:rPr>
        <w:t>ПРЕПАРАТОМ ДИГИСПОН</w:t>
      </w:r>
    </w:p>
    <w:p w:rsidR="00F4654E" w:rsidRDefault="00F4654E" w:rsidP="00562255">
      <w:pPr>
        <w:pStyle w:val="20"/>
      </w:pPr>
      <w:r>
        <w:t>Гриценко Б.П., Вербина Е.Б., Войтенко Л.Г.</w:t>
      </w:r>
      <w:r>
        <w:tab/>
      </w:r>
      <w:r>
        <w:fldChar w:fldCharType="begin"/>
      </w:r>
      <w:r>
        <w:instrText xml:space="preserve"> PAGEREF _Toc11937429 \h </w:instrText>
      </w:r>
      <w:r>
        <w:fldChar w:fldCharType="separate"/>
      </w:r>
      <w:r w:rsidR="00562255">
        <w:t>183</w:t>
      </w:r>
      <w:r>
        <w:fldChar w:fldCharType="end"/>
      </w:r>
    </w:p>
    <w:p w:rsidR="00F4654E" w:rsidRDefault="00F4654E">
      <w:pPr>
        <w:pStyle w:val="10"/>
        <w:rPr>
          <w:spacing w:val="0"/>
        </w:rPr>
      </w:pPr>
      <w:r>
        <w:rPr>
          <w:spacing w:val="0"/>
        </w:rPr>
        <w:t xml:space="preserve">ОСОБЕННОСТИ ТЕЧЕНИЯ ОСТРЫХ ЖЕЛУДОЧНО-КИШЕЧНЫХ  БОЛЕЗНЕЙ </w:t>
      </w:r>
      <w:r>
        <w:rPr>
          <w:spacing w:val="0"/>
        </w:rPr>
        <w:br/>
        <w:t>НОВОРОЖДЕННЫХ ТЕЛЯТ В ХОЗЯЙСТВАХ, НЕБЛАГОПОЛУЧНЫХ ПО ФАСЦИОЛЕЗУ</w:t>
      </w:r>
    </w:p>
    <w:p w:rsidR="00F4654E" w:rsidRDefault="00F4654E" w:rsidP="00562255">
      <w:pPr>
        <w:pStyle w:val="20"/>
      </w:pPr>
      <w:r>
        <w:t xml:space="preserve">Гудкова А.Ю., Еремеева О.Р., Маямсина Е.В., Петров Ю.Ф.,  </w:t>
      </w:r>
      <w:r>
        <w:rPr>
          <w:noProof w:val="0"/>
        </w:rPr>
        <w:br/>
      </w:r>
      <w:r>
        <w:t>Шеронов С.Н., Курочкина М.В.</w:t>
      </w:r>
      <w:r>
        <w:rPr>
          <w:noProof w:val="0"/>
        </w:rPr>
        <w:t xml:space="preserve"> </w:t>
      </w:r>
      <w:r>
        <w:tab/>
      </w:r>
      <w:r>
        <w:fldChar w:fldCharType="begin"/>
      </w:r>
      <w:r>
        <w:instrText xml:space="preserve"> PAGEREF _Toc11937431 \h </w:instrText>
      </w:r>
      <w:r>
        <w:fldChar w:fldCharType="separate"/>
      </w:r>
      <w:r w:rsidR="00562255">
        <w:t>185</w:t>
      </w:r>
      <w:r>
        <w:fldChar w:fldCharType="end"/>
      </w:r>
    </w:p>
    <w:p w:rsidR="00F4654E" w:rsidRDefault="00F4654E">
      <w:pPr>
        <w:pStyle w:val="10"/>
        <w:rPr>
          <w:spacing w:val="0"/>
        </w:rPr>
      </w:pPr>
      <w:r>
        <w:rPr>
          <w:spacing w:val="0"/>
        </w:rPr>
        <w:t>Система лечебно-профилактических мероприятий  при смешанной инфекционной диареи новорожденных  телят и поросят</w:t>
      </w:r>
    </w:p>
    <w:p w:rsidR="00F4654E" w:rsidRDefault="00F4654E" w:rsidP="00562255">
      <w:pPr>
        <w:pStyle w:val="20"/>
      </w:pPr>
      <w:r>
        <w:t>Гаффаров Х. З., Спиридонов Г. Н., Ефимова М. А.</w:t>
      </w:r>
      <w:r>
        <w:tab/>
      </w:r>
      <w:r>
        <w:fldChar w:fldCharType="begin"/>
      </w:r>
      <w:r>
        <w:instrText xml:space="preserve"> PAGEREF _Toc11937433 \h </w:instrText>
      </w:r>
      <w:r>
        <w:fldChar w:fldCharType="separate"/>
      </w:r>
      <w:r w:rsidR="00562255">
        <w:t>187</w:t>
      </w:r>
      <w:r>
        <w:fldChar w:fldCharType="end"/>
      </w:r>
    </w:p>
    <w:p w:rsidR="00F4654E" w:rsidRDefault="00F4654E">
      <w:pPr>
        <w:pStyle w:val="10"/>
        <w:rPr>
          <w:spacing w:val="0"/>
        </w:rPr>
      </w:pPr>
      <w:r>
        <w:rPr>
          <w:spacing w:val="0"/>
        </w:rPr>
        <w:t xml:space="preserve">ИНФЕКЦИОННЫЙ КЕРАТОКОНЪЮНКТИВИТ КРУПНОГО РОГАТОГО СКОТА В </w:t>
      </w:r>
      <w:r>
        <w:rPr>
          <w:noProof w:val="0"/>
          <w:spacing w:val="0"/>
        </w:rPr>
        <w:br/>
      </w:r>
      <w:r>
        <w:rPr>
          <w:spacing w:val="0"/>
        </w:rPr>
        <w:t>РЕГИОНЕ СРЕДНЕГО ПОВОЛЖЬЯ И ПРЕДУРАЛЬЯ</w:t>
      </w:r>
    </w:p>
    <w:p w:rsidR="00F4654E" w:rsidRDefault="00F4654E" w:rsidP="00562255">
      <w:pPr>
        <w:pStyle w:val="20"/>
      </w:pPr>
      <w:r>
        <w:t>Гаффаров Х.З., Валебная Л.В., Спиридонов Г.Н.</w:t>
      </w:r>
      <w:r>
        <w:tab/>
      </w:r>
      <w:r>
        <w:fldChar w:fldCharType="begin"/>
      </w:r>
      <w:r>
        <w:instrText xml:space="preserve"> PAGEREF _Toc11937435 \h </w:instrText>
      </w:r>
      <w:r>
        <w:fldChar w:fldCharType="separate"/>
      </w:r>
      <w:r w:rsidR="00562255">
        <w:t>188</w:t>
      </w:r>
      <w:r>
        <w:fldChar w:fldCharType="end"/>
      </w:r>
    </w:p>
    <w:p w:rsidR="00F4654E" w:rsidRDefault="00F4654E">
      <w:pPr>
        <w:pStyle w:val="10"/>
        <w:rPr>
          <w:spacing w:val="0"/>
        </w:rPr>
      </w:pPr>
      <w:r>
        <w:rPr>
          <w:spacing w:val="0"/>
        </w:rPr>
        <w:t>ПОКАЗАТЕЛИ БЕЛКОВОГО ОБМЕНА ПРИ ХРОНИЧЕСКОМ ОТРАВЛЕНИИ ЖИВОТНЫХ СВИНЦОМ И ПРИМЕНЕНИИ НАТРИЯ СУЛЬФИДА</w:t>
      </w:r>
    </w:p>
    <w:p w:rsidR="00F4654E" w:rsidRDefault="00F4654E" w:rsidP="00562255">
      <w:pPr>
        <w:pStyle w:val="20"/>
      </w:pPr>
      <w:r>
        <w:rPr>
          <w:snapToGrid w:val="0"/>
        </w:rPr>
        <w:t>Гизатуллин Р.Р.</w:t>
      </w:r>
      <w:r>
        <w:tab/>
      </w:r>
      <w:r>
        <w:fldChar w:fldCharType="begin"/>
      </w:r>
      <w:r>
        <w:instrText xml:space="preserve"> PAGEREF _Toc11937437 \h </w:instrText>
      </w:r>
      <w:r>
        <w:fldChar w:fldCharType="separate"/>
      </w:r>
      <w:r w:rsidR="00562255">
        <w:t>191</w:t>
      </w:r>
      <w:r>
        <w:fldChar w:fldCharType="end"/>
      </w:r>
    </w:p>
    <w:p w:rsidR="00F4654E" w:rsidRDefault="00F4654E">
      <w:pPr>
        <w:pStyle w:val="10"/>
        <w:rPr>
          <w:spacing w:val="0"/>
        </w:rPr>
      </w:pPr>
      <w:r>
        <w:rPr>
          <w:snapToGrid w:val="0"/>
          <w:spacing w:val="0"/>
        </w:rPr>
        <w:lastRenderedPageBreak/>
        <w:t>ФАРМАКОРРЕКЦИЯ ИММУНОБИОЛОГИЧЕСКОЙ РЕАКТИВНОСТИ ОРГАНИЗМА ПРИ ХРОНИЧЕСКОЙ ИНТОКСИКАЦИИ ЖИВОТНЫХ СВИНЦОМ</w:t>
      </w:r>
    </w:p>
    <w:p w:rsidR="00F4654E" w:rsidRDefault="00F4654E" w:rsidP="00562255">
      <w:pPr>
        <w:pStyle w:val="20"/>
      </w:pPr>
      <w:r>
        <w:rPr>
          <w:snapToGrid w:val="0"/>
        </w:rPr>
        <w:t>Гизатуллин Р.Р. , Новиков В.А.</w:t>
      </w:r>
      <w:r>
        <w:rPr>
          <w:noProof w:val="0"/>
          <w:snapToGrid w:val="0"/>
        </w:rPr>
        <w:t xml:space="preserve"> </w:t>
      </w:r>
      <w:r>
        <w:tab/>
      </w:r>
      <w:r>
        <w:fldChar w:fldCharType="begin"/>
      </w:r>
      <w:r>
        <w:instrText xml:space="preserve"> PAGEREF _Toc11937439 \h </w:instrText>
      </w:r>
      <w:r>
        <w:fldChar w:fldCharType="separate"/>
      </w:r>
      <w:r w:rsidR="00562255">
        <w:t>193</w:t>
      </w:r>
      <w:r>
        <w:fldChar w:fldCharType="end"/>
      </w:r>
    </w:p>
    <w:p w:rsidR="00F4654E" w:rsidRDefault="00F4654E">
      <w:pPr>
        <w:pStyle w:val="10"/>
        <w:rPr>
          <w:spacing w:val="0"/>
        </w:rPr>
      </w:pPr>
      <w:r>
        <w:rPr>
          <w:spacing w:val="0"/>
        </w:rPr>
        <w:t xml:space="preserve">Выявление ДНК вируса ИРТ КРС в пробах биоматериала от больных телят </w:t>
      </w:r>
      <w:r>
        <w:rPr>
          <w:noProof w:val="0"/>
          <w:spacing w:val="0"/>
        </w:rPr>
        <w:br/>
      </w:r>
      <w:r>
        <w:rPr>
          <w:spacing w:val="0"/>
        </w:rPr>
        <w:t>при помощи ПЦР</w:t>
      </w:r>
    </w:p>
    <w:p w:rsidR="00F4654E" w:rsidRDefault="00F4654E" w:rsidP="00562255">
      <w:pPr>
        <w:pStyle w:val="20"/>
      </w:pPr>
      <w:r>
        <w:t xml:space="preserve">Глотов А.Г., Котенева С.В., Глотова Т.И., Нефедченко А.В., </w:t>
      </w:r>
      <w:r>
        <w:rPr>
          <w:noProof w:val="0"/>
        </w:rPr>
        <w:br/>
      </w:r>
      <w:r>
        <w:t>Носкова Н.В., Суслопаров М.А.</w:t>
      </w:r>
      <w:r>
        <w:tab/>
      </w:r>
      <w:r>
        <w:fldChar w:fldCharType="begin"/>
      </w:r>
      <w:r>
        <w:instrText xml:space="preserve"> PAGEREF _Toc11937441 \h </w:instrText>
      </w:r>
      <w:r>
        <w:fldChar w:fldCharType="separate"/>
      </w:r>
      <w:r w:rsidR="00562255">
        <w:t>194</w:t>
      </w:r>
      <w:r>
        <w:fldChar w:fldCharType="end"/>
      </w:r>
    </w:p>
    <w:p w:rsidR="00F4654E" w:rsidRDefault="00F4654E">
      <w:pPr>
        <w:pStyle w:val="10"/>
        <w:rPr>
          <w:spacing w:val="0"/>
        </w:rPr>
      </w:pPr>
      <w:r>
        <w:rPr>
          <w:spacing w:val="0"/>
        </w:rPr>
        <w:t xml:space="preserve">ВЛИЯНИЕ НЕКОТОРЫХ ФАКТОРОВ НА ЗАБОЛЕВАЕМОСТЬ НОВОРОЖДЕННЫХ  </w:t>
      </w:r>
      <w:r>
        <w:rPr>
          <w:noProof w:val="0"/>
          <w:spacing w:val="0"/>
        </w:rPr>
        <w:br/>
      </w:r>
      <w:r>
        <w:rPr>
          <w:spacing w:val="0"/>
        </w:rPr>
        <w:t>ТЕЛЯТ В ВОЛОГОДСКОЙ ОБЛАСТИ</w:t>
      </w:r>
    </w:p>
    <w:p w:rsidR="00F4654E" w:rsidRDefault="00F4654E" w:rsidP="00562255">
      <w:pPr>
        <w:pStyle w:val="20"/>
      </w:pPr>
      <w:r>
        <w:t>Горбунов А.П., Морогина З.Н., Попова Н.В.</w:t>
      </w:r>
      <w:r>
        <w:tab/>
      </w:r>
      <w:r>
        <w:fldChar w:fldCharType="begin"/>
      </w:r>
      <w:r>
        <w:instrText xml:space="preserve"> PAGEREF _Toc11937443 \h </w:instrText>
      </w:r>
      <w:r>
        <w:fldChar w:fldCharType="separate"/>
      </w:r>
      <w:r w:rsidR="00562255">
        <w:t>195</w:t>
      </w:r>
      <w:r>
        <w:fldChar w:fldCharType="end"/>
      </w:r>
    </w:p>
    <w:p w:rsidR="00F4654E" w:rsidRDefault="00F4654E">
      <w:pPr>
        <w:pStyle w:val="10"/>
        <w:rPr>
          <w:spacing w:val="0"/>
        </w:rPr>
      </w:pPr>
      <w:r>
        <w:rPr>
          <w:spacing w:val="0"/>
        </w:rPr>
        <w:t xml:space="preserve">ПРИМЕНЕНИЕ ПРЕПАРАТА ТОДИКАМП - ИДЕАЛ ДЛЯ ЛЕЧЕНИЯ ДИАРЕЙНОГО </w:t>
      </w:r>
      <w:r>
        <w:rPr>
          <w:noProof w:val="0"/>
          <w:spacing w:val="0"/>
        </w:rPr>
        <w:br/>
      </w:r>
      <w:r>
        <w:rPr>
          <w:spacing w:val="0"/>
        </w:rPr>
        <w:t>СИНДРОМА У НОВОРОЖДЕННЫХ ТЕЛЯТ</w:t>
      </w:r>
    </w:p>
    <w:p w:rsidR="00F4654E" w:rsidRDefault="00F4654E" w:rsidP="00562255">
      <w:pPr>
        <w:pStyle w:val="20"/>
      </w:pPr>
      <w:r>
        <w:t>Горлов И.Ф., Тимофеев Б.А., Юрина О.С.</w:t>
      </w:r>
      <w:r>
        <w:tab/>
      </w:r>
      <w:r>
        <w:fldChar w:fldCharType="begin"/>
      </w:r>
      <w:r>
        <w:instrText xml:space="preserve"> PAGEREF _Toc11937445 \h </w:instrText>
      </w:r>
      <w:r>
        <w:fldChar w:fldCharType="separate"/>
      </w:r>
      <w:r w:rsidR="00562255">
        <w:t>196</w:t>
      </w:r>
      <w:r>
        <w:fldChar w:fldCharType="end"/>
      </w:r>
    </w:p>
    <w:p w:rsidR="00F4654E" w:rsidRDefault="00F4654E">
      <w:pPr>
        <w:pStyle w:val="10"/>
        <w:rPr>
          <w:spacing w:val="0"/>
        </w:rPr>
      </w:pPr>
      <w:r>
        <w:rPr>
          <w:spacing w:val="0"/>
        </w:rPr>
        <w:t xml:space="preserve">К причинам низких показателей воспроизводства крупного рогатого </w:t>
      </w:r>
      <w:r>
        <w:rPr>
          <w:noProof w:val="0"/>
          <w:spacing w:val="0"/>
        </w:rPr>
        <w:br/>
      </w:r>
      <w:r>
        <w:rPr>
          <w:spacing w:val="0"/>
        </w:rPr>
        <w:t>скота и сохранности молодняка</w:t>
      </w:r>
    </w:p>
    <w:p w:rsidR="00F4654E" w:rsidRDefault="00F4654E" w:rsidP="00562255">
      <w:pPr>
        <w:pStyle w:val="20"/>
      </w:pPr>
      <w:r>
        <w:t>Горчаков В.В., Косорлукова З.Я., Ким Р.Е.</w:t>
      </w:r>
      <w:r>
        <w:tab/>
      </w:r>
      <w:r>
        <w:fldChar w:fldCharType="begin"/>
      </w:r>
      <w:r>
        <w:instrText xml:space="preserve"> PAGEREF _Toc11937447 \h </w:instrText>
      </w:r>
      <w:r>
        <w:fldChar w:fldCharType="separate"/>
      </w:r>
      <w:r w:rsidR="00562255">
        <w:t>198</w:t>
      </w:r>
      <w:r>
        <w:fldChar w:fldCharType="end"/>
      </w:r>
    </w:p>
    <w:p w:rsidR="00F4654E" w:rsidRDefault="00F4654E">
      <w:pPr>
        <w:pStyle w:val="10"/>
        <w:rPr>
          <w:spacing w:val="0"/>
        </w:rPr>
      </w:pPr>
      <w:r>
        <w:rPr>
          <w:spacing w:val="0"/>
        </w:rPr>
        <w:t xml:space="preserve">МОРФОГИСТОХИМИЧЕСКИЕ ИЗМЕНЕНИЯ В ЩИТОВИДНОЙ ЖЕЛЕЗЕ И ПЕЧЕНИ НОВОРОЖДЕННЫХ ТЕЛЯТ ИЗ ЗОНЫ С ПОВЫШЕННЫМ СОДЕРЖАНИЕМ СОЛЕЙ </w:t>
      </w:r>
      <w:r>
        <w:rPr>
          <w:noProof w:val="0"/>
          <w:spacing w:val="0"/>
        </w:rPr>
        <w:br/>
      </w:r>
      <w:r>
        <w:rPr>
          <w:spacing w:val="0"/>
        </w:rPr>
        <w:t>ТЯЖЕЛЫХ МЕТАЛЛОВ</w:t>
      </w:r>
    </w:p>
    <w:p w:rsidR="00F4654E" w:rsidRDefault="00F4654E" w:rsidP="00562255">
      <w:pPr>
        <w:pStyle w:val="20"/>
      </w:pPr>
      <w:r>
        <w:t>Гребенщиков А.В., Толкачев И.С., Куцеволова С.В., Подъяблонский А.Н.</w:t>
      </w:r>
      <w:r>
        <w:tab/>
      </w:r>
      <w:r>
        <w:fldChar w:fldCharType="begin"/>
      </w:r>
      <w:r>
        <w:instrText xml:space="preserve"> PAGEREF _Toc11937449 \h </w:instrText>
      </w:r>
      <w:r>
        <w:fldChar w:fldCharType="separate"/>
      </w:r>
      <w:r w:rsidR="00562255">
        <w:t>200</w:t>
      </w:r>
      <w:r>
        <w:fldChar w:fldCharType="end"/>
      </w:r>
    </w:p>
    <w:p w:rsidR="00F4654E" w:rsidRDefault="00F4654E">
      <w:pPr>
        <w:pStyle w:val="10"/>
        <w:rPr>
          <w:spacing w:val="0"/>
        </w:rPr>
      </w:pPr>
      <w:r>
        <w:rPr>
          <w:spacing w:val="0"/>
        </w:rPr>
        <w:t xml:space="preserve">МОРФОЛОГИЧЕСКАЯ ХАРАКТЕРИСТИКА ОСТРОГО ОТРАВЛЕНИЯ БЕЛЫХ КРЫС </w:t>
      </w:r>
      <w:r>
        <w:rPr>
          <w:spacing w:val="0"/>
        </w:rPr>
        <w:br/>
        <w:t>ФУРАДАНОМ В ЭКСПЕРИМЕНТЕ</w:t>
      </w:r>
    </w:p>
    <w:p w:rsidR="00F4654E" w:rsidRDefault="00F4654E" w:rsidP="00562255">
      <w:pPr>
        <w:pStyle w:val="20"/>
      </w:pPr>
      <w:r>
        <w:t>Гребенщиков А.В., Часовников М.В., Подъяблонский А.Н.</w:t>
      </w:r>
      <w:r>
        <w:tab/>
      </w:r>
      <w:r>
        <w:fldChar w:fldCharType="begin"/>
      </w:r>
      <w:r>
        <w:instrText xml:space="preserve"> PAGEREF _Toc11937451 \h </w:instrText>
      </w:r>
      <w:r>
        <w:fldChar w:fldCharType="separate"/>
      </w:r>
      <w:r w:rsidR="00562255">
        <w:t>201</w:t>
      </w:r>
      <w:r>
        <w:fldChar w:fldCharType="end"/>
      </w:r>
    </w:p>
    <w:p w:rsidR="00F4654E" w:rsidRDefault="00F4654E">
      <w:pPr>
        <w:pStyle w:val="10"/>
        <w:rPr>
          <w:spacing w:val="0"/>
        </w:rPr>
      </w:pPr>
      <w:r>
        <w:rPr>
          <w:spacing w:val="0"/>
        </w:rPr>
        <w:t xml:space="preserve">ВЛИЯНИЕ ПРЕПАРАТА СОЛУНАТ НА ФАКТОРЫ ЕСТЕСТВЕННОЙ РЕЗИСТЕНТНОСТИ </w:t>
      </w:r>
      <w:r>
        <w:rPr>
          <w:noProof w:val="0"/>
          <w:spacing w:val="0"/>
        </w:rPr>
        <w:br/>
      </w:r>
      <w:r>
        <w:rPr>
          <w:spacing w:val="0"/>
        </w:rPr>
        <w:t>И ПРОДУКТИВНОСТЬ МОЛОДНЯКА КРУПНОГО РОГАТОГО СКОТА</w:t>
      </w:r>
    </w:p>
    <w:p w:rsidR="00F4654E" w:rsidRDefault="00F4654E" w:rsidP="00562255">
      <w:pPr>
        <w:pStyle w:val="20"/>
      </w:pPr>
      <w:r>
        <w:t>Грудина Н.В.,Грудин Н.С.,Луховицкий В.И.,Соловьев А.М.,Жуков И.В.</w:t>
      </w:r>
      <w:r>
        <w:tab/>
      </w:r>
      <w:r>
        <w:fldChar w:fldCharType="begin"/>
      </w:r>
      <w:r>
        <w:instrText xml:space="preserve"> PAGEREF _Toc11937453 \h </w:instrText>
      </w:r>
      <w:r>
        <w:fldChar w:fldCharType="separate"/>
      </w:r>
      <w:r w:rsidR="00562255">
        <w:t>202</w:t>
      </w:r>
      <w:r>
        <w:fldChar w:fldCharType="end"/>
      </w:r>
    </w:p>
    <w:p w:rsidR="00F4654E" w:rsidRDefault="00F4654E">
      <w:pPr>
        <w:pStyle w:val="10"/>
        <w:rPr>
          <w:spacing w:val="0"/>
        </w:rPr>
      </w:pPr>
      <w:r>
        <w:rPr>
          <w:spacing w:val="0"/>
        </w:rPr>
        <w:t>Изучение стабильности иммуногенных свойств вакцины против болезни Ауески из делеционного штамма “ВК” в процессе хранения</w:t>
      </w:r>
    </w:p>
    <w:p w:rsidR="00F4654E" w:rsidRDefault="00F4654E" w:rsidP="00562255">
      <w:pPr>
        <w:pStyle w:val="20"/>
      </w:pPr>
      <w:r>
        <w:t>Гусева М.Н., Михалишин В.В.</w:t>
      </w:r>
      <w:r>
        <w:tab/>
      </w:r>
      <w:r>
        <w:fldChar w:fldCharType="begin"/>
      </w:r>
      <w:r>
        <w:instrText xml:space="preserve"> PAGEREF _Toc11937455 \h </w:instrText>
      </w:r>
      <w:r>
        <w:fldChar w:fldCharType="separate"/>
      </w:r>
      <w:r w:rsidR="00562255">
        <w:t>204</w:t>
      </w:r>
      <w:r>
        <w:fldChar w:fldCharType="end"/>
      </w:r>
    </w:p>
    <w:p w:rsidR="00F4654E" w:rsidRDefault="00F4654E">
      <w:pPr>
        <w:pStyle w:val="10"/>
        <w:rPr>
          <w:spacing w:val="0"/>
        </w:rPr>
      </w:pPr>
      <w:r>
        <w:rPr>
          <w:spacing w:val="0"/>
        </w:rPr>
        <w:t xml:space="preserve">МОНИТОРИНГ ВОЗБУДИТЕЛЕЙ БАКТЕРИАЛЬНЫХ ИНФЕКЦИЙ ПТИЦ В </w:t>
      </w:r>
      <w:r>
        <w:rPr>
          <w:noProof w:val="0"/>
          <w:spacing w:val="0"/>
        </w:rPr>
        <w:br/>
      </w:r>
      <w:r>
        <w:rPr>
          <w:spacing w:val="0"/>
        </w:rPr>
        <w:t>ПРОМЫШЛЕННОМ ПТИЦЕВОДСТВЕ</w:t>
      </w:r>
    </w:p>
    <w:p w:rsidR="00F4654E" w:rsidRDefault="00F4654E" w:rsidP="00562255">
      <w:pPr>
        <w:pStyle w:val="20"/>
      </w:pPr>
      <w:r>
        <w:t>Гусев В.В., Теймуразов М.Г.</w:t>
      </w:r>
      <w:r>
        <w:tab/>
      </w:r>
      <w:r>
        <w:fldChar w:fldCharType="begin"/>
      </w:r>
      <w:r>
        <w:instrText xml:space="preserve"> PAGEREF _Toc11937457 \h </w:instrText>
      </w:r>
      <w:r>
        <w:fldChar w:fldCharType="separate"/>
      </w:r>
      <w:r w:rsidR="00562255">
        <w:t>205</w:t>
      </w:r>
      <w:r>
        <w:fldChar w:fldCharType="end"/>
      </w:r>
    </w:p>
    <w:p w:rsidR="00F4654E" w:rsidRDefault="00F4654E">
      <w:pPr>
        <w:pStyle w:val="10"/>
        <w:rPr>
          <w:spacing w:val="0"/>
        </w:rPr>
      </w:pPr>
      <w:r>
        <w:rPr>
          <w:spacing w:val="0"/>
        </w:rPr>
        <w:t>ПАРАМЕТРЫ ТОКСИЧНОСТИ КОМПЛЕКСНОГО АНТИМИКРОБНОГО ПРЕПАРАТА ЛЕВОТЕТРАСУЛЬФИН ФОРТЕ</w:t>
      </w:r>
    </w:p>
    <w:p w:rsidR="00F4654E" w:rsidRDefault="00F4654E" w:rsidP="00562255">
      <w:pPr>
        <w:pStyle w:val="20"/>
      </w:pPr>
      <w:r>
        <w:t>Гуник А.В., Паршин П.А., Востроилова Г.А.</w:t>
      </w:r>
      <w:r>
        <w:tab/>
      </w:r>
      <w:r>
        <w:fldChar w:fldCharType="begin"/>
      </w:r>
      <w:r>
        <w:instrText xml:space="preserve"> PAGEREF _Toc11937459 \h </w:instrText>
      </w:r>
      <w:r>
        <w:fldChar w:fldCharType="separate"/>
      </w:r>
      <w:r w:rsidR="00562255">
        <w:t>206</w:t>
      </w:r>
      <w:r>
        <w:fldChar w:fldCharType="end"/>
      </w:r>
    </w:p>
    <w:p w:rsidR="00F4654E" w:rsidRDefault="00F4654E">
      <w:pPr>
        <w:pStyle w:val="10"/>
        <w:rPr>
          <w:spacing w:val="0"/>
        </w:rPr>
      </w:pPr>
      <w:r>
        <w:rPr>
          <w:spacing w:val="0"/>
        </w:rPr>
        <w:t xml:space="preserve">Изучение аллергизирующих свойств комплексного антимикробного </w:t>
      </w:r>
      <w:r>
        <w:rPr>
          <w:spacing w:val="0"/>
        </w:rPr>
        <w:br/>
        <w:t>препарата левотетрасульфин форте</w:t>
      </w:r>
    </w:p>
    <w:p w:rsidR="00F4654E" w:rsidRDefault="00F4654E" w:rsidP="00562255">
      <w:pPr>
        <w:pStyle w:val="20"/>
      </w:pPr>
      <w:r>
        <w:t>Гуник А.В., Паршин П.А., Востроилова Г.А.</w:t>
      </w:r>
      <w:r>
        <w:tab/>
      </w:r>
      <w:r>
        <w:fldChar w:fldCharType="begin"/>
      </w:r>
      <w:r>
        <w:instrText xml:space="preserve"> PAGEREF _Toc11937461 \h </w:instrText>
      </w:r>
      <w:r>
        <w:fldChar w:fldCharType="separate"/>
      </w:r>
      <w:r w:rsidR="00562255">
        <w:t>208</w:t>
      </w:r>
      <w:r>
        <w:fldChar w:fldCharType="end"/>
      </w:r>
    </w:p>
    <w:p w:rsidR="00F4654E" w:rsidRDefault="00F4654E">
      <w:pPr>
        <w:pStyle w:val="10"/>
        <w:rPr>
          <w:spacing w:val="0"/>
        </w:rPr>
      </w:pPr>
      <w:r>
        <w:rPr>
          <w:spacing w:val="0"/>
        </w:rPr>
        <w:t>Становление иммунобиологического статуса  у телят в постнатальный</w:t>
      </w:r>
      <w:r>
        <w:rPr>
          <w:spacing w:val="0"/>
        </w:rPr>
        <w:br/>
        <w:t>период в условиях биогеохимической зоны</w:t>
      </w:r>
    </w:p>
    <w:p w:rsidR="00F4654E" w:rsidRDefault="00F4654E" w:rsidP="00562255">
      <w:pPr>
        <w:pStyle w:val="20"/>
      </w:pPr>
      <w:r>
        <w:t>Григорьева Т.Е., Кириллов Н. К., Кульмакова Н.И., Иванов Г. И.</w:t>
      </w:r>
      <w:r>
        <w:tab/>
      </w:r>
      <w:r>
        <w:fldChar w:fldCharType="begin"/>
      </w:r>
      <w:r>
        <w:instrText xml:space="preserve"> PAGEREF _Toc11937463 \h </w:instrText>
      </w:r>
      <w:r>
        <w:fldChar w:fldCharType="separate"/>
      </w:r>
      <w:r w:rsidR="00562255">
        <w:t>210</w:t>
      </w:r>
      <w:r>
        <w:fldChar w:fldCharType="end"/>
      </w:r>
    </w:p>
    <w:p w:rsidR="00F4654E" w:rsidRDefault="00F4654E">
      <w:pPr>
        <w:pStyle w:val="10"/>
        <w:rPr>
          <w:spacing w:val="0"/>
        </w:rPr>
      </w:pPr>
      <w:r>
        <w:rPr>
          <w:spacing w:val="0"/>
        </w:rPr>
        <w:t xml:space="preserve">ПОВЫШЕНИЕ ЖИЗНЕСПОСОБНОСТИ, РОСТА И РАЗВИТИЯ ЩЕНКОВ ЛИСИЦ И </w:t>
      </w:r>
      <w:r>
        <w:rPr>
          <w:noProof w:val="0"/>
          <w:spacing w:val="0"/>
        </w:rPr>
        <w:br/>
      </w:r>
      <w:r>
        <w:rPr>
          <w:spacing w:val="0"/>
        </w:rPr>
        <w:t>ПЕСЦОВ ПРИ ПРИМЕНЕНИИ ДИПРОМОНИЯ И ЭНДОВИТА</w:t>
      </w:r>
    </w:p>
    <w:p w:rsidR="00F4654E" w:rsidRDefault="00F4654E" w:rsidP="00562255">
      <w:pPr>
        <w:pStyle w:val="20"/>
      </w:pPr>
      <w:r>
        <w:t>Дашукаева К.Г., Зибров М.А.</w:t>
      </w:r>
      <w:r>
        <w:tab/>
      </w:r>
      <w:r>
        <w:fldChar w:fldCharType="begin"/>
      </w:r>
      <w:r>
        <w:instrText xml:space="preserve"> PAGEREF _Toc11937465 \h </w:instrText>
      </w:r>
      <w:r>
        <w:fldChar w:fldCharType="separate"/>
      </w:r>
      <w:r w:rsidR="00562255">
        <w:t>212</w:t>
      </w:r>
      <w:r>
        <w:fldChar w:fldCharType="end"/>
      </w:r>
    </w:p>
    <w:p w:rsidR="00F4654E" w:rsidRDefault="00F4654E">
      <w:pPr>
        <w:pStyle w:val="10"/>
        <w:rPr>
          <w:spacing w:val="0"/>
        </w:rPr>
      </w:pPr>
      <w:r>
        <w:rPr>
          <w:spacing w:val="0"/>
        </w:rPr>
        <w:t xml:space="preserve">ПРИМЕНЕНИЕ «СЕЛЕМАГА» ДЛЯ ПРОФИЛАКТИКИ ПАТОЛОГИИ РОДОВ И </w:t>
      </w:r>
      <w:r>
        <w:rPr>
          <w:spacing w:val="0"/>
        </w:rPr>
        <w:br/>
        <w:t>ПОСЛЕРОДОВОГО ПЕРИОДА У  КОРОВ</w:t>
      </w:r>
    </w:p>
    <w:p w:rsidR="00F4654E" w:rsidRDefault="00F4654E" w:rsidP="00562255">
      <w:pPr>
        <w:pStyle w:val="20"/>
      </w:pPr>
      <w:r>
        <w:t>Дашукаева К.Г., Зибров М.А., Сафонов В.А., Ситникова О.В.</w:t>
      </w:r>
      <w:r>
        <w:tab/>
      </w:r>
      <w:r>
        <w:fldChar w:fldCharType="begin"/>
      </w:r>
      <w:r>
        <w:instrText xml:space="preserve"> PAGEREF _Toc11937467 \h </w:instrText>
      </w:r>
      <w:r>
        <w:fldChar w:fldCharType="separate"/>
      </w:r>
      <w:r w:rsidR="00562255">
        <w:t>213</w:t>
      </w:r>
      <w:r>
        <w:fldChar w:fldCharType="end"/>
      </w:r>
    </w:p>
    <w:p w:rsidR="00F4654E" w:rsidRDefault="00F4654E">
      <w:pPr>
        <w:pStyle w:val="10"/>
        <w:rPr>
          <w:spacing w:val="0"/>
        </w:rPr>
      </w:pPr>
      <w:r>
        <w:rPr>
          <w:spacing w:val="0"/>
        </w:rPr>
        <w:t>ЭФФЕКТИВНОСТЬ «ЭНДОМЕТРАМАГА-К» ПРИ ТЕРАПИИ БОЛЬНЫХ ПОСЛЕРОДОВЫМ ЭНДОМЕТРИТОМ КОРОВ</w:t>
      </w:r>
    </w:p>
    <w:p w:rsidR="00F4654E" w:rsidRDefault="00F4654E" w:rsidP="00562255">
      <w:pPr>
        <w:pStyle w:val="20"/>
      </w:pPr>
      <w:r>
        <w:t>Дашукаева К.Г., Зибров М.А., Сафонов В.А., Усова Н.Е.</w:t>
      </w:r>
      <w:r>
        <w:tab/>
      </w:r>
      <w:r>
        <w:fldChar w:fldCharType="begin"/>
      </w:r>
      <w:r>
        <w:instrText xml:space="preserve"> PAGEREF _Toc11937469 \h </w:instrText>
      </w:r>
      <w:r>
        <w:fldChar w:fldCharType="separate"/>
      </w:r>
      <w:r w:rsidR="00562255">
        <w:t>215</w:t>
      </w:r>
      <w:r>
        <w:fldChar w:fldCharType="end"/>
      </w:r>
    </w:p>
    <w:p w:rsidR="00F4654E" w:rsidRDefault="00F4654E">
      <w:pPr>
        <w:pStyle w:val="10"/>
        <w:rPr>
          <w:spacing w:val="0"/>
        </w:rPr>
      </w:pPr>
      <w:r>
        <w:rPr>
          <w:spacing w:val="0"/>
        </w:rPr>
        <w:t>ВЛИЯНИЕ СЕЛЕКОРА НА КЛИНИКО-БИОХИМИЧЕСКИЕ ПОКАЗАТЕЛИ НОВОРОЖДЕННЫХ ТЕЛЯТ при применении его коровам-МАТЕРЯМ</w:t>
      </w:r>
    </w:p>
    <w:p w:rsidR="00F4654E" w:rsidRDefault="00F4654E" w:rsidP="00562255">
      <w:pPr>
        <w:pStyle w:val="20"/>
      </w:pPr>
      <w:r>
        <w:t>Дегтярев Д.В., Костына М.А., Беляев В.И.</w:t>
      </w:r>
      <w:r>
        <w:tab/>
      </w:r>
      <w:r>
        <w:fldChar w:fldCharType="begin"/>
      </w:r>
      <w:r>
        <w:instrText xml:space="preserve"> PAGEREF _Toc11937471 \h </w:instrText>
      </w:r>
      <w:r>
        <w:fldChar w:fldCharType="separate"/>
      </w:r>
      <w:r w:rsidR="00562255">
        <w:t>216</w:t>
      </w:r>
      <w:r>
        <w:fldChar w:fldCharType="end"/>
      </w:r>
    </w:p>
    <w:p w:rsidR="00F4654E" w:rsidRDefault="00F4654E">
      <w:pPr>
        <w:pStyle w:val="10"/>
        <w:rPr>
          <w:spacing w:val="0"/>
        </w:rPr>
      </w:pPr>
      <w:r>
        <w:rPr>
          <w:spacing w:val="0"/>
        </w:rPr>
        <w:t xml:space="preserve">Влияние органических и неорганических соединений селена на </w:t>
      </w:r>
      <w:r>
        <w:rPr>
          <w:noProof w:val="0"/>
          <w:spacing w:val="0"/>
        </w:rPr>
        <w:br/>
      </w:r>
      <w:r>
        <w:rPr>
          <w:spacing w:val="0"/>
        </w:rPr>
        <w:t>привесы и показатели антиоксидантной защиты у телят</w:t>
      </w:r>
    </w:p>
    <w:p w:rsidR="00F4654E" w:rsidRDefault="00F4654E" w:rsidP="00562255">
      <w:pPr>
        <w:pStyle w:val="20"/>
      </w:pPr>
      <w:r>
        <w:t>Дегтярев Д.В., Алехин Ю.Н., Куркин С.В., Фаустов А.И.</w:t>
      </w:r>
      <w:r>
        <w:tab/>
      </w:r>
      <w:r>
        <w:fldChar w:fldCharType="begin"/>
      </w:r>
      <w:r>
        <w:instrText xml:space="preserve"> PAGEREF _Toc11937473 \h </w:instrText>
      </w:r>
      <w:r>
        <w:fldChar w:fldCharType="separate"/>
      </w:r>
      <w:r w:rsidR="00562255">
        <w:t>218</w:t>
      </w:r>
      <w:r>
        <w:fldChar w:fldCharType="end"/>
      </w:r>
    </w:p>
    <w:p w:rsidR="00F4654E" w:rsidRDefault="00F4654E">
      <w:pPr>
        <w:pStyle w:val="10"/>
        <w:rPr>
          <w:spacing w:val="0"/>
        </w:rPr>
      </w:pPr>
      <w:r>
        <w:rPr>
          <w:spacing w:val="0"/>
        </w:rPr>
        <w:lastRenderedPageBreak/>
        <w:t>дозирование низкоэнергетического фотонного излучения в разработке терапевтических схем при лечении бронхитов у телят</w:t>
      </w:r>
    </w:p>
    <w:p w:rsidR="00F4654E" w:rsidRDefault="00F4654E" w:rsidP="00562255">
      <w:pPr>
        <w:pStyle w:val="20"/>
      </w:pPr>
      <w:r>
        <w:t>Демидова О. М.</w:t>
      </w:r>
      <w:r>
        <w:tab/>
      </w:r>
      <w:r>
        <w:fldChar w:fldCharType="begin"/>
      </w:r>
      <w:r>
        <w:instrText xml:space="preserve"> PAGEREF _Toc11937475 \h </w:instrText>
      </w:r>
      <w:r>
        <w:fldChar w:fldCharType="separate"/>
      </w:r>
      <w:r w:rsidR="00562255">
        <w:t>220</w:t>
      </w:r>
      <w:r>
        <w:fldChar w:fldCharType="end"/>
      </w:r>
    </w:p>
    <w:p w:rsidR="00F4654E" w:rsidRDefault="00F4654E">
      <w:pPr>
        <w:pStyle w:val="10"/>
        <w:rPr>
          <w:spacing w:val="0"/>
        </w:rPr>
      </w:pPr>
      <w:r>
        <w:rPr>
          <w:spacing w:val="0"/>
        </w:rPr>
        <w:t xml:space="preserve">Гемомодулирующий эффект низкоэнергетического фотонного излучения </w:t>
      </w:r>
      <w:r>
        <w:rPr>
          <w:noProof w:val="0"/>
          <w:spacing w:val="0"/>
        </w:rPr>
        <w:br/>
      </w:r>
      <w:r>
        <w:rPr>
          <w:spacing w:val="0"/>
        </w:rPr>
        <w:t>на организм больных бронхитом телят</w:t>
      </w:r>
    </w:p>
    <w:p w:rsidR="00F4654E" w:rsidRDefault="00F4654E" w:rsidP="00562255">
      <w:pPr>
        <w:pStyle w:val="20"/>
      </w:pPr>
      <w:r>
        <w:t>Демидова О. М.</w:t>
      </w:r>
      <w:r>
        <w:tab/>
      </w:r>
      <w:r>
        <w:fldChar w:fldCharType="begin"/>
      </w:r>
      <w:r>
        <w:instrText xml:space="preserve"> PAGEREF _Toc11937477 \h </w:instrText>
      </w:r>
      <w:r>
        <w:fldChar w:fldCharType="separate"/>
      </w:r>
      <w:r w:rsidR="00562255">
        <w:t>223</w:t>
      </w:r>
      <w:r>
        <w:fldChar w:fldCharType="end"/>
      </w:r>
    </w:p>
    <w:p w:rsidR="00F4654E" w:rsidRDefault="00F4654E">
      <w:pPr>
        <w:pStyle w:val="10"/>
        <w:rPr>
          <w:spacing w:val="0"/>
        </w:rPr>
      </w:pPr>
      <w:r>
        <w:rPr>
          <w:spacing w:val="0"/>
        </w:rPr>
        <w:t>ТЕРАПЕВТИЧЕСКИЙ ЭФФЕКТ НИЗКОЭНЕРГЕТИЧЕСКОЙ ФОТОННОЙ ТЕРАПИИ ПРИ БРОНХИТАХ У ТЕЛЯТ</w:t>
      </w:r>
    </w:p>
    <w:p w:rsidR="00F4654E" w:rsidRDefault="00F4654E" w:rsidP="00562255">
      <w:pPr>
        <w:pStyle w:val="20"/>
      </w:pPr>
      <w:r>
        <w:t>Демидова О. М.</w:t>
      </w:r>
      <w:r>
        <w:tab/>
      </w:r>
      <w:r>
        <w:fldChar w:fldCharType="begin"/>
      </w:r>
      <w:r>
        <w:instrText xml:space="preserve"> PAGEREF _Toc11937479 \h </w:instrText>
      </w:r>
      <w:r>
        <w:fldChar w:fldCharType="separate"/>
      </w:r>
      <w:r w:rsidR="00562255">
        <w:t>225</w:t>
      </w:r>
      <w:r>
        <w:fldChar w:fldCharType="end"/>
      </w:r>
    </w:p>
    <w:p w:rsidR="00F4654E" w:rsidRDefault="00F4654E">
      <w:pPr>
        <w:pStyle w:val="10"/>
        <w:rPr>
          <w:spacing w:val="0"/>
        </w:rPr>
      </w:pPr>
      <w:r>
        <w:rPr>
          <w:spacing w:val="0"/>
        </w:rPr>
        <w:t>РАСПРОСТРАНЕНИЕ И ЭТИОЛОГИЯ РАХИТА У ПОРОСЯТ В СВИНОВОДЧЕСКИХ</w:t>
      </w:r>
      <w:r>
        <w:rPr>
          <w:spacing w:val="0"/>
        </w:rPr>
        <w:br/>
        <w:t>ХОЗЯЙСТВАХ РОСТОВСКОЙ ОБЛАСТИ</w:t>
      </w:r>
    </w:p>
    <w:p w:rsidR="00F4654E" w:rsidRDefault="00F4654E" w:rsidP="00562255">
      <w:pPr>
        <w:pStyle w:val="20"/>
      </w:pPr>
      <w:r>
        <w:t>Дерезина Т.Н.</w:t>
      </w:r>
      <w:r>
        <w:tab/>
      </w:r>
      <w:r>
        <w:fldChar w:fldCharType="begin"/>
      </w:r>
      <w:r>
        <w:instrText xml:space="preserve"> PAGEREF _Toc11937481 \h </w:instrText>
      </w:r>
      <w:r>
        <w:fldChar w:fldCharType="separate"/>
      </w:r>
      <w:r w:rsidR="00562255">
        <w:t>226</w:t>
      </w:r>
      <w:r>
        <w:fldChar w:fldCharType="end"/>
      </w:r>
    </w:p>
    <w:p w:rsidR="00F4654E" w:rsidRDefault="00F4654E">
      <w:pPr>
        <w:pStyle w:val="10"/>
        <w:rPr>
          <w:spacing w:val="0"/>
        </w:rPr>
      </w:pPr>
      <w:r>
        <w:rPr>
          <w:spacing w:val="0"/>
        </w:rPr>
        <w:t>КОМПЛЕКСНОЕ ЛЕЧЕНИЕ ПОРОСЯТ,  БОЛЬНЫХ  СУБКЛИНИЧЕСКИМ РАХИТОМ</w:t>
      </w:r>
    </w:p>
    <w:p w:rsidR="00F4654E" w:rsidRDefault="00F4654E" w:rsidP="00562255">
      <w:pPr>
        <w:pStyle w:val="20"/>
      </w:pPr>
      <w:r>
        <w:t>Дерезина Т.Н.</w:t>
      </w:r>
      <w:r>
        <w:tab/>
      </w:r>
      <w:r>
        <w:fldChar w:fldCharType="begin"/>
      </w:r>
      <w:r>
        <w:instrText xml:space="preserve"> PAGEREF _Toc11937483 \h </w:instrText>
      </w:r>
      <w:r>
        <w:fldChar w:fldCharType="separate"/>
      </w:r>
      <w:r w:rsidR="00562255">
        <w:t>227</w:t>
      </w:r>
      <w:r>
        <w:fldChar w:fldCharType="end"/>
      </w:r>
    </w:p>
    <w:p w:rsidR="00F4654E" w:rsidRDefault="00F4654E">
      <w:pPr>
        <w:pStyle w:val="10"/>
        <w:rPr>
          <w:spacing w:val="0"/>
        </w:rPr>
      </w:pPr>
      <w:r>
        <w:rPr>
          <w:spacing w:val="0"/>
        </w:rPr>
        <w:t>ОСОБЕННОСТИ ДИАГНОСТИКИ СУБКЛИНИЧЕСКОГО РАХИТА У ПОРОСЯТ</w:t>
      </w:r>
    </w:p>
    <w:p w:rsidR="00F4654E" w:rsidRDefault="00F4654E" w:rsidP="00562255">
      <w:pPr>
        <w:pStyle w:val="20"/>
      </w:pPr>
      <w:r>
        <w:t>Дерезина Т.Н., Камчатный Д.В.</w:t>
      </w:r>
      <w:r>
        <w:tab/>
      </w:r>
      <w:r>
        <w:fldChar w:fldCharType="begin"/>
      </w:r>
      <w:r>
        <w:instrText xml:space="preserve"> PAGEREF _Toc11937485 \h </w:instrText>
      </w:r>
      <w:r>
        <w:fldChar w:fldCharType="separate"/>
      </w:r>
      <w:r w:rsidR="00562255">
        <w:t>229</w:t>
      </w:r>
      <w:r>
        <w:fldChar w:fldCharType="end"/>
      </w:r>
    </w:p>
    <w:p w:rsidR="00F4654E" w:rsidRDefault="00F4654E">
      <w:pPr>
        <w:pStyle w:val="10"/>
        <w:rPr>
          <w:spacing w:val="0"/>
        </w:rPr>
      </w:pPr>
      <w:r>
        <w:rPr>
          <w:spacing w:val="0"/>
        </w:rPr>
        <w:t>Повышение воспроизводительной функции хряков с использованием</w:t>
      </w:r>
      <w:r>
        <w:rPr>
          <w:spacing w:val="0"/>
        </w:rPr>
        <w:br/>
        <w:t>родиолы розовой</w:t>
      </w:r>
    </w:p>
    <w:p w:rsidR="00F4654E" w:rsidRDefault="00F4654E" w:rsidP="00562255">
      <w:pPr>
        <w:pStyle w:val="20"/>
      </w:pPr>
      <w:r>
        <w:t>Джамалдинов А.Ч.</w:t>
      </w:r>
      <w:r>
        <w:tab/>
      </w:r>
      <w:r>
        <w:fldChar w:fldCharType="begin"/>
      </w:r>
      <w:r>
        <w:instrText xml:space="preserve"> PAGEREF _Toc11937487 \h </w:instrText>
      </w:r>
      <w:r>
        <w:fldChar w:fldCharType="separate"/>
      </w:r>
      <w:r w:rsidR="00562255">
        <w:t>230</w:t>
      </w:r>
      <w:r>
        <w:fldChar w:fldCharType="end"/>
      </w:r>
    </w:p>
    <w:p w:rsidR="00F4654E" w:rsidRDefault="00F4654E">
      <w:pPr>
        <w:pStyle w:val="10"/>
        <w:rPr>
          <w:spacing w:val="0"/>
        </w:rPr>
      </w:pPr>
      <w:r>
        <w:rPr>
          <w:spacing w:val="0"/>
        </w:rPr>
        <w:t xml:space="preserve">Влияние скармливания амаранта, возделываемого в Азербайджане, </w:t>
      </w:r>
      <w:r>
        <w:rPr>
          <w:noProof w:val="0"/>
          <w:spacing w:val="0"/>
        </w:rPr>
        <w:br/>
      </w:r>
      <w:r>
        <w:rPr>
          <w:spacing w:val="0"/>
        </w:rPr>
        <w:t>на липидные соединение в сыворотке крови мододняка крс</w:t>
      </w:r>
    </w:p>
    <w:p w:rsidR="00F4654E" w:rsidRDefault="00F4654E" w:rsidP="00562255">
      <w:pPr>
        <w:pStyle w:val="20"/>
      </w:pPr>
      <w:r>
        <w:t xml:space="preserve">Джалладов </w:t>
      </w:r>
      <w:r>
        <w:rPr>
          <w:caps/>
        </w:rPr>
        <w:t>г.ш.</w:t>
      </w:r>
      <w:r>
        <w:tab/>
      </w:r>
      <w:r>
        <w:fldChar w:fldCharType="begin"/>
      </w:r>
      <w:r>
        <w:instrText xml:space="preserve"> PAGEREF _Toc11937489 \h </w:instrText>
      </w:r>
      <w:r>
        <w:fldChar w:fldCharType="separate"/>
      </w:r>
      <w:r w:rsidR="00562255">
        <w:t>232</w:t>
      </w:r>
      <w:r>
        <w:fldChar w:fldCharType="end"/>
      </w:r>
    </w:p>
    <w:p w:rsidR="00F4654E" w:rsidRDefault="00F4654E">
      <w:pPr>
        <w:pStyle w:val="10"/>
        <w:rPr>
          <w:spacing w:val="0"/>
        </w:rPr>
      </w:pPr>
      <w:r>
        <w:rPr>
          <w:spacing w:val="0"/>
        </w:rPr>
        <w:t>Эффективность стимуляции эструса у свиней при помощи</w:t>
      </w:r>
      <w:r w:rsidR="00E05280">
        <w:rPr>
          <w:spacing w:val="0"/>
        </w:rPr>
        <w:t xml:space="preserve"> </w:t>
      </w:r>
      <w:r w:rsidR="00D6523B">
        <w:rPr>
          <w:spacing w:val="0"/>
        </w:rPr>
        <w:br/>
      </w:r>
      <w:r>
        <w:rPr>
          <w:spacing w:val="0"/>
        </w:rPr>
        <w:t>препарата PG-600</w:t>
      </w:r>
    </w:p>
    <w:p w:rsidR="00F4654E" w:rsidRDefault="00F4654E" w:rsidP="00562255">
      <w:pPr>
        <w:pStyle w:val="20"/>
      </w:pPr>
      <w:r>
        <w:t>Джамалдинов А.Ч., Смыченко Е.Р., Ропало С.А.</w:t>
      </w:r>
      <w:r>
        <w:tab/>
      </w:r>
      <w:r>
        <w:fldChar w:fldCharType="begin"/>
      </w:r>
      <w:r>
        <w:instrText xml:space="preserve"> PAGEREF _Toc11937491 \h </w:instrText>
      </w:r>
      <w:r>
        <w:fldChar w:fldCharType="separate"/>
      </w:r>
      <w:r w:rsidR="00562255">
        <w:t>233</w:t>
      </w:r>
      <w:r>
        <w:fldChar w:fldCharType="end"/>
      </w:r>
    </w:p>
    <w:p w:rsidR="00F4654E" w:rsidRDefault="00F4654E">
      <w:pPr>
        <w:pStyle w:val="10"/>
        <w:rPr>
          <w:spacing w:val="0"/>
        </w:rPr>
      </w:pPr>
      <w:r>
        <w:rPr>
          <w:spacing w:val="0"/>
        </w:rPr>
        <w:t>СОДЕРЖАНИЕ НИТРИТОВ И НИТРАТОВ В КОРМАХ ХОЗЯЙСТВ ПЛОСКОСТНОЙ ЗОНЫ РЕСПУБЛИКИ ДАГЕСТАН</w:t>
      </w:r>
    </w:p>
    <w:p w:rsidR="00F4654E" w:rsidRDefault="00F4654E" w:rsidP="00562255">
      <w:pPr>
        <w:pStyle w:val="20"/>
      </w:pPr>
      <w:r>
        <w:t>Джамбулатов М.М., Зубаилов Г.И.</w:t>
      </w:r>
      <w:r>
        <w:tab/>
      </w:r>
      <w:r>
        <w:fldChar w:fldCharType="begin"/>
      </w:r>
      <w:r>
        <w:instrText xml:space="preserve"> PAGEREF _Toc11937493 \h </w:instrText>
      </w:r>
      <w:r>
        <w:fldChar w:fldCharType="separate"/>
      </w:r>
      <w:r w:rsidR="00562255">
        <w:t>234</w:t>
      </w:r>
      <w:r>
        <w:fldChar w:fldCharType="end"/>
      </w:r>
    </w:p>
    <w:p w:rsidR="00F4654E" w:rsidRDefault="00F4654E">
      <w:pPr>
        <w:pStyle w:val="10"/>
        <w:rPr>
          <w:spacing w:val="0"/>
        </w:rPr>
      </w:pPr>
      <w:r>
        <w:rPr>
          <w:spacing w:val="0"/>
        </w:rPr>
        <w:t xml:space="preserve">Наследование основных селекционных признаков потомством, </w:t>
      </w:r>
      <w:r>
        <w:rPr>
          <w:noProof w:val="0"/>
          <w:spacing w:val="0"/>
        </w:rPr>
        <w:br/>
      </w:r>
      <w:r>
        <w:rPr>
          <w:spacing w:val="0"/>
        </w:rPr>
        <w:t>полученных разными  методами воспроизводства</w:t>
      </w:r>
    </w:p>
    <w:p w:rsidR="00F4654E" w:rsidRDefault="00F4654E" w:rsidP="00562255">
      <w:pPr>
        <w:pStyle w:val="20"/>
      </w:pPr>
      <w:r>
        <w:t>Дондитов У.Ж., Муруев А.В.</w:t>
      </w:r>
      <w:r>
        <w:tab/>
      </w:r>
      <w:r>
        <w:fldChar w:fldCharType="begin"/>
      </w:r>
      <w:r>
        <w:instrText xml:space="preserve"> PAGEREF _Toc11937495 \h </w:instrText>
      </w:r>
      <w:r>
        <w:fldChar w:fldCharType="separate"/>
      </w:r>
      <w:r w:rsidR="00562255">
        <w:t>236</w:t>
      </w:r>
      <w:r>
        <w:fldChar w:fldCharType="end"/>
      </w:r>
    </w:p>
    <w:p w:rsidR="00F4654E" w:rsidRDefault="00F4654E">
      <w:pPr>
        <w:pStyle w:val="10"/>
        <w:rPr>
          <w:spacing w:val="0"/>
        </w:rPr>
      </w:pPr>
      <w:r>
        <w:rPr>
          <w:spacing w:val="0"/>
        </w:rPr>
        <w:t xml:space="preserve">Продуктивные качества молодняка овец полученного от разных </w:t>
      </w:r>
      <w:r>
        <w:rPr>
          <w:noProof w:val="0"/>
          <w:spacing w:val="0"/>
        </w:rPr>
        <w:br/>
      </w:r>
      <w:r>
        <w:rPr>
          <w:spacing w:val="0"/>
        </w:rPr>
        <w:t>методов воспроизводства</w:t>
      </w:r>
    </w:p>
    <w:p w:rsidR="00F4654E" w:rsidRDefault="00F4654E" w:rsidP="00562255">
      <w:pPr>
        <w:pStyle w:val="20"/>
      </w:pPr>
      <w:r>
        <w:t>Дондитов У.Ж., Муруев А.В.</w:t>
      </w:r>
      <w:r>
        <w:tab/>
      </w:r>
      <w:r>
        <w:fldChar w:fldCharType="begin"/>
      </w:r>
      <w:r>
        <w:instrText xml:space="preserve"> PAGEREF _Toc11937497 \h </w:instrText>
      </w:r>
      <w:r>
        <w:fldChar w:fldCharType="separate"/>
      </w:r>
      <w:r w:rsidR="00562255">
        <w:t>238</w:t>
      </w:r>
      <w:r>
        <w:fldChar w:fldCharType="end"/>
      </w:r>
    </w:p>
    <w:p w:rsidR="00F4654E" w:rsidRDefault="00F4654E">
      <w:pPr>
        <w:pStyle w:val="10"/>
        <w:rPr>
          <w:spacing w:val="0"/>
        </w:rPr>
      </w:pPr>
      <w:r>
        <w:rPr>
          <w:spacing w:val="0"/>
        </w:rPr>
        <w:t>Активность аминогликозидов, цефалоспоринов, фторхинолонов по отношению к иерсиниям</w:t>
      </w:r>
    </w:p>
    <w:p w:rsidR="00F4654E" w:rsidRDefault="00F4654E" w:rsidP="00562255">
      <w:pPr>
        <w:pStyle w:val="20"/>
      </w:pPr>
      <w:r>
        <w:t>Довбыш В.С.</w:t>
      </w:r>
      <w:r>
        <w:tab/>
      </w:r>
      <w:r>
        <w:fldChar w:fldCharType="begin"/>
      </w:r>
      <w:r>
        <w:instrText xml:space="preserve"> PAGEREF _Toc11937499 \h </w:instrText>
      </w:r>
      <w:r>
        <w:fldChar w:fldCharType="separate"/>
      </w:r>
      <w:r w:rsidR="00562255">
        <w:t>239</w:t>
      </w:r>
      <w:r>
        <w:fldChar w:fldCharType="end"/>
      </w:r>
    </w:p>
    <w:p w:rsidR="00F4654E" w:rsidRDefault="00F4654E">
      <w:pPr>
        <w:pStyle w:val="10"/>
        <w:rPr>
          <w:spacing w:val="0"/>
        </w:rPr>
      </w:pPr>
      <w:r>
        <w:rPr>
          <w:spacing w:val="0"/>
        </w:rPr>
        <w:t xml:space="preserve">Критерии дифференциации иерсиний от таксономически близких и </w:t>
      </w:r>
      <w:r>
        <w:rPr>
          <w:noProof w:val="0"/>
          <w:spacing w:val="0"/>
        </w:rPr>
        <w:br/>
      </w:r>
      <w:r>
        <w:rPr>
          <w:spacing w:val="0"/>
        </w:rPr>
        <w:t>сходных видов бактерий</w:t>
      </w:r>
    </w:p>
    <w:p w:rsidR="00F4654E" w:rsidRDefault="00F4654E" w:rsidP="00562255">
      <w:pPr>
        <w:pStyle w:val="20"/>
      </w:pPr>
      <w:r>
        <w:t>Довбыш В.С.</w:t>
      </w:r>
      <w:r>
        <w:tab/>
      </w:r>
      <w:r>
        <w:fldChar w:fldCharType="begin"/>
      </w:r>
      <w:r>
        <w:instrText xml:space="preserve"> PAGEREF _Toc11937501 \h </w:instrText>
      </w:r>
      <w:r>
        <w:fldChar w:fldCharType="separate"/>
      </w:r>
      <w:r w:rsidR="00562255">
        <w:t>240</w:t>
      </w:r>
      <w:r>
        <w:fldChar w:fldCharType="end"/>
      </w:r>
    </w:p>
    <w:p w:rsidR="00F4654E" w:rsidRDefault="00F4654E">
      <w:pPr>
        <w:pStyle w:val="10"/>
        <w:rPr>
          <w:spacing w:val="0"/>
        </w:rPr>
      </w:pPr>
      <w:r>
        <w:rPr>
          <w:spacing w:val="0"/>
        </w:rPr>
        <w:t>Влияние фосгумина на углеводно-фосфорный обмен поросят</w:t>
      </w:r>
    </w:p>
    <w:p w:rsidR="00F4654E" w:rsidRDefault="00F4654E" w:rsidP="00562255">
      <w:pPr>
        <w:pStyle w:val="20"/>
      </w:pPr>
      <w:r>
        <w:t>Долгополов В.Н.</w:t>
      </w:r>
      <w:r>
        <w:tab/>
      </w:r>
      <w:r>
        <w:fldChar w:fldCharType="begin"/>
      </w:r>
      <w:r>
        <w:instrText xml:space="preserve"> PAGEREF _Toc11937503 \h </w:instrText>
      </w:r>
      <w:r>
        <w:fldChar w:fldCharType="separate"/>
      </w:r>
      <w:r w:rsidR="00562255">
        <w:t>242</w:t>
      </w:r>
      <w:r>
        <w:fldChar w:fldCharType="end"/>
      </w:r>
    </w:p>
    <w:p w:rsidR="00F4654E" w:rsidRDefault="00F4654E">
      <w:pPr>
        <w:pStyle w:val="10"/>
        <w:rPr>
          <w:spacing w:val="0"/>
        </w:rPr>
      </w:pPr>
      <w:r>
        <w:rPr>
          <w:spacing w:val="0"/>
        </w:rPr>
        <w:t xml:space="preserve">МОРФОЛОГИЧЕСКИЕ ИЗМЕНЕНИЯ В ОРГАНАХ КОРОВ  В СИСТЕМЕ «МАТЬ-ПЛОД» </w:t>
      </w:r>
      <w:r>
        <w:rPr>
          <w:noProof w:val="0"/>
          <w:spacing w:val="0"/>
        </w:rPr>
        <w:br/>
      </w:r>
      <w:r>
        <w:rPr>
          <w:spacing w:val="0"/>
        </w:rPr>
        <w:t>НА ТЕРРИТОРИИ ТЕХНОГЕННОГО ЗАГРЯЗНЕНИЯ</w:t>
      </w:r>
    </w:p>
    <w:p w:rsidR="00F4654E" w:rsidRDefault="00F4654E" w:rsidP="00562255">
      <w:pPr>
        <w:pStyle w:val="20"/>
      </w:pPr>
      <w:r>
        <w:t>Дроздова Л.И., Виноградова О.В., Малыгина А.А.</w:t>
      </w:r>
      <w:r>
        <w:tab/>
      </w:r>
      <w:r>
        <w:fldChar w:fldCharType="begin"/>
      </w:r>
      <w:r>
        <w:instrText xml:space="preserve"> PAGEREF _Toc11937505 \h </w:instrText>
      </w:r>
      <w:r>
        <w:fldChar w:fldCharType="separate"/>
      </w:r>
      <w:r w:rsidR="00562255">
        <w:t>244</w:t>
      </w:r>
      <w:r>
        <w:fldChar w:fldCharType="end"/>
      </w:r>
    </w:p>
    <w:p w:rsidR="00F4654E" w:rsidRDefault="00F4654E">
      <w:pPr>
        <w:pStyle w:val="10"/>
        <w:rPr>
          <w:spacing w:val="0"/>
        </w:rPr>
      </w:pPr>
      <w:r>
        <w:rPr>
          <w:spacing w:val="0"/>
        </w:rPr>
        <w:t>СТАНОВЛЕНИЕ ГЕНЕРАТИВНОЙ И ГОРМОНАЛЬНОЙ ФУНКЦИИ ГОНАД У ТЕЛОК</w:t>
      </w:r>
    </w:p>
    <w:p w:rsidR="00F4654E" w:rsidRDefault="00F4654E" w:rsidP="00562255">
      <w:pPr>
        <w:pStyle w:val="20"/>
      </w:pPr>
      <w:r>
        <w:t>Еремин С.П.</w:t>
      </w:r>
      <w:r>
        <w:tab/>
      </w:r>
      <w:r>
        <w:fldChar w:fldCharType="begin"/>
      </w:r>
      <w:r>
        <w:instrText xml:space="preserve"> PAGEREF _Toc11937507 \h </w:instrText>
      </w:r>
      <w:r>
        <w:fldChar w:fldCharType="separate"/>
      </w:r>
      <w:r w:rsidR="00562255">
        <w:t>246</w:t>
      </w:r>
      <w:r>
        <w:fldChar w:fldCharType="end"/>
      </w:r>
    </w:p>
    <w:p w:rsidR="00F4654E" w:rsidRDefault="00F4654E">
      <w:pPr>
        <w:pStyle w:val="10"/>
        <w:rPr>
          <w:spacing w:val="0"/>
        </w:rPr>
      </w:pPr>
      <w:r>
        <w:rPr>
          <w:spacing w:val="0"/>
        </w:rPr>
        <w:t>ПОСТНАТАЛЬНОЕ РАЗВИТИЕ СТРУКТУРНОЙ ОРГАНИЗАЦИИ ЯИЧНИКОВ У ТЕЛОК</w:t>
      </w:r>
    </w:p>
    <w:p w:rsidR="00F4654E" w:rsidRDefault="00F4654E" w:rsidP="00562255">
      <w:pPr>
        <w:pStyle w:val="20"/>
      </w:pPr>
      <w:r>
        <w:t>Еремин С.П.</w:t>
      </w:r>
      <w:r>
        <w:tab/>
      </w:r>
      <w:r>
        <w:fldChar w:fldCharType="begin"/>
      </w:r>
      <w:r>
        <w:instrText xml:space="preserve"> PAGEREF _Toc11937509 \h </w:instrText>
      </w:r>
      <w:r>
        <w:fldChar w:fldCharType="separate"/>
      </w:r>
      <w:r w:rsidR="00562255">
        <w:t>247</w:t>
      </w:r>
      <w:r>
        <w:fldChar w:fldCharType="end"/>
      </w:r>
    </w:p>
    <w:p w:rsidR="00F4654E" w:rsidRDefault="00F4654E">
      <w:pPr>
        <w:pStyle w:val="10"/>
        <w:rPr>
          <w:spacing w:val="0"/>
        </w:rPr>
      </w:pPr>
      <w:r>
        <w:rPr>
          <w:spacing w:val="0"/>
        </w:rPr>
        <w:t>ФОРМИРОВАНИЕ СТРУКТУРНОЙ ОРГАНИЗАЦИИ ЯИЧНИКОВ У ПЛОДОВ</w:t>
      </w:r>
      <w:r>
        <w:rPr>
          <w:spacing w:val="0"/>
        </w:rPr>
        <w:br/>
        <w:t>КРУПНОГО РОГАТОГО СКОТА</w:t>
      </w:r>
    </w:p>
    <w:p w:rsidR="00F4654E" w:rsidRDefault="00F4654E" w:rsidP="00562255">
      <w:pPr>
        <w:pStyle w:val="20"/>
      </w:pPr>
      <w:r>
        <w:t>Еремин С.П.</w:t>
      </w:r>
      <w:r>
        <w:tab/>
      </w:r>
      <w:r>
        <w:fldChar w:fldCharType="begin"/>
      </w:r>
      <w:r>
        <w:instrText xml:space="preserve"> PAGEREF _Toc11937511 \h </w:instrText>
      </w:r>
      <w:r>
        <w:fldChar w:fldCharType="separate"/>
      </w:r>
      <w:r w:rsidR="00562255">
        <w:t>249</w:t>
      </w:r>
      <w:r>
        <w:fldChar w:fldCharType="end"/>
      </w:r>
    </w:p>
    <w:p w:rsidR="00F4654E" w:rsidRDefault="00F4654E">
      <w:pPr>
        <w:pStyle w:val="10"/>
        <w:rPr>
          <w:spacing w:val="0"/>
        </w:rPr>
      </w:pPr>
      <w:r>
        <w:rPr>
          <w:spacing w:val="0"/>
        </w:rPr>
        <w:t xml:space="preserve">Определение гемагглютинирующей активности парвовирусного </w:t>
      </w:r>
      <w:r>
        <w:rPr>
          <w:noProof w:val="0"/>
          <w:spacing w:val="0"/>
        </w:rPr>
        <w:br/>
      </w:r>
      <w:r>
        <w:rPr>
          <w:spacing w:val="0"/>
        </w:rPr>
        <w:t>антигена в эмульсионной вакцине</w:t>
      </w:r>
    </w:p>
    <w:p w:rsidR="00F4654E" w:rsidRDefault="00F4654E" w:rsidP="00562255">
      <w:pPr>
        <w:pStyle w:val="20"/>
      </w:pPr>
      <w:r>
        <w:t>Ерофеев С. Г., Байбиков Т. З., Долганова Е. К.</w:t>
      </w:r>
      <w:r>
        <w:tab/>
      </w:r>
      <w:r>
        <w:fldChar w:fldCharType="begin"/>
      </w:r>
      <w:r>
        <w:instrText xml:space="preserve"> PAGEREF _Toc11937513 \h </w:instrText>
      </w:r>
      <w:r>
        <w:fldChar w:fldCharType="separate"/>
      </w:r>
      <w:r w:rsidR="00562255">
        <w:t>251</w:t>
      </w:r>
      <w:r>
        <w:fldChar w:fldCharType="end"/>
      </w:r>
    </w:p>
    <w:p w:rsidR="00F4654E" w:rsidRDefault="00F4654E">
      <w:pPr>
        <w:pStyle w:val="10"/>
        <w:rPr>
          <w:spacing w:val="0"/>
        </w:rPr>
      </w:pPr>
      <w:r>
        <w:rPr>
          <w:spacing w:val="0"/>
        </w:rPr>
        <w:lastRenderedPageBreak/>
        <w:t xml:space="preserve">ИММУНОЛОГИЧЕСКАЯ РЕАКТИВНОСТЬ ОРГАНИЗМА СЕРЕБРИСТО-ЧЕРНЫХ ЛИСИЦ </w:t>
      </w:r>
      <w:r>
        <w:rPr>
          <w:noProof w:val="0"/>
          <w:spacing w:val="0"/>
        </w:rPr>
        <w:br/>
      </w:r>
      <w:r>
        <w:rPr>
          <w:spacing w:val="0"/>
        </w:rPr>
        <w:t>ОАО «СОМОВСКОЕ» ПРИ ИНФИЛЬТРАТИВНОМ ОЖИРЕНИИ ПЕЧЕНИ</w:t>
      </w:r>
    </w:p>
    <w:p w:rsidR="00F4654E" w:rsidRDefault="00F4654E" w:rsidP="00562255">
      <w:pPr>
        <w:pStyle w:val="20"/>
      </w:pPr>
      <w:r>
        <w:t>Ефанова Л.И., Зернов К.О.</w:t>
      </w:r>
      <w:r>
        <w:tab/>
      </w:r>
      <w:r>
        <w:fldChar w:fldCharType="begin"/>
      </w:r>
      <w:r>
        <w:instrText xml:space="preserve"> PAGEREF _Toc11937515 \h </w:instrText>
      </w:r>
      <w:r>
        <w:fldChar w:fldCharType="separate"/>
      </w:r>
      <w:r w:rsidR="00562255">
        <w:t>252</w:t>
      </w:r>
      <w:r>
        <w:fldChar w:fldCharType="end"/>
      </w:r>
    </w:p>
    <w:p w:rsidR="00F4654E" w:rsidRDefault="00F4654E">
      <w:pPr>
        <w:pStyle w:val="10"/>
        <w:rPr>
          <w:spacing w:val="0"/>
        </w:rPr>
      </w:pPr>
      <w:r>
        <w:rPr>
          <w:spacing w:val="0"/>
        </w:rPr>
        <w:t xml:space="preserve">Получение и оценка специфической активности антигенов </w:t>
      </w:r>
      <w:r>
        <w:rPr>
          <w:noProof w:val="0"/>
          <w:spacing w:val="0"/>
        </w:rPr>
        <w:br/>
      </w:r>
      <w:r>
        <w:rPr>
          <w:spacing w:val="0"/>
        </w:rPr>
        <w:t>гемофилеза для ИФА</w:t>
      </w:r>
    </w:p>
    <w:p w:rsidR="00F4654E" w:rsidRDefault="00F4654E" w:rsidP="00562255">
      <w:pPr>
        <w:pStyle w:val="20"/>
      </w:pPr>
      <w:r>
        <w:t>Ефимова М.А.,Спиридонов Г.Н.,Гаффаров Х.З.,Фокин А.А.,Сидорова Н.В.</w:t>
      </w:r>
      <w:r>
        <w:tab/>
      </w:r>
      <w:r>
        <w:fldChar w:fldCharType="begin"/>
      </w:r>
      <w:r>
        <w:instrText xml:space="preserve"> PAGEREF _Toc11937517 \h </w:instrText>
      </w:r>
      <w:r>
        <w:fldChar w:fldCharType="separate"/>
      </w:r>
      <w:r w:rsidR="00562255">
        <w:t>254</w:t>
      </w:r>
      <w:r>
        <w:fldChar w:fldCharType="end"/>
      </w:r>
    </w:p>
    <w:p w:rsidR="00F4654E" w:rsidRDefault="00F4654E">
      <w:pPr>
        <w:pStyle w:val="10"/>
        <w:rPr>
          <w:spacing w:val="0"/>
        </w:rPr>
      </w:pPr>
      <w:r>
        <w:rPr>
          <w:spacing w:val="0"/>
        </w:rPr>
        <w:t xml:space="preserve">ПОКАЗАТЕЛИ НЕСПЕЦИФИЧЕСКОГО ИММУНИТЕТА У СВИНЕЙ, ВАКЦИНИРОВАННЫХ </w:t>
      </w:r>
      <w:r>
        <w:rPr>
          <w:spacing w:val="0"/>
        </w:rPr>
        <w:br/>
        <w:t>ПРОТИВ КЛАССИЧЕСКОЙ ЧУМЫ В УСЛОВИЯХ ПРИМЕНЕНИЯ ИММУНОСТИМУЛЯТОРА</w:t>
      </w:r>
    </w:p>
    <w:p w:rsidR="00F4654E" w:rsidRDefault="00F4654E" w:rsidP="00562255">
      <w:pPr>
        <w:pStyle w:val="20"/>
      </w:pPr>
      <w:r>
        <w:t>Жалдыбин В.В., Прудников В.С.</w:t>
      </w:r>
      <w:r>
        <w:tab/>
      </w:r>
      <w:r>
        <w:fldChar w:fldCharType="begin"/>
      </w:r>
      <w:r>
        <w:instrText xml:space="preserve"> PAGEREF _Toc11937519 \h </w:instrText>
      </w:r>
      <w:r>
        <w:fldChar w:fldCharType="separate"/>
      </w:r>
      <w:r w:rsidR="00562255">
        <w:t>255</w:t>
      </w:r>
      <w:r>
        <w:fldChar w:fldCharType="end"/>
      </w:r>
    </w:p>
    <w:p w:rsidR="00F4654E" w:rsidRDefault="00F4654E">
      <w:pPr>
        <w:pStyle w:val="10"/>
        <w:rPr>
          <w:spacing w:val="0"/>
        </w:rPr>
      </w:pPr>
      <w:r>
        <w:rPr>
          <w:spacing w:val="0"/>
        </w:rPr>
        <w:t>РОЛЬ БИОСТИМУЛЯТОРА ПРИ ФОРМИРОВАНИИ ИММУНИТЕТА У ПОРОСЯТ, ВАКЦИНИРОВАННЫХ ПРОТИВ ИНФЕКЦИОННОЙ ЭНТЕРОТОКСЕМИИ</w:t>
      </w:r>
    </w:p>
    <w:p w:rsidR="00F4654E" w:rsidRDefault="00F4654E" w:rsidP="00562255">
      <w:pPr>
        <w:pStyle w:val="20"/>
      </w:pPr>
      <w:r>
        <w:t>Жвания М.Ш.</w:t>
      </w:r>
      <w:r>
        <w:tab/>
      </w:r>
      <w:r>
        <w:fldChar w:fldCharType="begin"/>
      </w:r>
      <w:r>
        <w:instrText xml:space="preserve"> PAGEREF _Toc11937521 \h </w:instrText>
      </w:r>
      <w:r>
        <w:fldChar w:fldCharType="separate"/>
      </w:r>
      <w:r w:rsidR="00562255">
        <w:t>257</w:t>
      </w:r>
      <w:r>
        <w:fldChar w:fldCharType="end"/>
      </w:r>
    </w:p>
    <w:p w:rsidR="00F4654E" w:rsidRDefault="00F4654E">
      <w:pPr>
        <w:pStyle w:val="10"/>
        <w:rPr>
          <w:spacing w:val="0"/>
        </w:rPr>
      </w:pPr>
      <w:r>
        <w:rPr>
          <w:spacing w:val="0"/>
        </w:rPr>
        <w:t>Синтез и биологическая активность производных гуминовых кислот</w:t>
      </w:r>
    </w:p>
    <w:p w:rsidR="00F4654E" w:rsidRDefault="00F4654E" w:rsidP="00562255">
      <w:pPr>
        <w:pStyle w:val="20"/>
      </w:pPr>
      <w:r>
        <w:t xml:space="preserve">Жоробекова Ш.Ж., Королева Р.П., Алыбакова Н.К.,  </w:t>
      </w:r>
      <w:r>
        <w:rPr>
          <w:noProof w:val="0"/>
        </w:rPr>
        <w:br/>
      </w:r>
      <w:r>
        <w:t>Арзыбаев М.А., Салбаева А.Б.</w:t>
      </w:r>
      <w:r>
        <w:tab/>
      </w:r>
      <w:r>
        <w:fldChar w:fldCharType="begin"/>
      </w:r>
      <w:r>
        <w:instrText xml:space="preserve"> PAGEREF _Toc11937523 \h </w:instrText>
      </w:r>
      <w:r>
        <w:fldChar w:fldCharType="separate"/>
      </w:r>
      <w:r w:rsidR="00562255">
        <w:t>259</w:t>
      </w:r>
      <w:r>
        <w:fldChar w:fldCharType="end"/>
      </w:r>
    </w:p>
    <w:p w:rsidR="00F4654E" w:rsidRDefault="00F4654E">
      <w:pPr>
        <w:pStyle w:val="10"/>
        <w:rPr>
          <w:spacing w:val="0"/>
        </w:rPr>
      </w:pPr>
      <w:r>
        <w:rPr>
          <w:spacing w:val="0"/>
        </w:rPr>
        <w:t>Пенообразующее дезинфицирующее средство для птицеводства</w:t>
      </w:r>
    </w:p>
    <w:p w:rsidR="00F4654E" w:rsidRDefault="00F4654E" w:rsidP="00562255">
      <w:pPr>
        <w:pStyle w:val="20"/>
      </w:pPr>
      <w:r>
        <w:t>Зарипов  М.Р.</w:t>
      </w:r>
      <w:r>
        <w:tab/>
      </w:r>
      <w:r>
        <w:fldChar w:fldCharType="begin"/>
      </w:r>
      <w:r>
        <w:instrText xml:space="preserve"> PAGEREF _Toc11937525 \h </w:instrText>
      </w:r>
      <w:r>
        <w:fldChar w:fldCharType="separate"/>
      </w:r>
      <w:r w:rsidR="00562255">
        <w:t>261</w:t>
      </w:r>
      <w:r>
        <w:fldChar w:fldCharType="end"/>
      </w:r>
    </w:p>
    <w:p w:rsidR="00F4654E" w:rsidRDefault="00F4654E">
      <w:pPr>
        <w:pStyle w:val="10"/>
        <w:rPr>
          <w:spacing w:val="0"/>
        </w:rPr>
      </w:pPr>
      <w:r>
        <w:rPr>
          <w:spacing w:val="0"/>
        </w:rPr>
        <w:t>ВСПЫШКА САЛЬМОНЕЛЛЕЗА СРЕДИ ЩЕНКОВ СЕРЕБРИСТО-ЧЕРНЫХ ЛИСИЦ</w:t>
      </w:r>
    </w:p>
    <w:p w:rsidR="00F4654E" w:rsidRDefault="00F4654E" w:rsidP="00562255">
      <w:pPr>
        <w:pStyle w:val="20"/>
      </w:pPr>
      <w:r>
        <w:t>Зернов К.О.</w:t>
      </w:r>
      <w:r>
        <w:tab/>
      </w:r>
      <w:r>
        <w:fldChar w:fldCharType="begin"/>
      </w:r>
      <w:r>
        <w:instrText xml:space="preserve"> PAGEREF _Toc11937527 \h </w:instrText>
      </w:r>
      <w:r>
        <w:fldChar w:fldCharType="separate"/>
      </w:r>
      <w:r w:rsidR="00562255">
        <w:t>263</w:t>
      </w:r>
      <w:r>
        <w:fldChar w:fldCharType="end"/>
      </w:r>
    </w:p>
    <w:p w:rsidR="00F4654E" w:rsidRDefault="00F4654E">
      <w:pPr>
        <w:pStyle w:val="10"/>
        <w:rPr>
          <w:spacing w:val="0"/>
        </w:rPr>
      </w:pPr>
      <w:r>
        <w:rPr>
          <w:spacing w:val="0"/>
        </w:rPr>
        <w:t xml:space="preserve">ВЛИЯНИЕ ВАКЦИНАЦИИ, ИММУНОМОДУЛЯТОРА ТИМОГЕН И ГЕПАТОТРОПНЫХ </w:t>
      </w:r>
      <w:r>
        <w:rPr>
          <w:spacing w:val="0"/>
        </w:rPr>
        <w:br/>
        <w:t>ПРЕПАРАТОВ (ЭНДОВИТА И ЛИПАМИДА) НА СЕРЕБРИСТО-ЧЕРНЫХ ЛИСИЦ</w:t>
      </w:r>
    </w:p>
    <w:p w:rsidR="00F4654E" w:rsidRDefault="00F4654E" w:rsidP="00562255">
      <w:pPr>
        <w:pStyle w:val="20"/>
      </w:pPr>
      <w:r>
        <w:t>Зернов К.О., Ефанова Л.И.</w:t>
      </w:r>
      <w:r>
        <w:tab/>
      </w:r>
      <w:r>
        <w:fldChar w:fldCharType="begin"/>
      </w:r>
      <w:r>
        <w:instrText xml:space="preserve"> PAGEREF _Toc11937529 \h </w:instrText>
      </w:r>
      <w:r>
        <w:fldChar w:fldCharType="separate"/>
      </w:r>
      <w:r w:rsidR="00562255">
        <w:t>264</w:t>
      </w:r>
      <w:r>
        <w:fldChar w:fldCharType="end"/>
      </w:r>
    </w:p>
    <w:p w:rsidR="00F4654E" w:rsidRDefault="00F4654E">
      <w:pPr>
        <w:pStyle w:val="10"/>
        <w:rPr>
          <w:spacing w:val="0"/>
        </w:rPr>
      </w:pPr>
      <w:r>
        <w:rPr>
          <w:spacing w:val="0"/>
        </w:rPr>
        <w:t>ВЛИЯНИЕ ДИПРОМОНИЯ И ДИПРОАНЕМИНА НА СОХРАННОСТЬ И РАЗВИТИЕ НОВОРОЖДЁННЫХ ЩЕНКОВ НОРОК</w:t>
      </w:r>
    </w:p>
    <w:p w:rsidR="00F4654E" w:rsidRDefault="00F4654E" w:rsidP="00562255">
      <w:pPr>
        <w:pStyle w:val="20"/>
      </w:pPr>
      <w:r>
        <w:t>Зибров М.А., Дашукаева К.Г.</w:t>
      </w:r>
      <w:r>
        <w:tab/>
      </w:r>
      <w:r>
        <w:fldChar w:fldCharType="begin"/>
      </w:r>
      <w:r>
        <w:instrText xml:space="preserve"> PAGEREF _Toc11937531 \h </w:instrText>
      </w:r>
      <w:r>
        <w:fldChar w:fldCharType="separate"/>
      </w:r>
      <w:r w:rsidR="00562255">
        <w:t>267</w:t>
      </w:r>
      <w:r>
        <w:fldChar w:fldCharType="end"/>
      </w:r>
    </w:p>
    <w:p w:rsidR="00F4654E" w:rsidRDefault="00F4654E">
      <w:pPr>
        <w:pStyle w:val="10"/>
        <w:rPr>
          <w:spacing w:val="0"/>
        </w:rPr>
      </w:pPr>
      <w:r>
        <w:rPr>
          <w:spacing w:val="0"/>
        </w:rPr>
        <w:t>КИСЛОТНО – ОСНОВНОЕ СОСТОЯНИЕ КРОВИ У ТЕЛЯТ ПРИ КОЛИБАКТЕРИОЗЕ</w:t>
      </w:r>
    </w:p>
    <w:p w:rsidR="00F4654E" w:rsidRDefault="00F4654E" w:rsidP="00562255">
      <w:pPr>
        <w:pStyle w:val="20"/>
      </w:pPr>
      <w:r>
        <w:t>Золотарев А.И.</w:t>
      </w:r>
      <w:r>
        <w:tab/>
      </w:r>
      <w:r>
        <w:fldChar w:fldCharType="begin"/>
      </w:r>
      <w:r>
        <w:instrText xml:space="preserve"> PAGEREF _Toc11937533 \h </w:instrText>
      </w:r>
      <w:r>
        <w:fldChar w:fldCharType="separate"/>
      </w:r>
      <w:r w:rsidR="00562255">
        <w:t>268</w:t>
      </w:r>
      <w:r>
        <w:fldChar w:fldCharType="end"/>
      </w:r>
    </w:p>
    <w:p w:rsidR="00F4654E" w:rsidRDefault="00F4654E">
      <w:pPr>
        <w:pStyle w:val="10"/>
        <w:rPr>
          <w:spacing w:val="0"/>
        </w:rPr>
      </w:pPr>
      <w:r>
        <w:rPr>
          <w:spacing w:val="0"/>
        </w:rPr>
        <w:t>КЛИНИКО-АНАТОМИЧЕСКАЯ ХАРАКТЕРИСТИКА ОМФАЛИТА У ТЕЛЯТ</w:t>
      </w:r>
    </w:p>
    <w:p w:rsidR="00F4654E" w:rsidRDefault="00F4654E" w:rsidP="00562255">
      <w:pPr>
        <w:pStyle w:val="20"/>
      </w:pPr>
      <w:r>
        <w:t>Золотарев А.И., Дегтярев Д.В.</w:t>
      </w:r>
      <w:r>
        <w:tab/>
      </w:r>
      <w:r>
        <w:fldChar w:fldCharType="begin"/>
      </w:r>
      <w:r>
        <w:instrText xml:space="preserve"> PAGEREF _Toc11937535 \h </w:instrText>
      </w:r>
      <w:r>
        <w:fldChar w:fldCharType="separate"/>
      </w:r>
      <w:r w:rsidR="00562255">
        <w:t>270</w:t>
      </w:r>
      <w:r>
        <w:fldChar w:fldCharType="end"/>
      </w:r>
    </w:p>
    <w:p w:rsidR="00F4654E" w:rsidRDefault="00F4654E">
      <w:pPr>
        <w:pStyle w:val="10"/>
        <w:rPr>
          <w:spacing w:val="0"/>
        </w:rPr>
      </w:pPr>
      <w:r>
        <w:rPr>
          <w:spacing w:val="0"/>
        </w:rPr>
        <w:t>ИММУНОДЕФИЦИТЫ, ПРОФИЛАКТИКА И БОРЬБА С НИМИ</w:t>
      </w:r>
    </w:p>
    <w:p w:rsidR="00F4654E" w:rsidRDefault="00F4654E" w:rsidP="00562255">
      <w:pPr>
        <w:pStyle w:val="20"/>
      </w:pPr>
      <w:r>
        <w:t>Золотарева Н.А.</w:t>
      </w:r>
      <w:r>
        <w:tab/>
      </w:r>
      <w:r>
        <w:fldChar w:fldCharType="begin"/>
      </w:r>
      <w:r>
        <w:instrText xml:space="preserve"> PAGEREF _Toc11937537 \h </w:instrText>
      </w:r>
      <w:r>
        <w:fldChar w:fldCharType="separate"/>
      </w:r>
      <w:r w:rsidR="00562255">
        <w:t>271</w:t>
      </w:r>
      <w:r>
        <w:fldChar w:fldCharType="end"/>
      </w:r>
    </w:p>
    <w:p w:rsidR="00F4654E" w:rsidRDefault="00F4654E">
      <w:pPr>
        <w:pStyle w:val="10"/>
        <w:rPr>
          <w:spacing w:val="0"/>
        </w:rPr>
      </w:pPr>
      <w:r>
        <w:rPr>
          <w:spacing w:val="0"/>
        </w:rPr>
        <w:t>ЭЛЕКТРОННО-МИКРОСКОПИЧЕСКОЕ ИССЛЕДОВАНИЕ ВЗАИМОДЕЙСТВИЯ МИКРОВОДОРОСЛЕЙ С САЛЬМОНЕЛЛАМИ</w:t>
      </w:r>
    </w:p>
    <w:p w:rsidR="00F4654E" w:rsidRDefault="00F4654E" w:rsidP="00562255">
      <w:pPr>
        <w:pStyle w:val="20"/>
      </w:pPr>
      <w:r>
        <w:t>Зуев В.С.</w:t>
      </w:r>
      <w:r>
        <w:tab/>
      </w:r>
      <w:r>
        <w:fldChar w:fldCharType="begin"/>
      </w:r>
      <w:r>
        <w:instrText xml:space="preserve"> PAGEREF _Toc11937539 \h </w:instrText>
      </w:r>
      <w:r>
        <w:fldChar w:fldCharType="separate"/>
      </w:r>
      <w:r w:rsidR="00562255">
        <w:t>274</w:t>
      </w:r>
      <w:r>
        <w:fldChar w:fldCharType="end"/>
      </w:r>
    </w:p>
    <w:p w:rsidR="00F4654E" w:rsidRDefault="00F4654E">
      <w:pPr>
        <w:pStyle w:val="10"/>
        <w:rPr>
          <w:spacing w:val="0"/>
        </w:rPr>
      </w:pPr>
      <w:r>
        <w:rPr>
          <w:spacing w:val="0"/>
        </w:rPr>
        <w:t>Чувствительность к антибиотикам патогенных и непатогенных штаммов эшерихий, выделенных из объектов внешней среды и патологического материала при желудочно-кишечных заболеваниях молодняка животных</w:t>
      </w:r>
    </w:p>
    <w:p w:rsidR="00F4654E" w:rsidRDefault="00F4654E" w:rsidP="00562255">
      <w:pPr>
        <w:pStyle w:val="20"/>
      </w:pPr>
      <w:r>
        <w:t>Золотухин С.Н., Молофеева Н.И., Бульканова  Е.А., Васильев Д.А.</w:t>
      </w:r>
      <w:r>
        <w:tab/>
      </w:r>
      <w:r>
        <w:fldChar w:fldCharType="begin"/>
      </w:r>
      <w:r>
        <w:instrText xml:space="preserve"> PAGEREF _Toc11937541 \h </w:instrText>
      </w:r>
      <w:r>
        <w:fldChar w:fldCharType="separate"/>
      </w:r>
      <w:r w:rsidR="00562255">
        <w:t>276</w:t>
      </w:r>
      <w:r>
        <w:fldChar w:fldCharType="end"/>
      </w:r>
    </w:p>
    <w:p w:rsidR="00F4654E" w:rsidRDefault="00F4654E">
      <w:pPr>
        <w:pStyle w:val="10"/>
        <w:rPr>
          <w:spacing w:val="0"/>
        </w:rPr>
      </w:pPr>
      <w:r>
        <w:rPr>
          <w:spacing w:val="0"/>
        </w:rPr>
        <w:t>ИЗУЧЕНИЕ ТЕРАПЕВТИЧЕСКОЙ ЭФФЕКТИВНОСТИ РАЗЛИЧНЫХ ФОРМ МЕТРОНИДАЗОЛА</w:t>
      </w:r>
    </w:p>
    <w:p w:rsidR="00F4654E" w:rsidRDefault="00F4654E" w:rsidP="00562255">
      <w:pPr>
        <w:pStyle w:val="20"/>
      </w:pPr>
      <w:r>
        <w:t>Иванов А. И., Конопаткин А.А., Иштакбаев В.Ю.</w:t>
      </w:r>
      <w:r>
        <w:tab/>
      </w:r>
      <w:r>
        <w:fldChar w:fldCharType="begin"/>
      </w:r>
      <w:r>
        <w:instrText xml:space="preserve"> PAGEREF _Toc11937543 \h </w:instrText>
      </w:r>
      <w:r>
        <w:fldChar w:fldCharType="separate"/>
      </w:r>
      <w:r w:rsidR="00562255">
        <w:t>277</w:t>
      </w:r>
      <w:r>
        <w:fldChar w:fldCharType="end"/>
      </w:r>
    </w:p>
    <w:p w:rsidR="00F4654E" w:rsidRDefault="00F4654E">
      <w:pPr>
        <w:pStyle w:val="10"/>
        <w:rPr>
          <w:spacing w:val="0"/>
        </w:rPr>
      </w:pPr>
      <w:r>
        <w:rPr>
          <w:spacing w:val="0"/>
        </w:rPr>
        <w:t>ТЕРАПИЯ СВИНЕЙ ПРИ ДИЗЕНТЕРИИ</w:t>
      </w:r>
    </w:p>
    <w:p w:rsidR="00F4654E" w:rsidRDefault="00F4654E" w:rsidP="00562255">
      <w:pPr>
        <w:pStyle w:val="20"/>
      </w:pPr>
      <w:r>
        <w:t xml:space="preserve">Иванов А.И., Конопаткин А.А., Кузнецов А.Г., Филиппова Л.Р. </w:t>
      </w:r>
      <w:r>
        <w:tab/>
      </w:r>
      <w:r>
        <w:fldChar w:fldCharType="begin"/>
      </w:r>
      <w:r>
        <w:instrText xml:space="preserve"> PAGEREF _Toc11937545 \h </w:instrText>
      </w:r>
      <w:r>
        <w:fldChar w:fldCharType="separate"/>
      </w:r>
      <w:r w:rsidR="00562255">
        <w:t>279</w:t>
      </w:r>
      <w:r>
        <w:fldChar w:fldCharType="end"/>
      </w:r>
    </w:p>
    <w:p w:rsidR="00F4654E" w:rsidRDefault="00F4654E">
      <w:pPr>
        <w:pStyle w:val="10"/>
        <w:rPr>
          <w:spacing w:val="0"/>
        </w:rPr>
      </w:pPr>
      <w:r>
        <w:rPr>
          <w:spacing w:val="0"/>
        </w:rPr>
        <w:t xml:space="preserve">Радиозащитное действие препаратов МК-1, Иммуно-С и Иммуно-Н </w:t>
      </w:r>
      <w:r>
        <w:rPr>
          <w:noProof w:val="0"/>
          <w:spacing w:val="0"/>
        </w:rPr>
        <w:br/>
      </w:r>
      <w:r>
        <w:rPr>
          <w:spacing w:val="0"/>
        </w:rPr>
        <w:t>при остром сублетальном облучении</w:t>
      </w:r>
    </w:p>
    <w:p w:rsidR="00F4654E" w:rsidRDefault="00F4654E" w:rsidP="00562255">
      <w:pPr>
        <w:pStyle w:val="20"/>
      </w:pPr>
      <w:r>
        <w:t>Иванов И.С., Низамов Р.Н., Конюхов Г.В., Трошин Е.И., Ишмухаметов К.Т.</w:t>
      </w:r>
      <w:r>
        <w:tab/>
      </w:r>
      <w:r>
        <w:fldChar w:fldCharType="begin"/>
      </w:r>
      <w:r>
        <w:instrText xml:space="preserve"> PAGEREF _Toc11937547 \h </w:instrText>
      </w:r>
      <w:r>
        <w:fldChar w:fldCharType="separate"/>
      </w:r>
      <w:r w:rsidR="00562255">
        <w:t>280</w:t>
      </w:r>
      <w:r>
        <w:fldChar w:fldCharType="end"/>
      </w:r>
    </w:p>
    <w:p w:rsidR="00F4654E" w:rsidRDefault="00F4654E">
      <w:pPr>
        <w:pStyle w:val="10"/>
        <w:rPr>
          <w:spacing w:val="0"/>
        </w:rPr>
      </w:pPr>
      <w:r>
        <w:rPr>
          <w:spacing w:val="0"/>
        </w:rPr>
        <w:t xml:space="preserve">ЛОКАЛИЗАЦИЯ ВИРУСА ТРАНСМИССИВНОГО ГАСТРОЭНТЕРИТА В </w:t>
      </w:r>
      <w:r>
        <w:rPr>
          <w:noProof w:val="0"/>
          <w:spacing w:val="0"/>
        </w:rPr>
        <w:br/>
      </w:r>
      <w:r>
        <w:rPr>
          <w:spacing w:val="0"/>
        </w:rPr>
        <w:t>ОРГАНАХ ПОРОСЯТ</w:t>
      </w:r>
    </w:p>
    <w:p w:rsidR="00F4654E" w:rsidRDefault="00F4654E" w:rsidP="00562255">
      <w:pPr>
        <w:pStyle w:val="20"/>
      </w:pPr>
      <w:r>
        <w:t>Ирская Г.Е.,  Сочинская О.Н.</w:t>
      </w:r>
      <w:r>
        <w:tab/>
      </w:r>
      <w:r>
        <w:fldChar w:fldCharType="begin"/>
      </w:r>
      <w:r>
        <w:instrText xml:space="preserve"> PAGEREF _Toc11937549 \h </w:instrText>
      </w:r>
      <w:r>
        <w:fldChar w:fldCharType="separate"/>
      </w:r>
      <w:r w:rsidR="00562255">
        <w:t>281</w:t>
      </w:r>
      <w:r>
        <w:fldChar w:fldCharType="end"/>
      </w:r>
    </w:p>
    <w:p w:rsidR="00F4654E" w:rsidRDefault="00F4654E">
      <w:pPr>
        <w:pStyle w:val="10"/>
        <w:rPr>
          <w:spacing w:val="0"/>
        </w:rPr>
      </w:pPr>
      <w:r>
        <w:rPr>
          <w:spacing w:val="0"/>
        </w:rPr>
        <w:t>Профилактика желудочно-кишечных болезней телят</w:t>
      </w:r>
    </w:p>
    <w:p w:rsidR="00F4654E" w:rsidRDefault="00F4654E" w:rsidP="00562255">
      <w:pPr>
        <w:pStyle w:val="20"/>
      </w:pPr>
      <w:r>
        <w:t>Исаев В.В., Коробова О.В., Хрисанфова Т.Д.</w:t>
      </w:r>
      <w:r>
        <w:tab/>
      </w:r>
      <w:r>
        <w:fldChar w:fldCharType="begin"/>
      </w:r>
      <w:r>
        <w:instrText xml:space="preserve"> PAGEREF _Toc11937551 \h </w:instrText>
      </w:r>
      <w:r>
        <w:fldChar w:fldCharType="separate"/>
      </w:r>
      <w:r w:rsidR="00562255">
        <w:t>283</w:t>
      </w:r>
      <w:r>
        <w:fldChar w:fldCharType="end"/>
      </w:r>
    </w:p>
    <w:p w:rsidR="00F4654E" w:rsidRDefault="00F4654E">
      <w:pPr>
        <w:pStyle w:val="10"/>
        <w:rPr>
          <w:spacing w:val="0"/>
        </w:rPr>
      </w:pPr>
      <w:r>
        <w:rPr>
          <w:spacing w:val="0"/>
        </w:rPr>
        <w:t>ИММУНОМОФОЛОГИЧЕСКИЕ ПОКАЗАТЕЛИ СВИНЕЙ РАЗНЫХ ВОЗРАСТНЫХ ГРУПП</w:t>
      </w:r>
    </w:p>
    <w:p w:rsidR="00F4654E" w:rsidRDefault="00F4654E" w:rsidP="00562255">
      <w:pPr>
        <w:pStyle w:val="20"/>
      </w:pPr>
      <w:r>
        <w:t>Исаева А.Г.</w:t>
      </w:r>
      <w:r>
        <w:tab/>
      </w:r>
      <w:r>
        <w:fldChar w:fldCharType="begin"/>
      </w:r>
      <w:r>
        <w:instrText xml:space="preserve"> PAGEREF _Toc11937553 \h </w:instrText>
      </w:r>
      <w:r>
        <w:fldChar w:fldCharType="separate"/>
      </w:r>
      <w:r w:rsidR="00562255">
        <w:t>284</w:t>
      </w:r>
      <w:r>
        <w:fldChar w:fldCharType="end"/>
      </w:r>
    </w:p>
    <w:p w:rsidR="00F4654E" w:rsidRDefault="00F4654E">
      <w:pPr>
        <w:pStyle w:val="10"/>
        <w:rPr>
          <w:spacing w:val="0"/>
        </w:rPr>
      </w:pPr>
      <w:r>
        <w:rPr>
          <w:spacing w:val="0"/>
        </w:rPr>
        <w:t>МЕТОД ОпределениЯ стабильности КОНЦЕНТРАЦИИ озона в изотоническом растворе хлорида натрия</w:t>
      </w:r>
    </w:p>
    <w:p w:rsidR="00F4654E" w:rsidRDefault="00F4654E" w:rsidP="00562255">
      <w:pPr>
        <w:pStyle w:val="20"/>
      </w:pPr>
      <w:r>
        <w:t>Искусных О.Ю., Рецкий М.И.</w:t>
      </w:r>
      <w:r>
        <w:tab/>
      </w:r>
      <w:r>
        <w:fldChar w:fldCharType="begin"/>
      </w:r>
      <w:r>
        <w:instrText xml:space="preserve"> PAGEREF _Toc11937555 \h </w:instrText>
      </w:r>
      <w:r>
        <w:fldChar w:fldCharType="separate"/>
      </w:r>
      <w:r w:rsidR="00562255">
        <w:t>285</w:t>
      </w:r>
      <w:r>
        <w:fldChar w:fldCharType="end"/>
      </w:r>
    </w:p>
    <w:p w:rsidR="00F4654E" w:rsidRDefault="00F4654E">
      <w:pPr>
        <w:pStyle w:val="10"/>
        <w:rPr>
          <w:spacing w:val="0"/>
        </w:rPr>
      </w:pPr>
      <w:r>
        <w:rPr>
          <w:spacing w:val="0"/>
        </w:rPr>
        <w:lastRenderedPageBreak/>
        <w:t xml:space="preserve">Разработка комплексного препарата левотил И ЕГО АНТИМИКРОБНАЯ </w:t>
      </w:r>
      <w:r>
        <w:rPr>
          <w:spacing w:val="0"/>
        </w:rPr>
        <w:br/>
        <w:t>АКТИВНОСТЬ</w:t>
      </w:r>
    </w:p>
    <w:p w:rsidR="00F4654E" w:rsidRDefault="00F4654E" w:rsidP="00562255">
      <w:pPr>
        <w:pStyle w:val="20"/>
      </w:pPr>
      <w:r>
        <w:t>Казаков В.И., Сашнина Л.Ю.</w:t>
      </w:r>
      <w:r>
        <w:tab/>
      </w:r>
      <w:r>
        <w:fldChar w:fldCharType="begin"/>
      </w:r>
      <w:r>
        <w:instrText xml:space="preserve"> PAGEREF _Toc11937557 \h </w:instrText>
      </w:r>
      <w:r>
        <w:fldChar w:fldCharType="separate"/>
      </w:r>
      <w:r w:rsidR="00562255">
        <w:t>287</w:t>
      </w:r>
      <w:r>
        <w:fldChar w:fldCharType="end"/>
      </w:r>
    </w:p>
    <w:p w:rsidR="00F4654E" w:rsidRDefault="00F4654E">
      <w:pPr>
        <w:pStyle w:val="10"/>
        <w:rPr>
          <w:spacing w:val="0"/>
        </w:rPr>
      </w:pPr>
      <w:r>
        <w:rPr>
          <w:spacing w:val="0"/>
        </w:rPr>
        <w:t>ЭФФЕКТИВНОСТЬ ЛЕВОТИЛА ПРИ КОЛИБАКТЕРИОЗЕ ПОРОСЯТ И ТЕЛЯТ</w:t>
      </w:r>
    </w:p>
    <w:p w:rsidR="00F4654E" w:rsidRDefault="00F4654E" w:rsidP="00562255">
      <w:pPr>
        <w:pStyle w:val="20"/>
      </w:pPr>
      <w:r>
        <w:t>Казаков В.И.</w:t>
      </w:r>
      <w:r>
        <w:tab/>
      </w:r>
      <w:r>
        <w:fldChar w:fldCharType="begin"/>
      </w:r>
      <w:r>
        <w:instrText xml:space="preserve"> PAGEREF _Toc11937559 \h </w:instrText>
      </w:r>
      <w:r>
        <w:fldChar w:fldCharType="separate"/>
      </w:r>
      <w:r w:rsidR="00562255">
        <w:t>288</w:t>
      </w:r>
      <w:r>
        <w:fldChar w:fldCharType="end"/>
      </w:r>
    </w:p>
    <w:p w:rsidR="00F4654E" w:rsidRDefault="00F4654E">
      <w:pPr>
        <w:pStyle w:val="10"/>
        <w:rPr>
          <w:spacing w:val="0"/>
        </w:rPr>
      </w:pPr>
      <w:r>
        <w:rPr>
          <w:spacing w:val="0"/>
        </w:rPr>
        <w:t>Фармакокинетика левотила</w:t>
      </w:r>
    </w:p>
    <w:p w:rsidR="00F4654E" w:rsidRDefault="00F4654E" w:rsidP="00562255">
      <w:pPr>
        <w:pStyle w:val="20"/>
      </w:pPr>
      <w:r>
        <w:t>Казаков</w:t>
      </w:r>
      <w:r>
        <w:rPr>
          <w:caps/>
        </w:rPr>
        <w:t xml:space="preserve"> В.И., </w:t>
      </w:r>
      <w:r>
        <w:t xml:space="preserve">Востроилова Г.А., Паршин П.А. </w:t>
      </w:r>
      <w:r>
        <w:tab/>
      </w:r>
      <w:r>
        <w:fldChar w:fldCharType="begin"/>
      </w:r>
      <w:r>
        <w:instrText xml:space="preserve"> PAGEREF _Toc11937561 \h </w:instrText>
      </w:r>
      <w:r>
        <w:fldChar w:fldCharType="separate"/>
      </w:r>
      <w:r w:rsidR="00562255">
        <w:t>290</w:t>
      </w:r>
      <w:r>
        <w:fldChar w:fldCharType="end"/>
      </w:r>
    </w:p>
    <w:p w:rsidR="00F4654E" w:rsidRDefault="00F4654E">
      <w:pPr>
        <w:pStyle w:val="10"/>
        <w:rPr>
          <w:spacing w:val="0"/>
        </w:rPr>
      </w:pPr>
      <w:r>
        <w:rPr>
          <w:spacing w:val="0"/>
        </w:rPr>
        <w:t>Токсикометрическая характеристика комплексного антимикробного препарата левотил</w:t>
      </w:r>
    </w:p>
    <w:p w:rsidR="00F4654E" w:rsidRDefault="00F4654E" w:rsidP="00562255">
      <w:pPr>
        <w:pStyle w:val="20"/>
      </w:pPr>
      <w:r>
        <w:t>Казаков В.И., Паршин П.А.</w:t>
      </w:r>
      <w:r>
        <w:rPr>
          <w:noProof w:val="0"/>
        </w:rPr>
        <w:t xml:space="preserve"> </w:t>
      </w:r>
      <w:r>
        <w:tab/>
      </w:r>
      <w:r>
        <w:fldChar w:fldCharType="begin"/>
      </w:r>
      <w:r>
        <w:instrText xml:space="preserve"> PAGEREF _Toc11937563 \h </w:instrText>
      </w:r>
      <w:r>
        <w:fldChar w:fldCharType="separate"/>
      </w:r>
      <w:r w:rsidR="00562255">
        <w:t>291</w:t>
      </w:r>
      <w:r>
        <w:fldChar w:fldCharType="end"/>
      </w:r>
    </w:p>
    <w:p w:rsidR="00F4654E" w:rsidRDefault="00F4654E">
      <w:pPr>
        <w:pStyle w:val="10"/>
        <w:rPr>
          <w:spacing w:val="0"/>
        </w:rPr>
      </w:pPr>
      <w:r>
        <w:rPr>
          <w:spacing w:val="0"/>
        </w:rPr>
        <w:t>Использование бифацидобактерина для профилактики и лечения колибактериоза</w:t>
      </w:r>
    </w:p>
    <w:p w:rsidR="00F4654E" w:rsidRDefault="00F4654E" w:rsidP="00562255">
      <w:pPr>
        <w:pStyle w:val="20"/>
      </w:pPr>
      <w:r>
        <w:t>Кальницкая О.И.</w:t>
      </w:r>
      <w:r>
        <w:tab/>
      </w:r>
      <w:r>
        <w:fldChar w:fldCharType="begin"/>
      </w:r>
      <w:r>
        <w:instrText xml:space="preserve"> PAGEREF _Toc11937565 \h </w:instrText>
      </w:r>
      <w:r>
        <w:fldChar w:fldCharType="separate"/>
      </w:r>
      <w:r w:rsidR="00562255">
        <w:t>292</w:t>
      </w:r>
      <w:r>
        <w:fldChar w:fldCharType="end"/>
      </w:r>
    </w:p>
    <w:p w:rsidR="00F4654E" w:rsidRDefault="00F4654E">
      <w:pPr>
        <w:pStyle w:val="10"/>
        <w:rPr>
          <w:spacing w:val="0"/>
        </w:rPr>
      </w:pPr>
      <w:r>
        <w:rPr>
          <w:spacing w:val="0"/>
        </w:rPr>
        <w:t xml:space="preserve">Профилактика  гипогаммаглобулинемии у новорожденных телят </w:t>
      </w:r>
      <w:r>
        <w:rPr>
          <w:noProof w:val="0"/>
          <w:spacing w:val="0"/>
        </w:rPr>
        <w:br/>
      </w:r>
      <w:r>
        <w:rPr>
          <w:spacing w:val="0"/>
        </w:rPr>
        <w:t>с использованием электроактивированных растворов</w:t>
      </w:r>
    </w:p>
    <w:p w:rsidR="00F4654E" w:rsidRDefault="00F4654E" w:rsidP="00562255">
      <w:pPr>
        <w:pStyle w:val="20"/>
      </w:pPr>
      <w:r>
        <w:t>Камошенков А.Р., Бычкова Т.К.</w:t>
      </w:r>
      <w:r>
        <w:tab/>
      </w:r>
      <w:r>
        <w:fldChar w:fldCharType="begin"/>
      </w:r>
      <w:r>
        <w:instrText xml:space="preserve"> PAGEREF _Toc11937567 \h </w:instrText>
      </w:r>
      <w:r>
        <w:fldChar w:fldCharType="separate"/>
      </w:r>
      <w:r w:rsidR="00562255">
        <w:t>294</w:t>
      </w:r>
      <w:r>
        <w:fldChar w:fldCharType="end"/>
      </w:r>
    </w:p>
    <w:p w:rsidR="00F4654E" w:rsidRDefault="00F4654E">
      <w:pPr>
        <w:pStyle w:val="10"/>
        <w:rPr>
          <w:spacing w:val="0"/>
        </w:rPr>
      </w:pPr>
      <w:r>
        <w:rPr>
          <w:spacing w:val="0"/>
        </w:rPr>
        <w:t>ЭТИОЛОГИЧЕСКАЯ СТРУКТУРА ЖЕЛУДОЧНО-КИШЕЧНЫХ БОЛЕЗНЕЙ ПОРОСЯТ</w:t>
      </w:r>
    </w:p>
    <w:p w:rsidR="00F4654E" w:rsidRDefault="00F4654E" w:rsidP="00562255">
      <w:pPr>
        <w:pStyle w:val="20"/>
      </w:pPr>
      <w:r>
        <w:t>Карева Э.П., Ирский А.Г., Солдатенко Н.А., Зимина В.Н.</w:t>
      </w:r>
      <w:r>
        <w:tab/>
      </w:r>
      <w:r>
        <w:fldChar w:fldCharType="begin"/>
      </w:r>
      <w:r>
        <w:instrText xml:space="preserve"> PAGEREF _Toc11937569 \h </w:instrText>
      </w:r>
      <w:r>
        <w:fldChar w:fldCharType="separate"/>
      </w:r>
      <w:r w:rsidR="00562255">
        <w:t>296</w:t>
      </w:r>
      <w:r>
        <w:fldChar w:fldCharType="end"/>
      </w:r>
    </w:p>
    <w:p w:rsidR="00F4654E" w:rsidRDefault="00F4654E">
      <w:pPr>
        <w:pStyle w:val="10"/>
        <w:rPr>
          <w:spacing w:val="0"/>
        </w:rPr>
      </w:pPr>
      <w:r>
        <w:rPr>
          <w:spacing w:val="0"/>
        </w:rPr>
        <w:t>САЛЬМОНЕЛЛЕЗ ПОРОСЯТ В СОВРЕМЕННЫХ УСЛОВИЯХ</w:t>
      </w:r>
    </w:p>
    <w:p w:rsidR="00F4654E" w:rsidRDefault="00F4654E" w:rsidP="00562255">
      <w:pPr>
        <w:pStyle w:val="20"/>
      </w:pPr>
      <w:r>
        <w:t>Карева Э.П., Солдатенко Н.А., Мандрыко В.А., Зимина В.Н.</w:t>
      </w:r>
      <w:r>
        <w:tab/>
      </w:r>
      <w:r>
        <w:fldChar w:fldCharType="begin"/>
      </w:r>
      <w:r>
        <w:instrText xml:space="preserve"> PAGEREF _Toc11937571 \h </w:instrText>
      </w:r>
      <w:r>
        <w:fldChar w:fldCharType="separate"/>
      </w:r>
      <w:r w:rsidR="00562255">
        <w:t>298</w:t>
      </w:r>
      <w:r>
        <w:fldChar w:fldCharType="end"/>
      </w:r>
    </w:p>
    <w:p w:rsidR="00F4654E" w:rsidRDefault="00F4654E">
      <w:pPr>
        <w:pStyle w:val="10"/>
        <w:rPr>
          <w:spacing w:val="0"/>
        </w:rPr>
      </w:pPr>
      <w:r>
        <w:rPr>
          <w:spacing w:val="0"/>
        </w:rPr>
        <w:t>соединения тяжелых металлов в продукции охотничьего промысла на территории алтайского края</w:t>
      </w:r>
    </w:p>
    <w:p w:rsidR="00F4654E" w:rsidRDefault="00F4654E" w:rsidP="00562255">
      <w:pPr>
        <w:pStyle w:val="20"/>
      </w:pPr>
      <w:r>
        <w:t>Кашин А.С., Толкушкина Г.Д.</w:t>
      </w:r>
      <w:r>
        <w:tab/>
      </w:r>
      <w:r>
        <w:fldChar w:fldCharType="begin"/>
      </w:r>
      <w:r>
        <w:instrText xml:space="preserve"> PAGEREF _Toc11937573 \h </w:instrText>
      </w:r>
      <w:r>
        <w:fldChar w:fldCharType="separate"/>
      </w:r>
      <w:r w:rsidR="00562255">
        <w:t>300</w:t>
      </w:r>
      <w:r>
        <w:fldChar w:fldCharType="end"/>
      </w:r>
    </w:p>
    <w:p w:rsidR="00F4654E" w:rsidRDefault="00F4654E">
      <w:pPr>
        <w:pStyle w:val="10"/>
        <w:rPr>
          <w:spacing w:val="0"/>
        </w:rPr>
      </w:pPr>
      <w:r>
        <w:rPr>
          <w:spacing w:val="0"/>
        </w:rPr>
        <w:t>КОМПЛЕКСНАЯ ВЕТЕРИНАРНО-ЭКОЛОГИЧЕСКАЯ И КАРТОГРАФИЧЕСКАЯ ОЦЕНКА ТЕРРИТОРИИ АГРАРНОГО ПРИРОДОПОЛЬЗОВАНИЯ</w:t>
      </w:r>
    </w:p>
    <w:p w:rsidR="00F4654E" w:rsidRDefault="00F4654E" w:rsidP="00562255">
      <w:pPr>
        <w:pStyle w:val="20"/>
      </w:pPr>
      <w:r>
        <w:t>Кашин А.С.</w:t>
      </w:r>
      <w:r>
        <w:tab/>
      </w:r>
      <w:r>
        <w:fldChar w:fldCharType="begin"/>
      </w:r>
      <w:r>
        <w:instrText xml:space="preserve"> PAGEREF _Toc11937575 \h </w:instrText>
      </w:r>
      <w:r>
        <w:fldChar w:fldCharType="separate"/>
      </w:r>
      <w:r w:rsidR="00562255">
        <w:t>302</w:t>
      </w:r>
      <w:r>
        <w:fldChar w:fldCharType="end"/>
      </w:r>
    </w:p>
    <w:p w:rsidR="00F4654E" w:rsidRDefault="00F4654E">
      <w:pPr>
        <w:pStyle w:val="10"/>
        <w:rPr>
          <w:spacing w:val="0"/>
        </w:rPr>
      </w:pPr>
      <w:r>
        <w:rPr>
          <w:spacing w:val="0"/>
        </w:rPr>
        <w:t xml:space="preserve">Этиология склероза яичников у коров на молочных фермах </w:t>
      </w:r>
      <w:r>
        <w:rPr>
          <w:noProof w:val="0"/>
          <w:spacing w:val="0"/>
        </w:rPr>
        <w:br/>
      </w:r>
      <w:r>
        <w:rPr>
          <w:spacing w:val="0"/>
        </w:rPr>
        <w:t>Дальнего Востока</w:t>
      </w:r>
    </w:p>
    <w:p w:rsidR="00F4654E" w:rsidRDefault="00F4654E" w:rsidP="00562255">
      <w:pPr>
        <w:pStyle w:val="20"/>
      </w:pPr>
      <w:r>
        <w:t>Ключников М.Т., Ключникова Н.Ф.</w:t>
      </w:r>
      <w:r>
        <w:tab/>
      </w:r>
      <w:r>
        <w:fldChar w:fldCharType="begin"/>
      </w:r>
      <w:r>
        <w:instrText xml:space="preserve"> PAGEREF _Toc11937577 \h </w:instrText>
      </w:r>
      <w:r>
        <w:fldChar w:fldCharType="separate"/>
      </w:r>
      <w:r w:rsidR="00562255">
        <w:t>304</w:t>
      </w:r>
      <w:r>
        <w:fldChar w:fldCharType="end"/>
      </w:r>
    </w:p>
    <w:p w:rsidR="00F4654E" w:rsidRDefault="00F4654E">
      <w:pPr>
        <w:pStyle w:val="10"/>
        <w:rPr>
          <w:spacing w:val="0"/>
        </w:rPr>
      </w:pPr>
      <w:r>
        <w:rPr>
          <w:spacing w:val="0"/>
        </w:rPr>
        <w:t>МОНИТОРИНГ ОТЕЧНОЙ БОЛЕЗНИ СВИНЕЙ В БЕЛГОРОДСКОЙ ОБЛАСТИ</w:t>
      </w:r>
    </w:p>
    <w:p w:rsidR="00F4654E" w:rsidRDefault="00F4654E" w:rsidP="00562255">
      <w:pPr>
        <w:pStyle w:val="20"/>
      </w:pPr>
      <w:r>
        <w:t xml:space="preserve">Коломыцев А.А., Дмитренко В.В., Лукьянов С.Б., Чевелева С.С.,  </w:t>
      </w:r>
      <w:r>
        <w:rPr>
          <w:noProof w:val="0"/>
        </w:rPr>
        <w:br/>
      </w:r>
      <w:r>
        <w:t>Носков С.Б., Новоточинов О.В., Хмельков Я.Т., Ключников Ю.А.</w:t>
      </w:r>
      <w:r>
        <w:tab/>
      </w:r>
      <w:r>
        <w:fldChar w:fldCharType="begin"/>
      </w:r>
      <w:r>
        <w:instrText xml:space="preserve"> PAGEREF _Toc11937579 \h </w:instrText>
      </w:r>
      <w:r>
        <w:fldChar w:fldCharType="separate"/>
      </w:r>
      <w:r w:rsidR="00562255">
        <w:t>305</w:t>
      </w:r>
      <w:r>
        <w:fldChar w:fldCharType="end"/>
      </w:r>
    </w:p>
    <w:p w:rsidR="00F4654E" w:rsidRDefault="00F4654E">
      <w:pPr>
        <w:pStyle w:val="10"/>
        <w:rPr>
          <w:spacing w:val="0"/>
        </w:rPr>
      </w:pPr>
      <w:r>
        <w:rPr>
          <w:spacing w:val="0"/>
        </w:rPr>
        <w:t>СПЕЦИФИЧЕСКАЯ ПРОФИЛАКТИКА ЛАРВАЛЬНЫХ ТЕНИИДОЗОВ</w:t>
      </w:r>
    </w:p>
    <w:p w:rsidR="00F4654E" w:rsidRDefault="00F4654E" w:rsidP="00562255">
      <w:pPr>
        <w:pStyle w:val="20"/>
      </w:pPr>
      <w:r>
        <w:t>Косминков Н.Е., Верховская Г.Л., Лайпанов Б.К.</w:t>
      </w:r>
      <w:r>
        <w:tab/>
      </w:r>
      <w:r>
        <w:fldChar w:fldCharType="begin"/>
      </w:r>
      <w:r>
        <w:instrText xml:space="preserve"> PAGEREF _Toc11937581 \h </w:instrText>
      </w:r>
      <w:r>
        <w:fldChar w:fldCharType="separate"/>
      </w:r>
      <w:r w:rsidR="00562255">
        <w:t>308</w:t>
      </w:r>
      <w:r>
        <w:fldChar w:fldCharType="end"/>
      </w:r>
    </w:p>
    <w:p w:rsidR="00F4654E" w:rsidRDefault="00F4654E">
      <w:pPr>
        <w:pStyle w:val="10"/>
        <w:rPr>
          <w:spacing w:val="0"/>
        </w:rPr>
      </w:pPr>
      <w:r>
        <w:rPr>
          <w:spacing w:val="0"/>
        </w:rPr>
        <w:t>Положительные и отрицательные стороны основных направлений профилактики желудочно-кишечных болезней новорождённых телят</w:t>
      </w:r>
    </w:p>
    <w:p w:rsidR="00F4654E" w:rsidRDefault="00F4654E" w:rsidP="00562255">
      <w:pPr>
        <w:pStyle w:val="20"/>
      </w:pPr>
      <w:r>
        <w:t>Костына М.А.</w:t>
      </w:r>
      <w:r>
        <w:tab/>
      </w:r>
      <w:r>
        <w:fldChar w:fldCharType="begin"/>
      </w:r>
      <w:r>
        <w:instrText xml:space="preserve"> PAGEREF _Toc11937583 \h </w:instrText>
      </w:r>
      <w:r>
        <w:fldChar w:fldCharType="separate"/>
      </w:r>
      <w:r w:rsidR="00562255">
        <w:t>311</w:t>
      </w:r>
      <w:r>
        <w:fldChar w:fldCharType="end"/>
      </w:r>
    </w:p>
    <w:p w:rsidR="00F4654E" w:rsidRDefault="00F4654E">
      <w:pPr>
        <w:pStyle w:val="10"/>
        <w:rPr>
          <w:spacing w:val="0"/>
        </w:rPr>
      </w:pPr>
      <w:r>
        <w:rPr>
          <w:spacing w:val="0"/>
        </w:rPr>
        <w:t>денозологизация в борьбе с болезнями животных – от идеи  к практике</w:t>
      </w:r>
    </w:p>
    <w:p w:rsidR="00F4654E" w:rsidRDefault="00F4654E" w:rsidP="00562255">
      <w:pPr>
        <w:pStyle w:val="20"/>
      </w:pPr>
      <w:r>
        <w:t>Костына М.А.</w:t>
      </w:r>
      <w:r>
        <w:tab/>
      </w:r>
      <w:r>
        <w:fldChar w:fldCharType="begin"/>
      </w:r>
      <w:r>
        <w:instrText xml:space="preserve"> PAGEREF _Toc11937585 \h </w:instrText>
      </w:r>
      <w:r>
        <w:fldChar w:fldCharType="separate"/>
      </w:r>
      <w:r w:rsidR="00562255">
        <w:t>313</w:t>
      </w:r>
      <w:r>
        <w:fldChar w:fldCharType="end"/>
      </w:r>
    </w:p>
    <w:p w:rsidR="00F4654E" w:rsidRDefault="00F4654E">
      <w:pPr>
        <w:pStyle w:val="10"/>
        <w:rPr>
          <w:spacing w:val="0"/>
        </w:rPr>
      </w:pPr>
      <w:r>
        <w:rPr>
          <w:spacing w:val="0"/>
        </w:rPr>
        <w:t xml:space="preserve">естественный ингибирующий фактор (еиф) крови животных и </w:t>
      </w:r>
      <w:r>
        <w:rPr>
          <w:noProof w:val="0"/>
          <w:spacing w:val="0"/>
        </w:rPr>
        <w:br/>
      </w:r>
      <w:r>
        <w:rPr>
          <w:spacing w:val="0"/>
        </w:rPr>
        <w:t>методические особенности по его определению</w:t>
      </w:r>
    </w:p>
    <w:p w:rsidR="00F4654E" w:rsidRDefault="00F4654E" w:rsidP="00562255">
      <w:pPr>
        <w:pStyle w:val="20"/>
      </w:pPr>
      <w:r>
        <w:t>Костына М.А.</w:t>
      </w:r>
      <w:r>
        <w:tab/>
      </w:r>
      <w:r>
        <w:fldChar w:fldCharType="begin"/>
      </w:r>
      <w:r>
        <w:instrText xml:space="preserve"> PAGEREF _Toc11937587 \h </w:instrText>
      </w:r>
      <w:r>
        <w:fldChar w:fldCharType="separate"/>
      </w:r>
      <w:r w:rsidR="00562255">
        <w:t>316</w:t>
      </w:r>
      <w:r>
        <w:fldChar w:fldCharType="end"/>
      </w:r>
    </w:p>
    <w:p w:rsidR="00F4654E" w:rsidRDefault="00F4654E">
      <w:pPr>
        <w:pStyle w:val="10"/>
        <w:rPr>
          <w:spacing w:val="0"/>
        </w:rPr>
      </w:pPr>
      <w:r>
        <w:rPr>
          <w:spacing w:val="0"/>
        </w:rPr>
        <w:t xml:space="preserve">ПРИМЕНЕНИЕ ФУПЭДИНА СО СРЕДСТВАМИ ЗАМЕСТИТЕЛЬНОЙ ТЕРАПИИ ПРИ </w:t>
      </w:r>
      <w:r>
        <w:rPr>
          <w:noProof w:val="0"/>
          <w:spacing w:val="0"/>
        </w:rPr>
        <w:br/>
      </w:r>
      <w:r>
        <w:rPr>
          <w:spacing w:val="0"/>
        </w:rPr>
        <w:t>ОСТРЫХ ПОСЛЕРОДОВЫХ ГНОЙНО-КАТАРАЛЬНЫХ ЭНДОМЕТРИТАХ У КОРОВ</w:t>
      </w:r>
    </w:p>
    <w:p w:rsidR="00F4654E" w:rsidRDefault="00F4654E" w:rsidP="00562255">
      <w:pPr>
        <w:pStyle w:val="20"/>
      </w:pPr>
      <w:r>
        <w:t>Коба И.С. Турченко А.Н.</w:t>
      </w:r>
      <w:r>
        <w:tab/>
      </w:r>
      <w:r>
        <w:fldChar w:fldCharType="begin"/>
      </w:r>
      <w:r>
        <w:instrText xml:space="preserve"> PAGEREF _Toc11937589 \h </w:instrText>
      </w:r>
      <w:r>
        <w:fldChar w:fldCharType="separate"/>
      </w:r>
      <w:r w:rsidR="00562255">
        <w:t>319</w:t>
      </w:r>
      <w:r>
        <w:fldChar w:fldCharType="end"/>
      </w:r>
    </w:p>
    <w:p w:rsidR="00F4654E" w:rsidRDefault="00F4654E">
      <w:pPr>
        <w:pStyle w:val="10"/>
        <w:rPr>
          <w:spacing w:val="0"/>
        </w:rPr>
      </w:pPr>
      <w:r>
        <w:rPr>
          <w:spacing w:val="0"/>
        </w:rPr>
        <w:t>ИММУНОПРОФИЛАКТИКА И ТЕРАПИЯ БОЛЕЗНЕЙ МОЛОДНЯКА</w:t>
      </w:r>
    </w:p>
    <w:p w:rsidR="00F4654E" w:rsidRDefault="00F4654E" w:rsidP="00562255">
      <w:pPr>
        <w:pStyle w:val="20"/>
      </w:pPr>
      <w:r>
        <w:t>Ковалев М.М.</w:t>
      </w:r>
      <w:r>
        <w:tab/>
      </w:r>
      <w:r>
        <w:fldChar w:fldCharType="begin"/>
      </w:r>
      <w:r>
        <w:instrText xml:space="preserve"> PAGEREF _Toc11937591 \h </w:instrText>
      </w:r>
      <w:r>
        <w:fldChar w:fldCharType="separate"/>
      </w:r>
      <w:r w:rsidR="00562255">
        <w:t>321</w:t>
      </w:r>
      <w:r>
        <w:fldChar w:fldCharType="end"/>
      </w:r>
    </w:p>
    <w:p w:rsidR="00F4654E" w:rsidRDefault="00F4654E">
      <w:pPr>
        <w:pStyle w:val="10"/>
        <w:rPr>
          <w:spacing w:val="0"/>
        </w:rPr>
      </w:pPr>
      <w:r>
        <w:rPr>
          <w:spacing w:val="0"/>
        </w:rPr>
        <w:t xml:space="preserve">Комплексная озонотерапия при эндометрите различного происхождения </w:t>
      </w:r>
      <w:r w:rsidR="00E05280">
        <w:rPr>
          <w:spacing w:val="0"/>
        </w:rPr>
        <w:br/>
      </w:r>
      <w:r>
        <w:rPr>
          <w:spacing w:val="0"/>
        </w:rPr>
        <w:t>у коров</w:t>
      </w:r>
    </w:p>
    <w:p w:rsidR="00F4654E" w:rsidRDefault="00F4654E" w:rsidP="00562255">
      <w:pPr>
        <w:pStyle w:val="20"/>
      </w:pPr>
      <w:r>
        <w:t>Конопельцев И.Г., Филатов А.В.</w:t>
      </w:r>
      <w:r>
        <w:tab/>
      </w:r>
      <w:r>
        <w:fldChar w:fldCharType="begin"/>
      </w:r>
      <w:r>
        <w:instrText xml:space="preserve"> PAGEREF _Toc11937593 \h </w:instrText>
      </w:r>
      <w:r>
        <w:fldChar w:fldCharType="separate"/>
      </w:r>
      <w:r w:rsidR="00562255">
        <w:t>324</w:t>
      </w:r>
      <w:r>
        <w:fldChar w:fldCharType="end"/>
      </w:r>
    </w:p>
    <w:p w:rsidR="00F4654E" w:rsidRDefault="00F4654E">
      <w:pPr>
        <w:pStyle w:val="10"/>
        <w:rPr>
          <w:spacing w:val="0"/>
        </w:rPr>
      </w:pPr>
      <w:r>
        <w:rPr>
          <w:spacing w:val="0"/>
        </w:rPr>
        <w:t>Теоретическое и практическое обоснование последовательного применения антибиотиков</w:t>
      </w:r>
    </w:p>
    <w:p w:rsidR="00F4654E" w:rsidRDefault="00F4654E" w:rsidP="00562255">
      <w:pPr>
        <w:pStyle w:val="20"/>
      </w:pPr>
      <w:r>
        <w:t>Коптев В.Ю., Леонов С.В., Афонюшкин В.Н.</w:t>
      </w:r>
      <w:r>
        <w:tab/>
      </w:r>
      <w:r>
        <w:fldChar w:fldCharType="begin"/>
      </w:r>
      <w:r>
        <w:instrText xml:space="preserve"> PAGEREF _Toc11937595 \h </w:instrText>
      </w:r>
      <w:r>
        <w:fldChar w:fldCharType="separate"/>
      </w:r>
      <w:r w:rsidR="00562255">
        <w:t>326</w:t>
      </w:r>
      <w:r>
        <w:fldChar w:fldCharType="end"/>
      </w:r>
    </w:p>
    <w:p w:rsidR="00F4654E" w:rsidRDefault="00F4654E">
      <w:pPr>
        <w:pStyle w:val="10"/>
        <w:rPr>
          <w:spacing w:val="0"/>
        </w:rPr>
      </w:pPr>
      <w:r>
        <w:rPr>
          <w:spacing w:val="0"/>
        </w:rPr>
        <w:t xml:space="preserve">Эффективность комплексной озонотерапии при хроническом </w:t>
      </w:r>
      <w:r>
        <w:rPr>
          <w:noProof w:val="0"/>
          <w:spacing w:val="0"/>
        </w:rPr>
        <w:br/>
      </w:r>
      <w:r>
        <w:rPr>
          <w:spacing w:val="0"/>
        </w:rPr>
        <w:t>катаральном мастите у коров</w:t>
      </w:r>
    </w:p>
    <w:p w:rsidR="00F4654E" w:rsidRDefault="00F4654E" w:rsidP="00562255">
      <w:pPr>
        <w:pStyle w:val="20"/>
      </w:pPr>
      <w:r>
        <w:t>Копылова Е.В., Шулепова Н.Н., Конопельцев И.Г., Филатов А.В.</w:t>
      </w:r>
      <w:r>
        <w:tab/>
      </w:r>
      <w:r>
        <w:fldChar w:fldCharType="begin"/>
      </w:r>
      <w:r>
        <w:instrText xml:space="preserve"> PAGEREF _Toc11937597 \h </w:instrText>
      </w:r>
      <w:r>
        <w:fldChar w:fldCharType="separate"/>
      </w:r>
      <w:r w:rsidR="00562255">
        <w:t>327</w:t>
      </w:r>
      <w:r>
        <w:fldChar w:fldCharType="end"/>
      </w:r>
    </w:p>
    <w:p w:rsidR="00F4654E" w:rsidRDefault="00F4654E">
      <w:pPr>
        <w:pStyle w:val="10"/>
        <w:rPr>
          <w:spacing w:val="0"/>
        </w:rPr>
      </w:pPr>
      <w:r>
        <w:rPr>
          <w:spacing w:val="0"/>
        </w:rPr>
        <w:lastRenderedPageBreak/>
        <w:t xml:space="preserve">Влияние факторов внешней среды на заболеваемость репродуктивных </w:t>
      </w:r>
      <w:r>
        <w:rPr>
          <w:spacing w:val="0"/>
        </w:rPr>
        <w:br/>
        <w:t>органов коров</w:t>
      </w:r>
    </w:p>
    <w:p w:rsidR="00F4654E" w:rsidRDefault="00F4654E" w:rsidP="00562255">
      <w:pPr>
        <w:pStyle w:val="20"/>
      </w:pPr>
      <w:r>
        <w:t>Косорлукова З.Я., Деньгуб И.В., Захарова О.И., Павлова Н.А.</w:t>
      </w:r>
      <w:r>
        <w:tab/>
      </w:r>
      <w:r>
        <w:fldChar w:fldCharType="begin"/>
      </w:r>
      <w:r>
        <w:instrText xml:space="preserve"> PAGEREF _Toc11937599 \h </w:instrText>
      </w:r>
      <w:r>
        <w:fldChar w:fldCharType="separate"/>
      </w:r>
      <w:r w:rsidR="00562255">
        <w:t>328</w:t>
      </w:r>
      <w:r>
        <w:fldChar w:fldCharType="end"/>
      </w:r>
    </w:p>
    <w:p w:rsidR="00F4654E" w:rsidRDefault="00F4654E">
      <w:pPr>
        <w:pStyle w:val="10"/>
        <w:rPr>
          <w:spacing w:val="0"/>
        </w:rPr>
      </w:pPr>
      <w:r>
        <w:rPr>
          <w:spacing w:val="0"/>
        </w:rPr>
        <w:t>Эффективность применения олаквиндокса в комплексе с деполеном и дипролипамидом для профилактики эндометрита и ММА у свиней</w:t>
      </w:r>
    </w:p>
    <w:p w:rsidR="00F4654E" w:rsidRDefault="00F4654E" w:rsidP="00562255">
      <w:pPr>
        <w:pStyle w:val="20"/>
      </w:pPr>
      <w:r>
        <w:t>Коцарев В.Н.</w:t>
      </w:r>
      <w:r>
        <w:tab/>
      </w:r>
      <w:r>
        <w:fldChar w:fldCharType="begin"/>
      </w:r>
      <w:r>
        <w:instrText xml:space="preserve"> PAGEREF _Toc11937601 \h </w:instrText>
      </w:r>
      <w:r>
        <w:fldChar w:fldCharType="separate"/>
      </w:r>
      <w:r w:rsidR="00562255">
        <w:t>330</w:t>
      </w:r>
      <w:r>
        <w:fldChar w:fldCharType="end"/>
      </w:r>
    </w:p>
    <w:p w:rsidR="00F4654E" w:rsidRDefault="00F4654E">
      <w:pPr>
        <w:pStyle w:val="10"/>
        <w:rPr>
          <w:spacing w:val="0"/>
        </w:rPr>
      </w:pPr>
      <w:r>
        <w:rPr>
          <w:spacing w:val="0"/>
        </w:rPr>
        <w:t>Способ двукратного применения отечественных препаратов простагландина F-2</w:t>
      </w:r>
      <w:r>
        <w:rPr>
          <w:spacing w:val="0"/>
        </w:rPr>
        <w:sym w:font="Symbol" w:char="F061"/>
      </w:r>
      <w:r>
        <w:rPr>
          <w:spacing w:val="0"/>
        </w:rPr>
        <w:t xml:space="preserve"> для профилактики эндометрита и ММА у свиней</w:t>
      </w:r>
    </w:p>
    <w:p w:rsidR="00F4654E" w:rsidRDefault="00F4654E" w:rsidP="00562255">
      <w:pPr>
        <w:pStyle w:val="20"/>
      </w:pPr>
      <w:r>
        <w:t>Коцарев В.Н.</w:t>
      </w:r>
      <w:r>
        <w:tab/>
      </w:r>
      <w:r>
        <w:fldChar w:fldCharType="begin"/>
      </w:r>
      <w:r>
        <w:instrText xml:space="preserve"> PAGEREF _Toc11937603 \h </w:instrText>
      </w:r>
      <w:r>
        <w:fldChar w:fldCharType="separate"/>
      </w:r>
      <w:r w:rsidR="00562255">
        <w:t>331</w:t>
      </w:r>
      <w:r>
        <w:fldChar w:fldCharType="end"/>
      </w:r>
    </w:p>
    <w:p w:rsidR="00F4654E" w:rsidRDefault="00F4654E">
      <w:pPr>
        <w:pStyle w:val="10"/>
        <w:rPr>
          <w:spacing w:val="0"/>
        </w:rPr>
      </w:pPr>
      <w:r>
        <w:rPr>
          <w:spacing w:val="0"/>
        </w:rPr>
        <w:t>Фармакопрофилактика эндометрита и ММ А у свиноматок с первичной слабостью родов</w:t>
      </w:r>
    </w:p>
    <w:p w:rsidR="00F4654E" w:rsidRDefault="00F4654E" w:rsidP="00562255">
      <w:pPr>
        <w:pStyle w:val="20"/>
      </w:pPr>
      <w:r>
        <w:t>Коцарев В.Н.</w:t>
      </w:r>
      <w:r>
        <w:tab/>
      </w:r>
      <w:r>
        <w:fldChar w:fldCharType="begin"/>
      </w:r>
      <w:r>
        <w:instrText xml:space="preserve"> PAGEREF _Toc11937605 \h </w:instrText>
      </w:r>
      <w:r>
        <w:fldChar w:fldCharType="separate"/>
      </w:r>
      <w:r w:rsidR="00562255">
        <w:t>333</w:t>
      </w:r>
      <w:r>
        <w:fldChar w:fldCharType="end"/>
      </w:r>
    </w:p>
    <w:p w:rsidR="00F4654E" w:rsidRDefault="00F4654E">
      <w:pPr>
        <w:pStyle w:val="10"/>
        <w:rPr>
          <w:spacing w:val="0"/>
        </w:rPr>
      </w:pPr>
      <w:r>
        <w:rPr>
          <w:spacing w:val="0"/>
        </w:rPr>
        <w:t>ЭФФЕКТИВНОСТЬ ПРИМЕНЕНИЯ ЭСТУФАЛАНА ДЛЯ СИНХРОНИЗАЦИИ ОПОРОСА И ПРОФИЛАКТИКИ ММА У СВИНЕЙ</w:t>
      </w:r>
    </w:p>
    <w:p w:rsidR="00F4654E" w:rsidRDefault="00F4654E" w:rsidP="00562255">
      <w:pPr>
        <w:pStyle w:val="20"/>
      </w:pPr>
      <w:r>
        <w:t>Коцарев В.Н., Мисайлов В.Д., Нежданов А.Г.</w:t>
      </w:r>
      <w:r>
        <w:tab/>
      </w:r>
      <w:r>
        <w:fldChar w:fldCharType="begin"/>
      </w:r>
      <w:r>
        <w:instrText xml:space="preserve"> PAGEREF _Toc11937607 \h </w:instrText>
      </w:r>
      <w:r>
        <w:fldChar w:fldCharType="separate"/>
      </w:r>
      <w:r w:rsidR="00562255">
        <w:t>335</w:t>
      </w:r>
      <w:r>
        <w:fldChar w:fldCharType="end"/>
      </w:r>
    </w:p>
    <w:p w:rsidR="00F4654E" w:rsidRDefault="00F4654E">
      <w:pPr>
        <w:pStyle w:val="10"/>
        <w:rPr>
          <w:spacing w:val="0"/>
        </w:rPr>
      </w:pPr>
      <w:r>
        <w:rPr>
          <w:spacing w:val="0"/>
        </w:rPr>
        <w:t>ИЗУЧЕНИЕ ТОКСИЧНОСТИ ПАСТЫ ЭКВИСЕКТ ДЛЯ ПЛОТОЯДНЫХ</w:t>
      </w:r>
    </w:p>
    <w:p w:rsidR="00F4654E" w:rsidRDefault="00F4654E" w:rsidP="00562255">
      <w:pPr>
        <w:pStyle w:val="20"/>
      </w:pPr>
      <w:r>
        <w:t>Кравченко И.А.</w:t>
      </w:r>
      <w:r>
        <w:tab/>
      </w:r>
      <w:r>
        <w:fldChar w:fldCharType="begin"/>
      </w:r>
      <w:r>
        <w:instrText xml:space="preserve"> PAGEREF _Toc11937609 \h </w:instrText>
      </w:r>
      <w:r>
        <w:fldChar w:fldCharType="separate"/>
      </w:r>
      <w:r w:rsidR="00562255">
        <w:t>337</w:t>
      </w:r>
      <w:r>
        <w:fldChar w:fldCharType="end"/>
      </w:r>
    </w:p>
    <w:p w:rsidR="00F4654E" w:rsidRDefault="00F4654E">
      <w:pPr>
        <w:pStyle w:val="10"/>
        <w:rPr>
          <w:spacing w:val="0"/>
        </w:rPr>
      </w:pPr>
      <w:r>
        <w:rPr>
          <w:spacing w:val="0"/>
        </w:rPr>
        <w:t>Эффективность озона в различной концентрации при интерплевральном введении для лечения поросят отъемышей при острой катаральной бронхопневмонии</w:t>
      </w:r>
    </w:p>
    <w:p w:rsidR="00F4654E" w:rsidRDefault="00F4654E" w:rsidP="00562255">
      <w:pPr>
        <w:pStyle w:val="20"/>
      </w:pPr>
      <w:r>
        <w:t>Крайс В.В.</w:t>
      </w:r>
      <w:r>
        <w:tab/>
      </w:r>
      <w:r>
        <w:fldChar w:fldCharType="begin"/>
      </w:r>
      <w:r>
        <w:instrText xml:space="preserve"> PAGEREF _Toc11937611 \h </w:instrText>
      </w:r>
      <w:r>
        <w:fldChar w:fldCharType="separate"/>
      </w:r>
      <w:r w:rsidR="00562255">
        <w:t>338</w:t>
      </w:r>
      <w:r>
        <w:fldChar w:fldCharType="end"/>
      </w:r>
    </w:p>
    <w:p w:rsidR="00F4654E" w:rsidRDefault="00F4654E">
      <w:pPr>
        <w:pStyle w:val="10"/>
        <w:rPr>
          <w:spacing w:val="0"/>
        </w:rPr>
      </w:pPr>
      <w:r>
        <w:rPr>
          <w:spacing w:val="0"/>
        </w:rPr>
        <w:t>Воздействие различных концентраций озона  на организм поросят</w:t>
      </w:r>
      <w:r>
        <w:rPr>
          <w:noProof w:val="0"/>
          <w:spacing w:val="0"/>
        </w:rPr>
        <w:t xml:space="preserve"> </w:t>
      </w:r>
      <w:r>
        <w:rPr>
          <w:noProof w:val="0"/>
          <w:spacing w:val="0"/>
        </w:rPr>
        <w:br/>
      </w:r>
      <w:r>
        <w:rPr>
          <w:spacing w:val="0"/>
        </w:rPr>
        <w:t xml:space="preserve">больных острой катаральной бронхопневмонией при интратрахеальном </w:t>
      </w:r>
      <w:r>
        <w:rPr>
          <w:noProof w:val="0"/>
          <w:spacing w:val="0"/>
        </w:rPr>
        <w:br/>
      </w:r>
      <w:r>
        <w:rPr>
          <w:spacing w:val="0"/>
        </w:rPr>
        <w:t>способе введения</w:t>
      </w:r>
    </w:p>
    <w:p w:rsidR="00F4654E" w:rsidRDefault="00F4654E" w:rsidP="00562255">
      <w:pPr>
        <w:pStyle w:val="20"/>
      </w:pPr>
      <w:r>
        <w:t>Крайс В.В.</w:t>
      </w:r>
      <w:r>
        <w:tab/>
      </w:r>
      <w:r>
        <w:fldChar w:fldCharType="begin"/>
      </w:r>
      <w:r>
        <w:instrText xml:space="preserve"> PAGEREF _Toc11937613 \h </w:instrText>
      </w:r>
      <w:r>
        <w:fldChar w:fldCharType="separate"/>
      </w:r>
      <w:r w:rsidR="00562255">
        <w:t>340</w:t>
      </w:r>
      <w:r>
        <w:fldChar w:fldCharType="end"/>
      </w:r>
    </w:p>
    <w:p w:rsidR="00F4654E" w:rsidRDefault="00F4654E">
      <w:pPr>
        <w:pStyle w:val="10"/>
        <w:rPr>
          <w:spacing w:val="0"/>
        </w:rPr>
      </w:pPr>
      <w:r>
        <w:rPr>
          <w:spacing w:val="0"/>
        </w:rPr>
        <w:t>Амплификация и сравнительный анализ фрагмента S1B области S гена коронавируса крупного рогатого скота</w:t>
      </w:r>
    </w:p>
    <w:p w:rsidR="00F4654E" w:rsidRDefault="00F4654E" w:rsidP="00562255">
      <w:pPr>
        <w:pStyle w:val="20"/>
      </w:pPr>
      <w:r>
        <w:t>Кудрявцев В.А., Аянот П.К., Дороненкова Г.Н.</w:t>
      </w:r>
      <w:r>
        <w:tab/>
      </w:r>
      <w:r>
        <w:fldChar w:fldCharType="begin"/>
      </w:r>
      <w:r>
        <w:instrText xml:space="preserve"> PAGEREF _Toc11937615 \h </w:instrText>
      </w:r>
      <w:r>
        <w:fldChar w:fldCharType="separate"/>
      </w:r>
      <w:r w:rsidR="00562255">
        <w:t>341</w:t>
      </w:r>
      <w:r>
        <w:fldChar w:fldCharType="end"/>
      </w:r>
    </w:p>
    <w:p w:rsidR="00F4654E" w:rsidRDefault="00F4654E">
      <w:pPr>
        <w:pStyle w:val="10"/>
        <w:rPr>
          <w:spacing w:val="0"/>
        </w:rPr>
      </w:pPr>
      <w:r>
        <w:rPr>
          <w:spacing w:val="0"/>
        </w:rPr>
        <w:t>ИЗУЧЕНИЕ БЕЗВРЕДНОСТИ ПРЕПАРАТОВ ЛИКОПИНОВЫЙ ШРОТ И ЛИКОПИНОВОЕ</w:t>
      </w:r>
      <w:r>
        <w:rPr>
          <w:spacing w:val="0"/>
        </w:rPr>
        <w:br/>
        <w:t xml:space="preserve"> МАСЛО</w:t>
      </w:r>
    </w:p>
    <w:p w:rsidR="00F4654E" w:rsidRDefault="00F4654E" w:rsidP="00562255">
      <w:pPr>
        <w:pStyle w:val="20"/>
      </w:pPr>
      <w:r>
        <w:t>Кузьминова Е.В.</w:t>
      </w:r>
      <w:r>
        <w:tab/>
      </w:r>
      <w:r>
        <w:fldChar w:fldCharType="begin"/>
      </w:r>
      <w:r>
        <w:instrText xml:space="preserve"> PAGEREF _Toc11937617 \h </w:instrText>
      </w:r>
      <w:r>
        <w:fldChar w:fldCharType="separate"/>
      </w:r>
      <w:r w:rsidR="00562255">
        <w:t>344</w:t>
      </w:r>
      <w:r>
        <w:fldChar w:fldCharType="end"/>
      </w:r>
    </w:p>
    <w:p w:rsidR="00F4654E" w:rsidRDefault="00F4654E">
      <w:pPr>
        <w:pStyle w:val="10"/>
        <w:rPr>
          <w:spacing w:val="0"/>
        </w:rPr>
      </w:pPr>
      <w:r>
        <w:rPr>
          <w:spacing w:val="0"/>
        </w:rPr>
        <w:t>Влияние искусственной  аэроионизации на микроклимат свиноводческих помещений участка доращивания</w:t>
      </w:r>
    </w:p>
    <w:p w:rsidR="00F4654E" w:rsidRDefault="00F4654E" w:rsidP="00562255">
      <w:pPr>
        <w:pStyle w:val="20"/>
      </w:pPr>
      <w:r>
        <w:t>Кузнецов А.А., Кузнецов Ю.А.</w:t>
      </w:r>
      <w:r>
        <w:tab/>
      </w:r>
      <w:r>
        <w:fldChar w:fldCharType="begin"/>
      </w:r>
      <w:r>
        <w:instrText xml:space="preserve"> PAGEREF _Toc11937619 \h </w:instrText>
      </w:r>
      <w:r>
        <w:fldChar w:fldCharType="separate"/>
      </w:r>
      <w:r w:rsidR="00562255">
        <w:t>346</w:t>
      </w:r>
      <w:r>
        <w:fldChar w:fldCharType="end"/>
      </w:r>
    </w:p>
    <w:p w:rsidR="00F4654E" w:rsidRDefault="00F4654E">
      <w:pPr>
        <w:pStyle w:val="10"/>
        <w:rPr>
          <w:spacing w:val="0"/>
        </w:rPr>
      </w:pPr>
      <w:r>
        <w:rPr>
          <w:spacing w:val="0"/>
        </w:rPr>
        <w:t>ВЛИЯНИЕ СТРЕСС-ФАКТОРОВ  НА СОСТОЯНИЕ ГРУППОВОГО ИММУНИТЕТА СВИНЕЙ  ПРОТИВ ЧУМЫ  В УСЛОВИЯХ СВИНОКОМПЛЕКСА</w:t>
      </w:r>
    </w:p>
    <w:p w:rsidR="00F4654E" w:rsidRDefault="00F4654E" w:rsidP="00562255">
      <w:pPr>
        <w:pStyle w:val="20"/>
      </w:pPr>
      <w:r>
        <w:t xml:space="preserve">Кузнецов А.А., Кузнецов Ю.А., Кузнецов А.Г., Коломыцев А.А. </w:t>
      </w:r>
      <w:r>
        <w:tab/>
      </w:r>
      <w:r>
        <w:fldChar w:fldCharType="begin"/>
      </w:r>
      <w:r>
        <w:instrText xml:space="preserve"> PAGEREF _Toc11937621 \h </w:instrText>
      </w:r>
      <w:r>
        <w:fldChar w:fldCharType="separate"/>
      </w:r>
      <w:r w:rsidR="00562255">
        <w:t>347</w:t>
      </w:r>
      <w:r>
        <w:fldChar w:fldCharType="end"/>
      </w:r>
    </w:p>
    <w:p w:rsidR="00F4654E" w:rsidRDefault="00F4654E">
      <w:pPr>
        <w:pStyle w:val="10"/>
        <w:rPr>
          <w:spacing w:val="0"/>
        </w:rPr>
      </w:pPr>
      <w:r>
        <w:rPr>
          <w:spacing w:val="0"/>
        </w:rPr>
        <w:t xml:space="preserve">ЭКОЛОГИЯ И АЭРОИОННЫЙ ФОН СВИНОКОМПЛЕКСА «РОЩИНСКИЙ» И ИХ СВЯЗЬ </w:t>
      </w:r>
      <w:r>
        <w:rPr>
          <w:noProof w:val="0"/>
          <w:spacing w:val="0"/>
        </w:rPr>
        <w:br/>
      </w:r>
      <w:r>
        <w:rPr>
          <w:spacing w:val="0"/>
        </w:rPr>
        <w:t>С ПАРАМЕТРАМИ МИКРОКЛИМАТА</w:t>
      </w:r>
    </w:p>
    <w:p w:rsidR="00F4654E" w:rsidRDefault="00F4654E" w:rsidP="00562255">
      <w:pPr>
        <w:pStyle w:val="20"/>
      </w:pPr>
      <w:r>
        <w:t>Кузнецов А.Г., Кузнецов А.А.</w:t>
      </w:r>
      <w:r>
        <w:tab/>
      </w:r>
      <w:r>
        <w:fldChar w:fldCharType="begin"/>
      </w:r>
      <w:r>
        <w:instrText xml:space="preserve"> PAGEREF _Toc11937623 \h </w:instrText>
      </w:r>
      <w:r>
        <w:fldChar w:fldCharType="separate"/>
      </w:r>
      <w:r w:rsidR="00562255">
        <w:t>350</w:t>
      </w:r>
      <w:r>
        <w:fldChar w:fldCharType="end"/>
      </w:r>
    </w:p>
    <w:p w:rsidR="00F4654E" w:rsidRDefault="00F4654E">
      <w:pPr>
        <w:pStyle w:val="10"/>
        <w:rPr>
          <w:spacing w:val="0"/>
        </w:rPr>
      </w:pPr>
      <w:r>
        <w:rPr>
          <w:spacing w:val="0"/>
        </w:rPr>
        <w:t>ОБМЕН ВЕЩЕСТВ В ОРГАНИЗМЕ РЕМОНТНЫХ СВИНОК ПРИ  РАЗНОМ СОЧЕТАНИИ ВЫСОКОПРОТЕИНОВЫХ КОРМОВ В РАЦИОНЕ</w:t>
      </w:r>
    </w:p>
    <w:p w:rsidR="00F4654E" w:rsidRDefault="00F4654E" w:rsidP="00562255">
      <w:pPr>
        <w:pStyle w:val="20"/>
      </w:pPr>
      <w:r>
        <w:t xml:space="preserve">Кузнецов Н.И., Елизарова Т.И., Потапов А.И.,  Гарковенко О.В., </w:t>
      </w:r>
      <w:r>
        <w:rPr>
          <w:noProof w:val="0"/>
        </w:rPr>
        <w:br/>
      </w:r>
      <w:r>
        <w:t>Черных Н.И., Вислогузов А.М.</w:t>
      </w:r>
      <w:r>
        <w:tab/>
      </w:r>
      <w:r>
        <w:fldChar w:fldCharType="begin"/>
      </w:r>
      <w:r>
        <w:instrText xml:space="preserve"> PAGEREF _Toc11937625 \h </w:instrText>
      </w:r>
      <w:r>
        <w:fldChar w:fldCharType="separate"/>
      </w:r>
      <w:r w:rsidR="00562255">
        <w:t>352</w:t>
      </w:r>
      <w:r>
        <w:fldChar w:fldCharType="end"/>
      </w:r>
    </w:p>
    <w:p w:rsidR="00F4654E" w:rsidRDefault="00F4654E">
      <w:pPr>
        <w:pStyle w:val="10"/>
        <w:rPr>
          <w:spacing w:val="0"/>
        </w:rPr>
      </w:pPr>
      <w:r>
        <w:rPr>
          <w:spacing w:val="0"/>
        </w:rPr>
        <w:t xml:space="preserve">«Метритил» при Лечении коров, больных субклиническим </w:t>
      </w:r>
      <w:r w:rsidR="00D6523B">
        <w:rPr>
          <w:spacing w:val="0"/>
        </w:rPr>
        <w:br/>
      </w:r>
      <w:r>
        <w:rPr>
          <w:spacing w:val="0"/>
        </w:rPr>
        <w:t>эндометритом</w:t>
      </w:r>
    </w:p>
    <w:p w:rsidR="00F4654E" w:rsidRDefault="00F4654E" w:rsidP="00562255">
      <w:pPr>
        <w:pStyle w:val="20"/>
      </w:pPr>
      <w:r>
        <w:t>Кузьмич Р. Г., Яцына В. В.</w:t>
      </w:r>
      <w:r>
        <w:tab/>
      </w:r>
      <w:r>
        <w:fldChar w:fldCharType="begin"/>
      </w:r>
      <w:r>
        <w:instrText xml:space="preserve"> PAGEREF _Toc11937627 \h </w:instrText>
      </w:r>
      <w:r>
        <w:fldChar w:fldCharType="separate"/>
      </w:r>
      <w:r w:rsidR="00562255">
        <w:t>354</w:t>
      </w:r>
      <w:r>
        <w:fldChar w:fldCharType="end"/>
      </w:r>
    </w:p>
    <w:p w:rsidR="00F4654E" w:rsidRDefault="00F4654E">
      <w:pPr>
        <w:pStyle w:val="10"/>
        <w:rPr>
          <w:spacing w:val="0"/>
        </w:rPr>
      </w:pPr>
      <w:r>
        <w:rPr>
          <w:spacing w:val="0"/>
        </w:rPr>
        <w:t xml:space="preserve">Этиология развития воспалительного процесса в матке у коров </w:t>
      </w:r>
      <w:r>
        <w:rPr>
          <w:noProof w:val="0"/>
          <w:spacing w:val="0"/>
        </w:rPr>
        <w:br/>
      </w:r>
      <w:r>
        <w:rPr>
          <w:spacing w:val="0"/>
        </w:rPr>
        <w:t>при ее субинволюции</w:t>
      </w:r>
    </w:p>
    <w:p w:rsidR="00F4654E" w:rsidRDefault="00F4654E" w:rsidP="00562255">
      <w:pPr>
        <w:pStyle w:val="20"/>
      </w:pPr>
      <w:r>
        <w:t>Кузьмич Р.Г., Пилейко В.В.</w:t>
      </w:r>
      <w:r>
        <w:tab/>
      </w:r>
      <w:r>
        <w:fldChar w:fldCharType="begin"/>
      </w:r>
      <w:r>
        <w:instrText xml:space="preserve"> PAGEREF _Toc11937629 \h </w:instrText>
      </w:r>
      <w:r>
        <w:fldChar w:fldCharType="separate"/>
      </w:r>
      <w:r w:rsidR="00562255">
        <w:t>356</w:t>
      </w:r>
      <w:r>
        <w:fldChar w:fldCharType="end"/>
      </w:r>
    </w:p>
    <w:p w:rsidR="00F4654E" w:rsidRDefault="00F4654E">
      <w:pPr>
        <w:pStyle w:val="10"/>
        <w:rPr>
          <w:spacing w:val="0"/>
        </w:rPr>
      </w:pPr>
      <w:r>
        <w:rPr>
          <w:spacing w:val="0"/>
        </w:rPr>
        <w:t>Экологические аспекты лазеротерапии коров, больных маститами</w:t>
      </w:r>
    </w:p>
    <w:p w:rsidR="00F4654E" w:rsidRDefault="00F4654E" w:rsidP="00562255">
      <w:pPr>
        <w:pStyle w:val="20"/>
      </w:pPr>
      <w:r>
        <w:t>Кузьмич Р.Г., Кузьмич О.В.</w:t>
      </w:r>
      <w:r>
        <w:tab/>
      </w:r>
      <w:r>
        <w:fldChar w:fldCharType="begin"/>
      </w:r>
      <w:r>
        <w:instrText xml:space="preserve"> PAGEREF _Toc11937631 \h </w:instrText>
      </w:r>
      <w:r>
        <w:fldChar w:fldCharType="separate"/>
      </w:r>
      <w:r w:rsidR="00562255">
        <w:t>359</w:t>
      </w:r>
      <w:r>
        <w:fldChar w:fldCharType="end"/>
      </w:r>
    </w:p>
    <w:p w:rsidR="00F4654E" w:rsidRDefault="00F4654E">
      <w:pPr>
        <w:pStyle w:val="10"/>
        <w:rPr>
          <w:spacing w:val="0"/>
        </w:rPr>
      </w:pPr>
      <w:r>
        <w:rPr>
          <w:spacing w:val="0"/>
        </w:rPr>
        <w:t>Смешанное течение РРСС и пастереллеза в экспериментальных условиях</w:t>
      </w:r>
    </w:p>
    <w:p w:rsidR="00F4654E" w:rsidRDefault="00F4654E" w:rsidP="00562255">
      <w:pPr>
        <w:pStyle w:val="20"/>
      </w:pPr>
      <w:r>
        <w:t xml:space="preserve">Кукушкин С.А., Курман И.Я., Байбиков Т.З., Баборенко Е.П.,  </w:t>
      </w:r>
      <w:r>
        <w:rPr>
          <w:noProof w:val="0"/>
        </w:rPr>
        <w:br/>
      </w:r>
      <w:r>
        <w:t>Ковалишин В.Ф., Шадрова Н.Б.</w:t>
      </w:r>
      <w:r>
        <w:tab/>
      </w:r>
      <w:r>
        <w:fldChar w:fldCharType="begin"/>
      </w:r>
      <w:r>
        <w:instrText xml:space="preserve"> PAGEREF _Toc11937633 \h </w:instrText>
      </w:r>
      <w:r>
        <w:fldChar w:fldCharType="separate"/>
      </w:r>
      <w:r w:rsidR="00562255">
        <w:t>362</w:t>
      </w:r>
      <w:r>
        <w:fldChar w:fldCharType="end"/>
      </w:r>
    </w:p>
    <w:p w:rsidR="00F4654E" w:rsidRDefault="00F4654E">
      <w:pPr>
        <w:pStyle w:val="10"/>
        <w:rPr>
          <w:spacing w:val="0"/>
        </w:rPr>
      </w:pPr>
      <w:r>
        <w:rPr>
          <w:spacing w:val="0"/>
        </w:rPr>
        <w:lastRenderedPageBreak/>
        <w:t xml:space="preserve">Способ определения жизнеспособности микобактерий по </w:t>
      </w:r>
      <w:r>
        <w:rPr>
          <w:noProof w:val="0"/>
          <w:spacing w:val="0"/>
        </w:rPr>
        <w:br/>
      </w:r>
      <w:r>
        <w:rPr>
          <w:spacing w:val="0"/>
        </w:rPr>
        <w:t>цитохимическим тестам</w:t>
      </w:r>
    </w:p>
    <w:p w:rsidR="00F4654E" w:rsidRDefault="00F4654E" w:rsidP="00562255">
      <w:pPr>
        <w:pStyle w:val="20"/>
      </w:pPr>
      <w:r>
        <w:t>Куликов К.В., Жмуров Н.Г., Субботина С.Г.</w:t>
      </w:r>
      <w:r>
        <w:tab/>
      </w:r>
      <w:r>
        <w:fldChar w:fldCharType="begin"/>
      </w:r>
      <w:r>
        <w:instrText xml:space="preserve"> PAGEREF _Toc11937635 \h </w:instrText>
      </w:r>
      <w:r>
        <w:fldChar w:fldCharType="separate"/>
      </w:r>
      <w:r w:rsidR="00562255">
        <w:t>364</w:t>
      </w:r>
      <w:r>
        <w:fldChar w:fldCharType="end"/>
      </w:r>
    </w:p>
    <w:p w:rsidR="00F4654E" w:rsidRDefault="00F4654E">
      <w:pPr>
        <w:pStyle w:val="10"/>
        <w:rPr>
          <w:spacing w:val="0"/>
        </w:rPr>
      </w:pPr>
      <w:r>
        <w:rPr>
          <w:spacing w:val="0"/>
        </w:rPr>
        <w:t>ИММУННЫЙ СТАТУС ЛАБОРАТОРНЫХ ЖИВОТНЫХ</w:t>
      </w:r>
    </w:p>
    <w:p w:rsidR="00F4654E" w:rsidRDefault="00F4654E" w:rsidP="00562255">
      <w:pPr>
        <w:pStyle w:val="20"/>
      </w:pPr>
      <w:r>
        <w:t>Ламихов Б. Ю., Караблин П.М., Лумельская И. В.,Демидова О. М.,</w:t>
      </w:r>
      <w:r>
        <w:rPr>
          <w:noProof w:val="0"/>
        </w:rPr>
        <w:t xml:space="preserve"> </w:t>
      </w:r>
      <w:r>
        <w:rPr>
          <w:noProof w:val="0"/>
        </w:rPr>
        <w:br/>
      </w:r>
      <w:r>
        <w:t>Полянина Т. В.</w:t>
      </w:r>
      <w:r>
        <w:tab/>
      </w:r>
      <w:r>
        <w:fldChar w:fldCharType="begin"/>
      </w:r>
      <w:r>
        <w:instrText xml:space="preserve"> PAGEREF _Toc11937637 \h </w:instrText>
      </w:r>
      <w:r>
        <w:fldChar w:fldCharType="separate"/>
      </w:r>
      <w:r w:rsidR="00562255">
        <w:t>366</w:t>
      </w:r>
      <w:r>
        <w:fldChar w:fldCharType="end"/>
      </w:r>
    </w:p>
    <w:p w:rsidR="00F4654E" w:rsidRDefault="00F4654E">
      <w:pPr>
        <w:pStyle w:val="10"/>
        <w:rPr>
          <w:spacing w:val="0"/>
        </w:rPr>
      </w:pPr>
      <w:r>
        <w:rPr>
          <w:spacing w:val="0"/>
        </w:rPr>
        <w:t>Повышение санитарного качества молока за счет разработки и внедрения комплекса мероприятий по диагностике и лечению мастита коров</w:t>
      </w:r>
    </w:p>
    <w:p w:rsidR="00F4654E" w:rsidRDefault="00F4654E" w:rsidP="00562255">
      <w:pPr>
        <w:pStyle w:val="20"/>
      </w:pPr>
      <w:r>
        <w:t>Ланская Н.В., Родина Н.Д., Литвиненко М.Н.</w:t>
      </w:r>
      <w:r>
        <w:tab/>
      </w:r>
      <w:r>
        <w:fldChar w:fldCharType="begin"/>
      </w:r>
      <w:r>
        <w:instrText xml:space="preserve"> PAGEREF _Toc11937639 \h </w:instrText>
      </w:r>
      <w:r>
        <w:fldChar w:fldCharType="separate"/>
      </w:r>
      <w:r w:rsidR="00562255">
        <w:t>367</w:t>
      </w:r>
      <w:r>
        <w:fldChar w:fldCharType="end"/>
      </w:r>
    </w:p>
    <w:p w:rsidR="00F4654E" w:rsidRDefault="00F4654E">
      <w:pPr>
        <w:pStyle w:val="10"/>
        <w:rPr>
          <w:spacing w:val="0"/>
        </w:rPr>
      </w:pPr>
      <w:r>
        <w:rPr>
          <w:spacing w:val="0"/>
        </w:rPr>
        <w:t>Применение анатоксина Pseudomonas aeruginosa для лечения гнойно-септических заболеваний у собак</w:t>
      </w:r>
    </w:p>
    <w:p w:rsidR="00F4654E" w:rsidRDefault="00F4654E" w:rsidP="00562255">
      <w:pPr>
        <w:pStyle w:val="20"/>
      </w:pPr>
      <w:r>
        <w:t>Лапиков С.Н., Евглевский Ал.А.</w:t>
      </w:r>
      <w:r>
        <w:tab/>
      </w:r>
      <w:r>
        <w:fldChar w:fldCharType="begin"/>
      </w:r>
      <w:r>
        <w:instrText xml:space="preserve"> PAGEREF _Toc11937641 \h </w:instrText>
      </w:r>
      <w:r>
        <w:fldChar w:fldCharType="separate"/>
      </w:r>
      <w:r w:rsidR="00562255">
        <w:t>370</w:t>
      </w:r>
      <w:r>
        <w:fldChar w:fldCharType="end"/>
      </w:r>
    </w:p>
    <w:p w:rsidR="00F4654E" w:rsidRDefault="00F4654E">
      <w:pPr>
        <w:pStyle w:val="10"/>
        <w:rPr>
          <w:spacing w:val="0"/>
        </w:rPr>
      </w:pPr>
      <w:r>
        <w:rPr>
          <w:spacing w:val="0"/>
        </w:rPr>
        <w:t>Конъюнктивокератит крупного рогатого скота: характерные особенности течения инфекционного процесса у лабораторных животных</w:t>
      </w:r>
    </w:p>
    <w:p w:rsidR="00F4654E" w:rsidRDefault="00F4654E" w:rsidP="00562255">
      <w:pPr>
        <w:pStyle w:val="20"/>
      </w:pPr>
      <w:r>
        <w:t>Ласкина</w:t>
      </w:r>
      <w:r>
        <w:rPr>
          <w:vertAlign w:val="superscript"/>
        </w:rPr>
        <w:t xml:space="preserve"> </w:t>
      </w:r>
      <w:r>
        <w:t xml:space="preserve">О. М., Гусев В. В., Черванев В.А. </w:t>
      </w:r>
      <w:r>
        <w:tab/>
      </w:r>
      <w:r>
        <w:fldChar w:fldCharType="begin"/>
      </w:r>
      <w:r>
        <w:instrText xml:space="preserve"> PAGEREF _Toc11937643 \h </w:instrText>
      </w:r>
      <w:r>
        <w:fldChar w:fldCharType="separate"/>
      </w:r>
      <w:r w:rsidR="00562255">
        <w:t>371</w:t>
      </w:r>
      <w:r>
        <w:fldChar w:fldCharType="end"/>
      </w:r>
    </w:p>
    <w:p w:rsidR="00F4654E" w:rsidRDefault="00F4654E">
      <w:pPr>
        <w:pStyle w:val="10"/>
        <w:rPr>
          <w:spacing w:val="0"/>
        </w:rPr>
      </w:pPr>
      <w:r>
        <w:rPr>
          <w:spacing w:val="0"/>
        </w:rPr>
        <w:t>Иммуногенная активность жидкой антирабической вакцины</w:t>
      </w:r>
    </w:p>
    <w:p w:rsidR="00F4654E" w:rsidRDefault="00F4654E" w:rsidP="00562255">
      <w:pPr>
        <w:pStyle w:val="20"/>
      </w:pPr>
      <w:r>
        <w:t>Лезова Т.Н., Михалишин В.В., Михалишин Д.В.</w:t>
      </w:r>
      <w:r>
        <w:tab/>
      </w:r>
      <w:r>
        <w:fldChar w:fldCharType="begin"/>
      </w:r>
      <w:r>
        <w:instrText xml:space="preserve"> PAGEREF _Toc11937645 \h </w:instrText>
      </w:r>
      <w:r>
        <w:fldChar w:fldCharType="separate"/>
      </w:r>
      <w:r w:rsidR="00562255">
        <w:t>373</w:t>
      </w:r>
      <w:r>
        <w:fldChar w:fldCharType="end"/>
      </w:r>
    </w:p>
    <w:p w:rsidR="00F4654E" w:rsidRDefault="00F4654E">
      <w:pPr>
        <w:pStyle w:val="10"/>
        <w:rPr>
          <w:spacing w:val="0"/>
        </w:rPr>
      </w:pPr>
      <w:r>
        <w:rPr>
          <w:spacing w:val="0"/>
        </w:rPr>
        <w:t xml:space="preserve">МОРФОЛОГИЯ ТОНКОГО ОТДЕЛА КИШЕЧНИКА ПРИ ЭКСПЕРИМЕНТАЛЬНОМ  </w:t>
      </w:r>
      <w:r>
        <w:rPr>
          <w:noProof w:val="0"/>
          <w:spacing w:val="0"/>
        </w:rPr>
        <w:br/>
      </w:r>
      <w:r>
        <w:rPr>
          <w:spacing w:val="0"/>
        </w:rPr>
        <w:t>ИЕРСИНИОЗЕ</w:t>
      </w:r>
    </w:p>
    <w:p w:rsidR="00F4654E" w:rsidRDefault="00F4654E" w:rsidP="00562255">
      <w:pPr>
        <w:pStyle w:val="20"/>
      </w:pPr>
      <w:r>
        <w:t>Ленченко Е.М.</w:t>
      </w:r>
      <w:r>
        <w:tab/>
      </w:r>
      <w:r>
        <w:fldChar w:fldCharType="begin"/>
      </w:r>
      <w:r>
        <w:instrText xml:space="preserve"> PAGEREF _Toc11937647 \h </w:instrText>
      </w:r>
      <w:r>
        <w:fldChar w:fldCharType="separate"/>
      </w:r>
      <w:r w:rsidR="00562255">
        <w:t>374</w:t>
      </w:r>
      <w:r>
        <w:fldChar w:fldCharType="end"/>
      </w:r>
    </w:p>
    <w:p w:rsidR="00F4654E" w:rsidRDefault="00F4654E">
      <w:pPr>
        <w:pStyle w:val="10"/>
        <w:rPr>
          <w:spacing w:val="0"/>
        </w:rPr>
      </w:pPr>
      <w:r>
        <w:rPr>
          <w:spacing w:val="0"/>
        </w:rPr>
        <w:t>МЕТОДИЧЕСКИЙ ПОДХОД К ПРОФИЛАКТИКЕ ОКИСЛИТЕЛЬНОГО СТРЕССА</w:t>
      </w:r>
    </w:p>
    <w:p w:rsidR="00F4654E" w:rsidRDefault="00F4654E" w:rsidP="00562255">
      <w:pPr>
        <w:pStyle w:val="20"/>
      </w:pPr>
      <w:r>
        <w:t>Леонтьев Л.Б.</w:t>
      </w:r>
      <w:r>
        <w:tab/>
      </w:r>
      <w:r>
        <w:fldChar w:fldCharType="begin"/>
      </w:r>
      <w:r>
        <w:instrText xml:space="preserve"> PAGEREF _Toc11937649 \h </w:instrText>
      </w:r>
      <w:r>
        <w:fldChar w:fldCharType="separate"/>
      </w:r>
      <w:r w:rsidR="00562255">
        <w:t>377</w:t>
      </w:r>
      <w:r>
        <w:fldChar w:fldCharType="end"/>
      </w:r>
    </w:p>
    <w:p w:rsidR="00F4654E" w:rsidRDefault="00F4654E">
      <w:pPr>
        <w:pStyle w:val="10"/>
        <w:rPr>
          <w:spacing w:val="0"/>
        </w:rPr>
      </w:pPr>
      <w:r>
        <w:rPr>
          <w:spacing w:val="0"/>
        </w:rPr>
        <w:t xml:space="preserve">Эффективность бактериоскопического метода  для индикации </w:t>
      </w:r>
      <w:r>
        <w:rPr>
          <w:noProof w:val="0"/>
          <w:spacing w:val="0"/>
        </w:rPr>
        <w:br/>
      </w:r>
      <w:r>
        <w:rPr>
          <w:spacing w:val="0"/>
        </w:rPr>
        <w:t>микобактерий в материалах  с животноводческих ферм</w:t>
      </w:r>
    </w:p>
    <w:p w:rsidR="00F4654E" w:rsidRDefault="00F4654E" w:rsidP="00562255">
      <w:pPr>
        <w:pStyle w:val="20"/>
      </w:pPr>
      <w:r>
        <w:t>Ливенцева И.В., Субботина С.Г., Куликов К.В., Жмуров Н.Г.</w:t>
      </w:r>
      <w:r>
        <w:tab/>
      </w:r>
      <w:r>
        <w:fldChar w:fldCharType="begin"/>
      </w:r>
      <w:r>
        <w:instrText xml:space="preserve"> PAGEREF _Toc11937651 \h </w:instrText>
      </w:r>
      <w:r>
        <w:fldChar w:fldCharType="separate"/>
      </w:r>
      <w:r w:rsidR="00562255">
        <w:t>378</w:t>
      </w:r>
      <w:r>
        <w:fldChar w:fldCharType="end"/>
      </w:r>
    </w:p>
    <w:p w:rsidR="00F4654E" w:rsidRDefault="00F4654E">
      <w:pPr>
        <w:pStyle w:val="10"/>
        <w:rPr>
          <w:spacing w:val="0"/>
        </w:rPr>
      </w:pPr>
      <w:r>
        <w:rPr>
          <w:spacing w:val="0"/>
        </w:rPr>
        <w:t>ПРИМЕНЕНИЕ ПРЕПАРАТА «ПЛАЦЕНТА АКТИВНОЕ НАЧАЛО» ДЛЯ ПРОФИЛАКТИКИ ПОСЛЕРОДОВОЙ ПАТОЛОГИИ У ВЫСОКОПРОДУКТИВНЫХ КОРОВ</w:t>
      </w:r>
    </w:p>
    <w:p w:rsidR="00F4654E" w:rsidRDefault="00F4654E" w:rsidP="00562255">
      <w:pPr>
        <w:pStyle w:val="20"/>
      </w:pPr>
      <w:r>
        <w:t>Лободин К.А.</w:t>
      </w:r>
      <w:r>
        <w:tab/>
      </w:r>
      <w:r>
        <w:fldChar w:fldCharType="begin"/>
      </w:r>
      <w:r>
        <w:instrText xml:space="preserve"> PAGEREF _Toc11937653 \h </w:instrText>
      </w:r>
      <w:r>
        <w:fldChar w:fldCharType="separate"/>
      </w:r>
      <w:r w:rsidR="00562255">
        <w:t>381</w:t>
      </w:r>
      <w:r>
        <w:fldChar w:fldCharType="end"/>
      </w:r>
    </w:p>
    <w:p w:rsidR="00F4654E" w:rsidRDefault="00F4654E">
      <w:pPr>
        <w:pStyle w:val="10"/>
        <w:rPr>
          <w:spacing w:val="0"/>
        </w:rPr>
      </w:pPr>
      <w:r>
        <w:rPr>
          <w:spacing w:val="0"/>
        </w:rPr>
        <w:t>ИММУНОСТИМУЛЯТОРЫ В КОМПЛЕКСНОЙ ТЕРАПИИ ЖЕЛУДОЧНО-КИШЕЧНЫХ ЗАБОЛЕВАНИЙ У ТЕЛЯТ</w:t>
      </w:r>
    </w:p>
    <w:p w:rsidR="00F4654E" w:rsidRDefault="00F4654E" w:rsidP="00562255">
      <w:pPr>
        <w:pStyle w:val="20"/>
      </w:pPr>
      <w:r>
        <w:t>Липатов А.М.</w:t>
      </w:r>
      <w:r>
        <w:tab/>
      </w:r>
      <w:r>
        <w:fldChar w:fldCharType="begin"/>
      </w:r>
      <w:r>
        <w:instrText xml:space="preserve"> PAGEREF _Toc11937655 \h </w:instrText>
      </w:r>
      <w:r>
        <w:fldChar w:fldCharType="separate"/>
      </w:r>
      <w:r w:rsidR="00562255">
        <w:t>382</w:t>
      </w:r>
      <w:r>
        <w:fldChar w:fldCharType="end"/>
      </w:r>
    </w:p>
    <w:p w:rsidR="00F4654E" w:rsidRDefault="00F4654E">
      <w:pPr>
        <w:pStyle w:val="10"/>
        <w:rPr>
          <w:spacing w:val="0"/>
        </w:rPr>
      </w:pPr>
      <w:r>
        <w:rPr>
          <w:spacing w:val="0"/>
        </w:rPr>
        <w:t xml:space="preserve">Иммунодефициты овец на фоне смешанной инвазии трихостронгилидами </w:t>
      </w:r>
      <w:r>
        <w:rPr>
          <w:noProof w:val="0"/>
          <w:spacing w:val="0"/>
        </w:rPr>
        <w:br/>
      </w:r>
      <w:r>
        <w:rPr>
          <w:spacing w:val="0"/>
        </w:rPr>
        <w:t>и эймериями</w:t>
      </w:r>
    </w:p>
    <w:p w:rsidR="00F4654E" w:rsidRDefault="00F4654E" w:rsidP="00562255">
      <w:pPr>
        <w:pStyle w:val="20"/>
      </w:pPr>
      <w:r>
        <w:t>Мазур О.Е., Антухаев И.К., Шабаев В. А.</w:t>
      </w:r>
      <w:r>
        <w:tab/>
      </w:r>
      <w:r>
        <w:fldChar w:fldCharType="begin"/>
      </w:r>
      <w:r>
        <w:instrText xml:space="preserve"> PAGEREF _Toc11937657 \h </w:instrText>
      </w:r>
      <w:r>
        <w:fldChar w:fldCharType="separate"/>
      </w:r>
      <w:r w:rsidR="00562255">
        <w:t>384</w:t>
      </w:r>
      <w:r>
        <w:fldChar w:fldCharType="end"/>
      </w:r>
    </w:p>
    <w:p w:rsidR="00F4654E" w:rsidRDefault="00F4654E">
      <w:pPr>
        <w:pStyle w:val="10"/>
        <w:rPr>
          <w:spacing w:val="0"/>
        </w:rPr>
      </w:pPr>
      <w:r>
        <w:rPr>
          <w:spacing w:val="0"/>
        </w:rPr>
        <w:t>Влияние суиферровита на гематологические показатели крови больных анемией телят</w:t>
      </w:r>
    </w:p>
    <w:p w:rsidR="00F4654E" w:rsidRDefault="00F4654E" w:rsidP="00562255">
      <w:pPr>
        <w:pStyle w:val="20"/>
      </w:pPr>
      <w:r>
        <w:t xml:space="preserve">Макринова Н.Ю., Шушлебин В.И. </w:t>
      </w:r>
      <w:r>
        <w:tab/>
      </w:r>
      <w:r>
        <w:fldChar w:fldCharType="begin"/>
      </w:r>
      <w:r>
        <w:instrText xml:space="preserve"> PAGEREF _Toc11937659 \h </w:instrText>
      </w:r>
      <w:r>
        <w:fldChar w:fldCharType="separate"/>
      </w:r>
      <w:r w:rsidR="00562255">
        <w:t>386</w:t>
      </w:r>
      <w:r>
        <w:fldChar w:fldCharType="end"/>
      </w:r>
    </w:p>
    <w:p w:rsidR="00F4654E" w:rsidRDefault="00F4654E">
      <w:pPr>
        <w:pStyle w:val="10"/>
        <w:rPr>
          <w:spacing w:val="0"/>
        </w:rPr>
      </w:pPr>
      <w:r>
        <w:rPr>
          <w:spacing w:val="0"/>
        </w:rPr>
        <w:t xml:space="preserve">ВОЗРАСТНАЯ ДИНАМИКА НАКОПЛЕНИЯ ТОКСИКАНТОВ В ОРГАНИЗМЕ ЖИВОТНЫХ </w:t>
      </w:r>
      <w:r>
        <w:rPr>
          <w:noProof w:val="0"/>
          <w:spacing w:val="0"/>
        </w:rPr>
        <w:br/>
      </w:r>
      <w:r>
        <w:rPr>
          <w:spacing w:val="0"/>
        </w:rPr>
        <w:t>НА ЭКОЛОГИЧЕСКИ СЛОЖНЫХ ТЕРРИТОРИЯХ СРЕДНЕГО УРАЛА</w:t>
      </w:r>
    </w:p>
    <w:p w:rsidR="00F4654E" w:rsidRDefault="00F4654E" w:rsidP="00562255">
      <w:pPr>
        <w:pStyle w:val="20"/>
      </w:pPr>
      <w:r>
        <w:t>Малыгина А.А., Аристархова Л.Н., Татарчук А.Т., Виноградова О.В.</w:t>
      </w:r>
      <w:r>
        <w:tab/>
      </w:r>
      <w:r>
        <w:fldChar w:fldCharType="begin"/>
      </w:r>
      <w:r>
        <w:instrText xml:space="preserve"> PAGEREF _Toc11937661 \h </w:instrText>
      </w:r>
      <w:r>
        <w:fldChar w:fldCharType="separate"/>
      </w:r>
      <w:r w:rsidR="00562255">
        <w:t>387</w:t>
      </w:r>
      <w:r>
        <w:fldChar w:fldCharType="end"/>
      </w:r>
    </w:p>
    <w:p w:rsidR="00F4654E" w:rsidRDefault="00F4654E">
      <w:pPr>
        <w:pStyle w:val="10"/>
        <w:rPr>
          <w:spacing w:val="0"/>
        </w:rPr>
      </w:pPr>
      <w:r>
        <w:rPr>
          <w:spacing w:val="0"/>
        </w:rPr>
        <w:t xml:space="preserve">ВЛИЯНИЕ ГУМИНОВЫХ ВЕЩЕСТВ НА ФИЗИОЛОГИЧЕСКОЕ СОСТОЯНИЕ И </w:t>
      </w:r>
      <w:r>
        <w:rPr>
          <w:spacing w:val="0"/>
        </w:rPr>
        <w:br/>
        <w:t>ПРОДУКТИВНОСТЬ КРУПНОГО РОГАТОГО СКОТА</w:t>
      </w:r>
    </w:p>
    <w:p w:rsidR="00F4654E" w:rsidRDefault="00F4654E" w:rsidP="00562255">
      <w:pPr>
        <w:pStyle w:val="20"/>
      </w:pPr>
      <w:r>
        <w:t>Малыгина.А.А., Аристархова Л.Н.,</w:t>
      </w:r>
      <w:r>
        <w:rPr>
          <w:noProof w:val="0"/>
        </w:rPr>
        <w:t xml:space="preserve"> </w:t>
      </w:r>
      <w:r>
        <w:t>Верещак Н.А.,Виноградова О.В., Зуев А.А.</w:t>
      </w:r>
      <w:r>
        <w:tab/>
      </w:r>
      <w:r>
        <w:fldChar w:fldCharType="begin"/>
      </w:r>
      <w:r>
        <w:instrText xml:space="preserve"> PAGEREF _Toc11937663 \h </w:instrText>
      </w:r>
      <w:r>
        <w:fldChar w:fldCharType="separate"/>
      </w:r>
      <w:r w:rsidR="00562255">
        <w:t>389</w:t>
      </w:r>
      <w:r>
        <w:fldChar w:fldCharType="end"/>
      </w:r>
    </w:p>
    <w:p w:rsidR="00F4654E" w:rsidRDefault="00F4654E">
      <w:pPr>
        <w:pStyle w:val="10"/>
        <w:rPr>
          <w:spacing w:val="0"/>
        </w:rPr>
      </w:pPr>
      <w:r>
        <w:rPr>
          <w:spacing w:val="0"/>
        </w:rPr>
        <w:t>Физиолого-биохимические основы болезней метаболизма у молодняка крупного рогатого скота  в зоне Прикаспия</w:t>
      </w:r>
    </w:p>
    <w:p w:rsidR="00F4654E" w:rsidRDefault="00F4654E" w:rsidP="00562255">
      <w:pPr>
        <w:pStyle w:val="20"/>
      </w:pPr>
      <w:r>
        <w:t>Мамаев Н.Х., Джамалудинова И.Н., Мурзаева А.Н.</w:t>
      </w:r>
      <w:r>
        <w:tab/>
      </w:r>
      <w:r>
        <w:fldChar w:fldCharType="begin"/>
      </w:r>
      <w:r>
        <w:instrText xml:space="preserve"> PAGEREF _Toc11937665 \h </w:instrText>
      </w:r>
      <w:r>
        <w:fldChar w:fldCharType="separate"/>
      </w:r>
      <w:r w:rsidR="00562255">
        <w:t>391</w:t>
      </w:r>
      <w:r>
        <w:fldChar w:fldCharType="end"/>
      </w:r>
    </w:p>
    <w:p w:rsidR="00F4654E" w:rsidRDefault="00F4654E">
      <w:pPr>
        <w:pStyle w:val="10"/>
        <w:rPr>
          <w:spacing w:val="0"/>
        </w:rPr>
      </w:pPr>
      <w:r>
        <w:rPr>
          <w:spacing w:val="0"/>
        </w:rPr>
        <w:t>ВАКЦИНАЦИЯ ЯГНЯТ ПРОТИВ ЦЕНУРОЗА В ХОЗЯЙСТВАХ МАЛО-ДЕРБЕТОВСКОГО</w:t>
      </w:r>
      <w:r>
        <w:rPr>
          <w:spacing w:val="0"/>
        </w:rPr>
        <w:br/>
        <w:t>РАЙОНА РЕСПУБЛИКИ КАЛМЫКИЯ</w:t>
      </w:r>
    </w:p>
    <w:p w:rsidR="00F4654E" w:rsidRDefault="00F4654E" w:rsidP="00562255">
      <w:pPr>
        <w:pStyle w:val="20"/>
      </w:pPr>
      <w:r>
        <w:t>Манджиев Б.А., Сысоева Н. Ю.,  Верховская Г.Л.</w:t>
      </w:r>
      <w:r>
        <w:tab/>
      </w:r>
      <w:r>
        <w:fldChar w:fldCharType="begin"/>
      </w:r>
      <w:r>
        <w:instrText xml:space="preserve"> PAGEREF _Toc11937667 \h </w:instrText>
      </w:r>
      <w:r>
        <w:fldChar w:fldCharType="separate"/>
      </w:r>
      <w:r w:rsidR="00562255">
        <w:t>392</w:t>
      </w:r>
      <w:r>
        <w:fldChar w:fldCharType="end"/>
      </w:r>
    </w:p>
    <w:p w:rsidR="00F4654E" w:rsidRDefault="00F4654E">
      <w:pPr>
        <w:pStyle w:val="10"/>
        <w:rPr>
          <w:spacing w:val="0"/>
        </w:rPr>
      </w:pPr>
      <w:r>
        <w:rPr>
          <w:spacing w:val="0"/>
        </w:rPr>
        <w:t xml:space="preserve">ЭФФЕКТИВНОСТЬ НОВЫХ ЙОД-СОДЕРЖАЩИХ ПРЕПАРАТОВ ПРИ ЛЕЧЕНИИ </w:t>
      </w:r>
      <w:r>
        <w:rPr>
          <w:noProof w:val="0"/>
          <w:spacing w:val="0"/>
        </w:rPr>
        <w:br/>
      </w:r>
      <w:r>
        <w:rPr>
          <w:spacing w:val="0"/>
        </w:rPr>
        <w:t>ТЕЛЯЗИОЗА КРУПНОГО РОГАТОГО СКОТА</w:t>
      </w:r>
    </w:p>
    <w:p w:rsidR="00F4654E" w:rsidRDefault="00F4654E" w:rsidP="00562255">
      <w:pPr>
        <w:pStyle w:val="20"/>
      </w:pPr>
      <w:r>
        <w:t>Манукало С.А.</w:t>
      </w:r>
      <w:r>
        <w:tab/>
      </w:r>
      <w:r>
        <w:fldChar w:fldCharType="begin"/>
      </w:r>
      <w:r>
        <w:instrText xml:space="preserve"> PAGEREF _Toc11937669 \h </w:instrText>
      </w:r>
      <w:r>
        <w:fldChar w:fldCharType="separate"/>
      </w:r>
      <w:r w:rsidR="00562255">
        <w:t>396</w:t>
      </w:r>
      <w:r>
        <w:fldChar w:fldCharType="end"/>
      </w:r>
    </w:p>
    <w:p w:rsidR="00F4654E" w:rsidRDefault="00F4654E">
      <w:pPr>
        <w:pStyle w:val="10"/>
        <w:rPr>
          <w:spacing w:val="0"/>
        </w:rPr>
      </w:pPr>
      <w:r>
        <w:rPr>
          <w:spacing w:val="0"/>
        </w:rPr>
        <w:t>К ВОПРОСУ ТУБЕРКУЛЁЗА ЖИВОТНЫХ</w:t>
      </w:r>
    </w:p>
    <w:p w:rsidR="00F4654E" w:rsidRDefault="00F4654E" w:rsidP="00562255">
      <w:pPr>
        <w:pStyle w:val="20"/>
      </w:pPr>
      <w:r>
        <w:t>Мамадуллаев Г.Х.</w:t>
      </w:r>
      <w:r>
        <w:tab/>
      </w:r>
      <w:r>
        <w:fldChar w:fldCharType="begin"/>
      </w:r>
      <w:r>
        <w:instrText xml:space="preserve"> PAGEREF _Toc11937671 \h </w:instrText>
      </w:r>
      <w:r>
        <w:fldChar w:fldCharType="separate"/>
      </w:r>
      <w:r w:rsidR="00562255">
        <w:t>396</w:t>
      </w:r>
      <w:r>
        <w:fldChar w:fldCharType="end"/>
      </w:r>
    </w:p>
    <w:p w:rsidR="00F4654E" w:rsidRDefault="00F4654E">
      <w:pPr>
        <w:pStyle w:val="10"/>
        <w:rPr>
          <w:spacing w:val="0"/>
        </w:rPr>
      </w:pPr>
      <w:r>
        <w:rPr>
          <w:spacing w:val="0"/>
        </w:rPr>
        <w:t>РЕСПИРАТОРНЫЙ МИКОПЛАЗМОЗ КУР</w:t>
      </w:r>
    </w:p>
    <w:p w:rsidR="00F4654E" w:rsidRDefault="00F4654E" w:rsidP="00562255">
      <w:pPr>
        <w:pStyle w:val="20"/>
      </w:pPr>
      <w:r>
        <w:t>Мандрусова Т. А., Молев А. И., Великанов В. И., Махова В. И.</w:t>
      </w:r>
      <w:r>
        <w:tab/>
      </w:r>
      <w:r>
        <w:fldChar w:fldCharType="begin"/>
      </w:r>
      <w:r>
        <w:instrText xml:space="preserve"> PAGEREF _Toc11937673 \h </w:instrText>
      </w:r>
      <w:r>
        <w:fldChar w:fldCharType="separate"/>
      </w:r>
      <w:r w:rsidR="00562255">
        <w:t>399</w:t>
      </w:r>
      <w:r>
        <w:fldChar w:fldCharType="end"/>
      </w:r>
    </w:p>
    <w:p w:rsidR="00F4654E" w:rsidRDefault="00F4654E">
      <w:pPr>
        <w:pStyle w:val="10"/>
        <w:rPr>
          <w:spacing w:val="0"/>
        </w:rPr>
      </w:pPr>
      <w:r>
        <w:rPr>
          <w:spacing w:val="0"/>
        </w:rPr>
        <w:lastRenderedPageBreak/>
        <w:t>ТЕРРИТОРИАЛЬНЫЕ РАЗЛИЧИЯ МЕЗЕНХИМАЛЬНОЙ РЕАКЦИИ ПОРТАЛЬНЫХ ТРАКТОВ ПЕЧЕНИ ЧЕЛОВЕКА ПРИ ХРОНИЧЕСКОМ БРОНХИТЕ</w:t>
      </w:r>
    </w:p>
    <w:p w:rsidR="00F4654E" w:rsidRDefault="00F4654E" w:rsidP="00562255">
      <w:pPr>
        <w:pStyle w:val="20"/>
      </w:pPr>
      <w:r>
        <w:t xml:space="preserve">Маркин П.Г., Де-Жорж И.Г., Маслова Т.Н., Шмакова Н.М., </w:t>
      </w:r>
      <w:r>
        <w:rPr>
          <w:noProof w:val="0"/>
        </w:rPr>
        <w:br/>
      </w:r>
      <w:r>
        <w:t xml:space="preserve">Стогов В.А., Толкачев И.С. </w:t>
      </w:r>
      <w:r>
        <w:tab/>
      </w:r>
      <w:r>
        <w:fldChar w:fldCharType="begin"/>
      </w:r>
      <w:r>
        <w:instrText xml:space="preserve"> PAGEREF _Toc11937675 \h </w:instrText>
      </w:r>
      <w:r>
        <w:fldChar w:fldCharType="separate"/>
      </w:r>
      <w:r w:rsidR="00562255">
        <w:t>401</w:t>
      </w:r>
      <w:r>
        <w:fldChar w:fldCharType="end"/>
      </w:r>
    </w:p>
    <w:p w:rsidR="00F4654E" w:rsidRDefault="00F4654E">
      <w:pPr>
        <w:pStyle w:val="10"/>
        <w:rPr>
          <w:spacing w:val="0"/>
        </w:rPr>
      </w:pPr>
      <w:r>
        <w:rPr>
          <w:spacing w:val="0"/>
        </w:rPr>
        <w:t xml:space="preserve">ГЕМАТОЛОГИЧЕСКИЕ ПОКАЗАТЕЛИ У СВИНОМАТОК И ИХ ПЛОДОВ В РАЗЛИЧНЫЕ </w:t>
      </w:r>
      <w:r>
        <w:rPr>
          <w:spacing w:val="0"/>
        </w:rPr>
        <w:br/>
        <w:t>ПЕРИОДЫ СУПОРОСТНОСТИ</w:t>
      </w:r>
    </w:p>
    <w:p w:rsidR="00F4654E" w:rsidRDefault="00F4654E" w:rsidP="00562255">
      <w:pPr>
        <w:pStyle w:val="20"/>
      </w:pPr>
      <w:r>
        <w:t>Мацкевич В.К., Алексин А.М., Шилюк О.А.</w:t>
      </w:r>
      <w:r>
        <w:tab/>
      </w:r>
      <w:r>
        <w:fldChar w:fldCharType="begin"/>
      </w:r>
      <w:r>
        <w:instrText xml:space="preserve"> PAGEREF _Toc11937677 \h </w:instrText>
      </w:r>
      <w:r>
        <w:fldChar w:fldCharType="separate"/>
      </w:r>
      <w:r w:rsidR="00562255">
        <w:t>404</w:t>
      </w:r>
      <w:r>
        <w:fldChar w:fldCharType="end"/>
      </w:r>
    </w:p>
    <w:p w:rsidR="00F4654E" w:rsidRDefault="00F4654E">
      <w:pPr>
        <w:pStyle w:val="10"/>
        <w:rPr>
          <w:spacing w:val="0"/>
        </w:rPr>
      </w:pPr>
      <w:r>
        <w:rPr>
          <w:spacing w:val="0"/>
        </w:rPr>
        <w:t>Укрепление неспецифического иммунитета организма телят пикумином</w:t>
      </w:r>
    </w:p>
    <w:p w:rsidR="00F4654E" w:rsidRDefault="00F4654E" w:rsidP="00562255">
      <w:pPr>
        <w:pStyle w:val="20"/>
      </w:pPr>
      <w:r>
        <w:t>Медведский В.А., Железко А.Ф., Щебеток И.В.</w:t>
      </w:r>
      <w:r>
        <w:tab/>
      </w:r>
      <w:r>
        <w:fldChar w:fldCharType="begin"/>
      </w:r>
      <w:r>
        <w:instrText xml:space="preserve"> PAGEREF _Toc11937679 \h </w:instrText>
      </w:r>
      <w:r>
        <w:fldChar w:fldCharType="separate"/>
      </w:r>
      <w:r w:rsidR="00562255">
        <w:t>406</w:t>
      </w:r>
      <w:r>
        <w:fldChar w:fldCharType="end"/>
      </w:r>
    </w:p>
    <w:p w:rsidR="00F4654E" w:rsidRDefault="00F4654E">
      <w:pPr>
        <w:pStyle w:val="10"/>
        <w:rPr>
          <w:spacing w:val="0"/>
        </w:rPr>
      </w:pPr>
      <w:r>
        <w:rPr>
          <w:spacing w:val="0"/>
        </w:rPr>
        <w:t xml:space="preserve">РАСТЕНИЯ РОДА  PAPAVER L. – ИСТОЧНИКИ ЦЕННЫХ ИЗОХИНОЛИНОВЫХ </w:t>
      </w:r>
      <w:r>
        <w:rPr>
          <w:noProof w:val="0"/>
          <w:spacing w:val="0"/>
        </w:rPr>
        <w:br/>
      </w:r>
      <w:r>
        <w:rPr>
          <w:spacing w:val="0"/>
        </w:rPr>
        <w:t>АЛКАЛОИДОВ</w:t>
      </w:r>
    </w:p>
    <w:p w:rsidR="00F4654E" w:rsidRDefault="00F4654E" w:rsidP="00562255">
      <w:pPr>
        <w:pStyle w:val="20"/>
      </w:pPr>
      <w:r>
        <w:t>Мелик-Гусейнов В.В.</w:t>
      </w:r>
      <w:r>
        <w:tab/>
      </w:r>
      <w:r>
        <w:fldChar w:fldCharType="begin"/>
      </w:r>
      <w:r>
        <w:instrText xml:space="preserve"> PAGEREF _Toc11937681 \h </w:instrText>
      </w:r>
      <w:r>
        <w:fldChar w:fldCharType="separate"/>
      </w:r>
      <w:r w:rsidR="00562255">
        <w:t>407</w:t>
      </w:r>
      <w:r>
        <w:fldChar w:fldCharType="end"/>
      </w:r>
    </w:p>
    <w:p w:rsidR="00F4654E" w:rsidRDefault="00F4654E">
      <w:pPr>
        <w:pStyle w:val="10"/>
        <w:rPr>
          <w:spacing w:val="0"/>
        </w:rPr>
      </w:pPr>
      <w:r>
        <w:rPr>
          <w:spacing w:val="0"/>
        </w:rPr>
        <w:t>ЭСПАРЦЕТ ДОНСКОЙ – ИСТОЧНИК БИОЛОГИЧЕСКИ АКТИВНЫХ СОЕДИНЕНИЙ</w:t>
      </w:r>
    </w:p>
    <w:p w:rsidR="00F4654E" w:rsidRDefault="00F4654E" w:rsidP="00562255">
      <w:pPr>
        <w:pStyle w:val="20"/>
      </w:pPr>
      <w:r>
        <w:t>Мелик-Гусейнов В.В., Никулин А.В.</w:t>
      </w:r>
      <w:r>
        <w:tab/>
      </w:r>
      <w:r>
        <w:fldChar w:fldCharType="begin"/>
      </w:r>
      <w:r>
        <w:instrText xml:space="preserve"> PAGEREF _Toc11937683 \h </w:instrText>
      </w:r>
      <w:r>
        <w:fldChar w:fldCharType="separate"/>
      </w:r>
      <w:r w:rsidR="00562255">
        <w:t>409</w:t>
      </w:r>
      <w:r>
        <w:fldChar w:fldCharType="end"/>
      </w:r>
    </w:p>
    <w:p w:rsidR="00F4654E" w:rsidRDefault="00F4654E">
      <w:pPr>
        <w:pStyle w:val="10"/>
        <w:rPr>
          <w:spacing w:val="0"/>
        </w:rPr>
      </w:pPr>
      <w:r>
        <w:rPr>
          <w:spacing w:val="0"/>
        </w:rPr>
        <w:t xml:space="preserve">БИОЛОГИЧЕСКИ АКТИВНЫЕ СОЕДИНЕНИЯ СОФОРЫ ЯПОНСКОЙ </w:t>
      </w:r>
      <w:r>
        <w:rPr>
          <w:noProof w:val="0"/>
          <w:spacing w:val="0"/>
        </w:rPr>
        <w:br/>
        <w:t>(</w:t>
      </w:r>
      <w:r>
        <w:rPr>
          <w:spacing w:val="0"/>
        </w:rPr>
        <w:t>SOPHORA JAPONICA L.</w:t>
      </w:r>
      <w:r>
        <w:rPr>
          <w:noProof w:val="0"/>
          <w:spacing w:val="0"/>
        </w:rPr>
        <w:t>)</w:t>
      </w:r>
      <w:r>
        <w:rPr>
          <w:spacing w:val="0"/>
        </w:rPr>
        <w:t>, ИХ ИСПОЛЬЗОВАНИЕ, СТАНДАРТИЗАЦИЯ СЫРЬЯ</w:t>
      </w:r>
    </w:p>
    <w:p w:rsidR="00F4654E" w:rsidRDefault="00F4654E" w:rsidP="00562255">
      <w:pPr>
        <w:pStyle w:val="20"/>
      </w:pPr>
      <w:r>
        <w:t>Мелик-Гусейнов В.В.</w:t>
      </w:r>
      <w:r>
        <w:tab/>
      </w:r>
      <w:r>
        <w:fldChar w:fldCharType="begin"/>
      </w:r>
      <w:r>
        <w:instrText xml:space="preserve"> PAGEREF _Toc11937685 \h </w:instrText>
      </w:r>
      <w:r>
        <w:fldChar w:fldCharType="separate"/>
      </w:r>
      <w:r w:rsidR="00562255">
        <w:t>411</w:t>
      </w:r>
      <w:r>
        <w:fldChar w:fldCharType="end"/>
      </w:r>
    </w:p>
    <w:p w:rsidR="00F4654E" w:rsidRDefault="00F4654E">
      <w:pPr>
        <w:pStyle w:val="10"/>
        <w:rPr>
          <w:spacing w:val="0"/>
        </w:rPr>
      </w:pPr>
      <w:r>
        <w:rPr>
          <w:spacing w:val="0"/>
        </w:rPr>
        <w:t>ИССЛЕДОВАНИЕ ПРОИЗВОДНЫХ АЛКАЛОИДА ГЛАУЦИНА</w:t>
      </w:r>
    </w:p>
    <w:p w:rsidR="00F4654E" w:rsidRDefault="00F4654E" w:rsidP="00562255">
      <w:pPr>
        <w:pStyle w:val="20"/>
      </w:pPr>
      <w:r>
        <w:t>Мелик-Гусейнов В.В.</w:t>
      </w:r>
      <w:r>
        <w:tab/>
      </w:r>
      <w:r>
        <w:fldChar w:fldCharType="begin"/>
      </w:r>
      <w:r>
        <w:instrText xml:space="preserve"> PAGEREF _Toc11937687 \h </w:instrText>
      </w:r>
      <w:r>
        <w:fldChar w:fldCharType="separate"/>
      </w:r>
      <w:r w:rsidR="00562255">
        <w:t>413</w:t>
      </w:r>
      <w:r>
        <w:fldChar w:fldCharType="end"/>
      </w:r>
    </w:p>
    <w:p w:rsidR="00F4654E" w:rsidRDefault="00F4654E">
      <w:pPr>
        <w:pStyle w:val="10"/>
        <w:rPr>
          <w:spacing w:val="0"/>
        </w:rPr>
      </w:pPr>
      <w:r>
        <w:rPr>
          <w:spacing w:val="0"/>
        </w:rPr>
        <w:t>ИММУНОБИОЛОГИЧЕСКИЙ СТАТУС ЦЫПЛЯТ В НОРМЕ И ПРИ ИСПОЛЬЗОВАНИИ ПОЛИРИБОНАТА И ФОСПРЕНИЛА</w:t>
      </w:r>
    </w:p>
    <w:p w:rsidR="00F4654E" w:rsidRDefault="00F4654E" w:rsidP="00562255">
      <w:pPr>
        <w:pStyle w:val="20"/>
      </w:pPr>
      <w:r>
        <w:t>Мельникова Н.В.</w:t>
      </w:r>
      <w:r>
        <w:tab/>
      </w:r>
      <w:r>
        <w:fldChar w:fldCharType="begin"/>
      </w:r>
      <w:r>
        <w:instrText xml:space="preserve"> PAGEREF _Toc11937689 \h </w:instrText>
      </w:r>
      <w:r>
        <w:fldChar w:fldCharType="separate"/>
      </w:r>
      <w:r w:rsidR="00562255">
        <w:t>415</w:t>
      </w:r>
      <w:r>
        <w:fldChar w:fldCharType="end"/>
      </w:r>
    </w:p>
    <w:p w:rsidR="00F4654E" w:rsidRDefault="00F4654E">
      <w:pPr>
        <w:pStyle w:val="10"/>
        <w:rPr>
          <w:spacing w:val="0"/>
        </w:rPr>
      </w:pPr>
      <w:r>
        <w:rPr>
          <w:spacing w:val="0"/>
        </w:rPr>
        <w:t xml:space="preserve">Изучение ДИнамики интенсивности процессов ПОЛ и состояния </w:t>
      </w:r>
      <w:r>
        <w:rPr>
          <w:noProof w:val="0"/>
          <w:spacing w:val="0"/>
        </w:rPr>
        <w:br/>
      </w:r>
      <w:r>
        <w:rPr>
          <w:spacing w:val="0"/>
        </w:rPr>
        <w:t xml:space="preserve">системы АОЗ организма свиноматок в зависимости от сроков </w:t>
      </w:r>
      <w:r>
        <w:rPr>
          <w:noProof w:val="0"/>
          <w:spacing w:val="0"/>
        </w:rPr>
        <w:br/>
      </w:r>
      <w:r>
        <w:rPr>
          <w:spacing w:val="0"/>
        </w:rPr>
        <w:t>супоросности с целью возможности прогнозирования развития послеродовой патологии</w:t>
      </w:r>
    </w:p>
    <w:p w:rsidR="00F4654E" w:rsidRDefault="00F4654E" w:rsidP="00562255">
      <w:pPr>
        <w:pStyle w:val="20"/>
      </w:pPr>
      <w:r>
        <w:t>Мешков А.В.</w:t>
      </w:r>
      <w:r>
        <w:tab/>
      </w:r>
      <w:r>
        <w:fldChar w:fldCharType="begin"/>
      </w:r>
      <w:r>
        <w:instrText xml:space="preserve"> PAGEREF _Toc11937691 \h </w:instrText>
      </w:r>
      <w:r>
        <w:fldChar w:fldCharType="separate"/>
      </w:r>
      <w:r w:rsidR="00562255">
        <w:t>417</w:t>
      </w:r>
      <w:r>
        <w:fldChar w:fldCharType="end"/>
      </w:r>
    </w:p>
    <w:p w:rsidR="00F4654E" w:rsidRDefault="00F4654E">
      <w:pPr>
        <w:pStyle w:val="10"/>
        <w:rPr>
          <w:spacing w:val="0"/>
        </w:rPr>
      </w:pPr>
      <w:r>
        <w:rPr>
          <w:spacing w:val="0"/>
        </w:rPr>
        <w:t>Энтеросорбентная терапия микотоксикозов телят</w:t>
      </w:r>
    </w:p>
    <w:p w:rsidR="00F4654E" w:rsidRDefault="00F4654E" w:rsidP="00562255">
      <w:pPr>
        <w:pStyle w:val="20"/>
      </w:pPr>
      <w:r>
        <w:t>Мищенко В.А., Павлов Д.К, Гетманский О.И., Лисицын В.В.</w:t>
      </w:r>
      <w:r>
        <w:tab/>
      </w:r>
      <w:r>
        <w:fldChar w:fldCharType="begin"/>
      </w:r>
      <w:r>
        <w:instrText xml:space="preserve"> PAGEREF _Toc11937693 \h </w:instrText>
      </w:r>
      <w:r>
        <w:fldChar w:fldCharType="separate"/>
      </w:r>
      <w:r w:rsidR="00562255">
        <w:t>418</w:t>
      </w:r>
      <w:r>
        <w:fldChar w:fldCharType="end"/>
      </w:r>
    </w:p>
    <w:p w:rsidR="00F4654E" w:rsidRDefault="00F4654E">
      <w:pPr>
        <w:pStyle w:val="10"/>
        <w:rPr>
          <w:spacing w:val="0"/>
        </w:rPr>
      </w:pPr>
      <w:r>
        <w:rPr>
          <w:spacing w:val="0"/>
        </w:rPr>
        <w:t>Антигенная активность вакцины против ротавирусной инфекции КРС</w:t>
      </w:r>
    </w:p>
    <w:p w:rsidR="00F4654E" w:rsidRDefault="00F4654E" w:rsidP="00562255">
      <w:pPr>
        <w:pStyle w:val="20"/>
      </w:pPr>
      <w:r>
        <w:t>Мищенко В.А., Жбанова Т.В., Никешина Т.Б.</w:t>
      </w:r>
      <w:r>
        <w:tab/>
      </w:r>
      <w:r>
        <w:fldChar w:fldCharType="begin"/>
      </w:r>
      <w:r>
        <w:instrText xml:space="preserve"> PAGEREF _Toc11937695 \h </w:instrText>
      </w:r>
      <w:r>
        <w:fldChar w:fldCharType="separate"/>
      </w:r>
      <w:r w:rsidR="00562255">
        <w:t>421</w:t>
      </w:r>
      <w:r>
        <w:fldChar w:fldCharType="end"/>
      </w:r>
    </w:p>
    <w:p w:rsidR="00F4654E" w:rsidRDefault="00F4654E">
      <w:pPr>
        <w:pStyle w:val="10"/>
        <w:rPr>
          <w:spacing w:val="0"/>
        </w:rPr>
      </w:pPr>
      <w:r>
        <w:rPr>
          <w:spacing w:val="0"/>
        </w:rPr>
        <w:t>АНОПРЕПУЦИОПЛАСТИКА – СПОСОБ ПОДГОТОВКИ САМЦОВ ПРОБНИКОВ В НУТРИЕВОДСТВЕ</w:t>
      </w:r>
    </w:p>
    <w:p w:rsidR="00F4654E" w:rsidRDefault="00F4654E" w:rsidP="00562255">
      <w:pPr>
        <w:pStyle w:val="20"/>
      </w:pPr>
      <w:r>
        <w:t>Миронова Л.П., Войтенко Л.Г.</w:t>
      </w:r>
      <w:r>
        <w:tab/>
      </w:r>
      <w:r>
        <w:fldChar w:fldCharType="begin"/>
      </w:r>
      <w:r>
        <w:instrText xml:space="preserve"> PAGEREF _Toc11937697 \h </w:instrText>
      </w:r>
      <w:r>
        <w:fldChar w:fldCharType="separate"/>
      </w:r>
      <w:r w:rsidR="00562255">
        <w:t>423</w:t>
      </w:r>
      <w:r>
        <w:fldChar w:fldCharType="end"/>
      </w:r>
    </w:p>
    <w:p w:rsidR="00F4654E" w:rsidRDefault="00F4654E">
      <w:pPr>
        <w:pStyle w:val="10"/>
        <w:rPr>
          <w:spacing w:val="0"/>
        </w:rPr>
      </w:pPr>
      <w:r>
        <w:rPr>
          <w:spacing w:val="0"/>
        </w:rPr>
        <w:t>ВЛИЯНИЕ САМЦОВ НА РАЗВИТИЕ РЕПРОДУКТИВНОЙ СИСТЕМЫ САМОК НУТРИЙ</w:t>
      </w:r>
    </w:p>
    <w:p w:rsidR="00F4654E" w:rsidRDefault="00F4654E" w:rsidP="00562255">
      <w:pPr>
        <w:pStyle w:val="20"/>
      </w:pPr>
      <w:r>
        <w:t>Миронова Л.П., Войтенко Л.Г., Ретинский Д.А.</w:t>
      </w:r>
      <w:r>
        <w:tab/>
      </w:r>
      <w:r>
        <w:fldChar w:fldCharType="begin"/>
      </w:r>
      <w:r>
        <w:instrText xml:space="preserve"> PAGEREF _Toc11937699 \h </w:instrText>
      </w:r>
      <w:r>
        <w:fldChar w:fldCharType="separate"/>
      </w:r>
      <w:r w:rsidR="00562255">
        <w:t>425</w:t>
      </w:r>
      <w:r>
        <w:fldChar w:fldCharType="end"/>
      </w:r>
    </w:p>
    <w:p w:rsidR="00F4654E" w:rsidRDefault="00F4654E">
      <w:pPr>
        <w:pStyle w:val="10"/>
        <w:rPr>
          <w:spacing w:val="0"/>
        </w:rPr>
      </w:pPr>
      <w:r>
        <w:rPr>
          <w:spacing w:val="0"/>
        </w:rPr>
        <w:t>МАКРОСКОПИЧЕСКИЕ ПОКАЗАТЕЛИ РЕПРОДУКТИВНОЙ СИСТЕМЫ ОПЕРИРОВАННЫХ САМЦОВ НУТРИЙ</w:t>
      </w:r>
    </w:p>
    <w:p w:rsidR="00F4654E" w:rsidRDefault="00F4654E" w:rsidP="00562255">
      <w:pPr>
        <w:pStyle w:val="20"/>
      </w:pPr>
      <w:r>
        <w:t>Миронова Л.П., Хижнякова Н.Л.</w:t>
      </w:r>
      <w:r>
        <w:tab/>
      </w:r>
      <w:r>
        <w:fldChar w:fldCharType="begin"/>
      </w:r>
      <w:r>
        <w:instrText xml:space="preserve"> PAGEREF _Toc11937701 \h </w:instrText>
      </w:r>
      <w:r>
        <w:fldChar w:fldCharType="separate"/>
      </w:r>
      <w:r w:rsidR="00562255">
        <w:t>425</w:t>
      </w:r>
      <w:r>
        <w:fldChar w:fldCharType="end"/>
      </w:r>
    </w:p>
    <w:p w:rsidR="00F4654E" w:rsidRDefault="00F4654E">
      <w:pPr>
        <w:pStyle w:val="10"/>
        <w:rPr>
          <w:spacing w:val="0"/>
        </w:rPr>
      </w:pPr>
      <w:r>
        <w:rPr>
          <w:spacing w:val="0"/>
        </w:rPr>
        <w:t xml:space="preserve">ВЛИЯНИЕ ОПЕРИРОВАННОГО САМЦА НУТРИИ НА МАССУ ТЕЛА РЕМОНТНЫХ САМОК </w:t>
      </w:r>
      <w:r>
        <w:rPr>
          <w:noProof w:val="0"/>
          <w:spacing w:val="0"/>
        </w:rPr>
        <w:br/>
      </w:r>
      <w:r>
        <w:rPr>
          <w:spacing w:val="0"/>
        </w:rPr>
        <w:t>И МАКРОСКОПИЧЕСКИЕ ПОКАЗАТЕЛИ ОРГАНОВ РЕПРОДУКТИВНОЙ СИСТЕМЫ</w:t>
      </w:r>
    </w:p>
    <w:p w:rsidR="00F4654E" w:rsidRDefault="00F4654E" w:rsidP="00562255">
      <w:pPr>
        <w:pStyle w:val="20"/>
      </w:pPr>
      <w:r>
        <w:t>Миронова Л.П., Щебетовская Т.Н.</w:t>
      </w:r>
      <w:r>
        <w:tab/>
      </w:r>
      <w:r>
        <w:fldChar w:fldCharType="begin"/>
      </w:r>
      <w:r>
        <w:instrText xml:space="preserve"> PAGEREF _Toc11937703 \h </w:instrText>
      </w:r>
      <w:r>
        <w:fldChar w:fldCharType="separate"/>
      </w:r>
      <w:r w:rsidR="00562255">
        <w:t>426</w:t>
      </w:r>
      <w:r>
        <w:fldChar w:fldCharType="end"/>
      </w:r>
    </w:p>
    <w:p w:rsidR="00F4654E" w:rsidRDefault="00F4654E">
      <w:pPr>
        <w:pStyle w:val="10"/>
        <w:rPr>
          <w:spacing w:val="0"/>
        </w:rPr>
      </w:pPr>
      <w:r>
        <w:rPr>
          <w:spacing w:val="0"/>
        </w:rPr>
        <w:t>СУБИНВОЛЮЦИЯ МАТКИ У КОРОВ</w:t>
      </w:r>
    </w:p>
    <w:p w:rsidR="00F4654E" w:rsidRDefault="00F4654E" w:rsidP="00562255">
      <w:pPr>
        <w:pStyle w:val="20"/>
      </w:pPr>
      <w:r>
        <w:t>Мисайлов В.Д., Коцарев В.Н., Михалёв В.И., Кочура М.Н., Сергеев Ю.В.</w:t>
      </w:r>
      <w:r>
        <w:tab/>
      </w:r>
      <w:r>
        <w:fldChar w:fldCharType="begin"/>
      </w:r>
      <w:r>
        <w:instrText xml:space="preserve"> PAGEREF _Toc11937705 \h </w:instrText>
      </w:r>
      <w:r>
        <w:fldChar w:fldCharType="separate"/>
      </w:r>
      <w:r w:rsidR="00562255">
        <w:t>427</w:t>
      </w:r>
      <w:r>
        <w:fldChar w:fldCharType="end"/>
      </w:r>
    </w:p>
    <w:p w:rsidR="00F4654E" w:rsidRDefault="00F4654E">
      <w:pPr>
        <w:pStyle w:val="10"/>
        <w:rPr>
          <w:spacing w:val="0"/>
        </w:rPr>
      </w:pPr>
      <w:r>
        <w:rPr>
          <w:spacing w:val="0"/>
        </w:rPr>
        <w:t xml:space="preserve">ПОКАЗАТЕЛИ ГЕМАТОЛОГИЧЕСКОГО И БИОХИМИЧЕСКОГО СТАТУСА </w:t>
      </w:r>
      <w:r>
        <w:rPr>
          <w:noProof w:val="0"/>
          <w:spacing w:val="0"/>
        </w:rPr>
        <w:br/>
      </w:r>
      <w:r>
        <w:rPr>
          <w:spacing w:val="0"/>
        </w:rPr>
        <w:t xml:space="preserve">СУХОСТОЙНЫХ КОРОВ И ИХ ИЗМЕНЕНИЕ ПОСЛЕ РОДОВ ПРИ РАЗЛИЧНОМ </w:t>
      </w:r>
      <w:r>
        <w:rPr>
          <w:noProof w:val="0"/>
          <w:spacing w:val="0"/>
        </w:rPr>
        <w:br/>
      </w:r>
      <w:r>
        <w:rPr>
          <w:spacing w:val="0"/>
        </w:rPr>
        <w:t>ТЕЧЕНИИ ПОСЛЕРОДОВОГО ПЕРИОДА</w:t>
      </w:r>
    </w:p>
    <w:p w:rsidR="00F4654E" w:rsidRDefault="00F4654E" w:rsidP="00562255">
      <w:pPr>
        <w:pStyle w:val="20"/>
      </w:pPr>
      <w:r>
        <w:t>Михалёв В.И., Шушлебин В.И.</w:t>
      </w:r>
      <w:r>
        <w:tab/>
      </w:r>
      <w:r>
        <w:fldChar w:fldCharType="begin"/>
      </w:r>
      <w:r>
        <w:instrText xml:space="preserve"> PAGEREF _Toc11937707 \h </w:instrText>
      </w:r>
      <w:r>
        <w:fldChar w:fldCharType="separate"/>
      </w:r>
      <w:r w:rsidR="00562255">
        <w:t>428</w:t>
      </w:r>
      <w:r>
        <w:fldChar w:fldCharType="end"/>
      </w:r>
    </w:p>
    <w:p w:rsidR="00F4654E" w:rsidRDefault="00F4654E">
      <w:pPr>
        <w:pStyle w:val="10"/>
        <w:rPr>
          <w:spacing w:val="0"/>
        </w:rPr>
      </w:pPr>
      <w:r>
        <w:rPr>
          <w:spacing w:val="0"/>
        </w:rPr>
        <w:t>ИММУНОПРОФИЛАКТИКА ТЕЛЯТ ПРОТИВ ТЕИЛЕРИОЗА</w:t>
      </w:r>
    </w:p>
    <w:p w:rsidR="00F4654E" w:rsidRDefault="00F4654E" w:rsidP="00562255">
      <w:pPr>
        <w:pStyle w:val="20"/>
      </w:pPr>
      <w:r>
        <w:t>Мовсумзаде А.К., Багиров Г.К., Мирзабеков К.Д., Гасанова А.Н.</w:t>
      </w:r>
      <w:r>
        <w:tab/>
      </w:r>
      <w:r>
        <w:fldChar w:fldCharType="begin"/>
      </w:r>
      <w:r>
        <w:instrText xml:space="preserve"> PAGEREF _Toc11937709 \h </w:instrText>
      </w:r>
      <w:r>
        <w:fldChar w:fldCharType="separate"/>
      </w:r>
      <w:r w:rsidR="00562255">
        <w:t>430</w:t>
      </w:r>
      <w:r>
        <w:fldChar w:fldCharType="end"/>
      </w:r>
    </w:p>
    <w:p w:rsidR="00F4654E" w:rsidRDefault="00F4654E">
      <w:pPr>
        <w:pStyle w:val="10"/>
        <w:rPr>
          <w:spacing w:val="0"/>
        </w:rPr>
      </w:pPr>
      <w:r>
        <w:rPr>
          <w:spacing w:val="0"/>
        </w:rPr>
        <w:t>КОМПЛЕКСНАЯ СИСТЕМА ДИАГНОСТИКИ, ЛЕЧЕНИЯ И ПРОФИЛАКТИКИ</w:t>
      </w:r>
      <w:r>
        <w:rPr>
          <w:spacing w:val="0"/>
        </w:rPr>
        <w:br/>
        <w:t>ГАСТРОЭНТЕРИТОВ У ПОРОСЯТ</w:t>
      </w:r>
    </w:p>
    <w:p w:rsidR="00F4654E" w:rsidRDefault="00F4654E" w:rsidP="00562255">
      <w:pPr>
        <w:pStyle w:val="20"/>
      </w:pPr>
      <w:r>
        <w:t>Молоканов Д.П., Федюк В.И.</w:t>
      </w:r>
      <w:r>
        <w:tab/>
      </w:r>
      <w:r>
        <w:fldChar w:fldCharType="begin"/>
      </w:r>
      <w:r>
        <w:instrText xml:space="preserve"> PAGEREF _Toc11937711 \h </w:instrText>
      </w:r>
      <w:r>
        <w:fldChar w:fldCharType="separate"/>
      </w:r>
      <w:r w:rsidR="00562255">
        <w:t>431</w:t>
      </w:r>
      <w:r>
        <w:fldChar w:fldCharType="end"/>
      </w:r>
    </w:p>
    <w:p w:rsidR="00F4654E" w:rsidRDefault="00F4654E">
      <w:pPr>
        <w:pStyle w:val="10"/>
        <w:rPr>
          <w:spacing w:val="0"/>
        </w:rPr>
      </w:pPr>
      <w:r>
        <w:rPr>
          <w:spacing w:val="0"/>
        </w:rPr>
        <w:t>ПРОФИЛАКТИКА ПЕРВОГО ВОЗРАСТНОГО ИММУННОГО ДЕФИЦИТА ЯГНЯТ</w:t>
      </w:r>
    </w:p>
    <w:p w:rsidR="00F4654E" w:rsidRDefault="00F4654E" w:rsidP="00562255">
      <w:pPr>
        <w:pStyle w:val="20"/>
      </w:pPr>
      <w:r>
        <w:t>Мотузко Н.С.</w:t>
      </w:r>
      <w:r>
        <w:tab/>
      </w:r>
      <w:r>
        <w:fldChar w:fldCharType="begin"/>
      </w:r>
      <w:r>
        <w:instrText xml:space="preserve"> PAGEREF _Toc11937713 \h </w:instrText>
      </w:r>
      <w:r>
        <w:fldChar w:fldCharType="separate"/>
      </w:r>
      <w:r w:rsidR="00562255">
        <w:t>434</w:t>
      </w:r>
      <w:r>
        <w:fldChar w:fldCharType="end"/>
      </w:r>
    </w:p>
    <w:p w:rsidR="00F4654E" w:rsidRDefault="00F4654E">
      <w:pPr>
        <w:pStyle w:val="10"/>
        <w:rPr>
          <w:spacing w:val="0"/>
        </w:rPr>
      </w:pPr>
      <w:r>
        <w:rPr>
          <w:spacing w:val="0"/>
        </w:rPr>
        <w:lastRenderedPageBreak/>
        <w:t xml:space="preserve">О КОНТАМИНАЦИИ СПЕРМЫ БЫКОВ-ПРОИЗВОДИТЕЛЕЙ СПЕЦИФИЧЕСКОЙ </w:t>
      </w:r>
      <w:r>
        <w:rPr>
          <w:noProof w:val="0"/>
          <w:spacing w:val="0"/>
        </w:rPr>
        <w:br/>
      </w:r>
      <w:r>
        <w:rPr>
          <w:spacing w:val="0"/>
        </w:rPr>
        <w:t>ПОЛОВОЙ ИНФЕКЦИЕЙ</w:t>
      </w:r>
    </w:p>
    <w:p w:rsidR="00F4654E" w:rsidRDefault="00F4654E" w:rsidP="00562255">
      <w:pPr>
        <w:pStyle w:val="20"/>
      </w:pPr>
      <w:r>
        <w:t>Муртазин Б. Ф., Салохиддинова Х. С.</w:t>
      </w:r>
      <w:r>
        <w:tab/>
      </w:r>
      <w:r>
        <w:fldChar w:fldCharType="begin"/>
      </w:r>
      <w:r>
        <w:instrText xml:space="preserve"> PAGEREF _Toc11937715 \h </w:instrText>
      </w:r>
      <w:r>
        <w:fldChar w:fldCharType="separate"/>
      </w:r>
      <w:r w:rsidR="00562255">
        <w:t>435</w:t>
      </w:r>
      <w:r>
        <w:fldChar w:fldCharType="end"/>
      </w:r>
    </w:p>
    <w:p w:rsidR="00F4654E" w:rsidRDefault="00F4654E">
      <w:pPr>
        <w:pStyle w:val="10"/>
        <w:rPr>
          <w:spacing w:val="0"/>
        </w:rPr>
      </w:pPr>
      <w:r>
        <w:rPr>
          <w:spacing w:val="0"/>
        </w:rPr>
        <w:t>ВЛИЯНИЕ СОЧЕТАННЫХ МИКОТОКСИКОЗОВ НА ФАКТОРЫ  НЕСПЕЦИФИЧЕСКОЙ РЕЗИСТЕНТНОСТИ</w:t>
      </w:r>
    </w:p>
    <w:p w:rsidR="00F4654E" w:rsidRDefault="00F4654E" w:rsidP="00562255">
      <w:pPr>
        <w:pStyle w:val="20"/>
      </w:pPr>
      <w:r>
        <w:t>Мусин Р.Р., Алеев Д.В., Сергейчев А.И., Госманов Р.Г., Степанов В.И.</w:t>
      </w:r>
      <w:r>
        <w:tab/>
      </w:r>
      <w:r>
        <w:fldChar w:fldCharType="begin"/>
      </w:r>
      <w:r>
        <w:instrText xml:space="preserve"> PAGEREF _Toc11937717 \h </w:instrText>
      </w:r>
      <w:r>
        <w:fldChar w:fldCharType="separate"/>
      </w:r>
      <w:r w:rsidR="00562255">
        <w:t>437</w:t>
      </w:r>
      <w:r>
        <w:fldChar w:fldCharType="end"/>
      </w:r>
    </w:p>
    <w:p w:rsidR="00F4654E" w:rsidRDefault="00F4654E">
      <w:pPr>
        <w:pStyle w:val="10"/>
        <w:rPr>
          <w:spacing w:val="0"/>
        </w:rPr>
      </w:pPr>
      <w:r>
        <w:rPr>
          <w:spacing w:val="0"/>
        </w:rPr>
        <w:t xml:space="preserve">Определение содержания микроэлементов в организме крыс при </w:t>
      </w:r>
      <w:r>
        <w:rPr>
          <w:spacing w:val="0"/>
        </w:rPr>
        <w:br/>
        <w:t>сочетанном воздействии свинца, нитратов и нитритов</w:t>
      </w:r>
    </w:p>
    <w:p w:rsidR="00F4654E" w:rsidRDefault="00F4654E" w:rsidP="00562255">
      <w:pPr>
        <w:pStyle w:val="20"/>
      </w:pPr>
      <w:r>
        <w:t>Найко И.А., Аргунов М.Н.</w:t>
      </w:r>
      <w:r>
        <w:tab/>
      </w:r>
      <w:r>
        <w:fldChar w:fldCharType="begin"/>
      </w:r>
      <w:r>
        <w:instrText xml:space="preserve"> PAGEREF _Toc11937719 \h </w:instrText>
      </w:r>
      <w:r>
        <w:fldChar w:fldCharType="separate"/>
      </w:r>
      <w:r w:rsidR="00562255">
        <w:t>438</w:t>
      </w:r>
      <w:r>
        <w:fldChar w:fldCharType="end"/>
      </w:r>
    </w:p>
    <w:p w:rsidR="00F4654E" w:rsidRDefault="00F4654E">
      <w:pPr>
        <w:pStyle w:val="10"/>
        <w:rPr>
          <w:spacing w:val="0"/>
        </w:rPr>
      </w:pPr>
      <w:r>
        <w:rPr>
          <w:spacing w:val="0"/>
        </w:rPr>
        <w:t xml:space="preserve">Использование новых антиоксидантов при замораживании </w:t>
      </w:r>
      <w:r>
        <w:rPr>
          <w:noProof w:val="0"/>
          <w:spacing w:val="0"/>
        </w:rPr>
        <w:br/>
      </w:r>
      <w:r>
        <w:rPr>
          <w:spacing w:val="0"/>
        </w:rPr>
        <w:t>спермы хряков</w:t>
      </w:r>
    </w:p>
    <w:p w:rsidR="00F4654E" w:rsidRDefault="00F4654E" w:rsidP="00562255">
      <w:pPr>
        <w:pStyle w:val="20"/>
      </w:pPr>
      <w:r>
        <w:t>Нарижный А.Г., Ок Савин, Ескин Г.В., Коба И.Г.</w:t>
      </w:r>
      <w:r>
        <w:tab/>
      </w:r>
      <w:r>
        <w:fldChar w:fldCharType="begin"/>
      </w:r>
      <w:r>
        <w:instrText xml:space="preserve"> PAGEREF _Toc11937721 \h </w:instrText>
      </w:r>
      <w:r>
        <w:fldChar w:fldCharType="separate"/>
      </w:r>
      <w:r w:rsidR="00562255">
        <w:t>439</w:t>
      </w:r>
      <w:r>
        <w:fldChar w:fldCharType="end"/>
      </w:r>
    </w:p>
    <w:p w:rsidR="00F4654E" w:rsidRDefault="00F4654E">
      <w:pPr>
        <w:pStyle w:val="10"/>
        <w:rPr>
          <w:spacing w:val="0"/>
        </w:rPr>
      </w:pPr>
      <w:r>
        <w:rPr>
          <w:spacing w:val="0"/>
        </w:rPr>
        <w:t xml:space="preserve">Влияние качества замороженной спермы на Результативность </w:t>
      </w:r>
      <w:r>
        <w:rPr>
          <w:noProof w:val="0"/>
          <w:spacing w:val="0"/>
        </w:rPr>
        <w:br/>
      </w:r>
      <w:r>
        <w:rPr>
          <w:spacing w:val="0"/>
        </w:rPr>
        <w:t>осеменения свиноматок</w:t>
      </w:r>
    </w:p>
    <w:p w:rsidR="00F4654E" w:rsidRDefault="00F4654E" w:rsidP="00562255">
      <w:pPr>
        <w:pStyle w:val="20"/>
      </w:pPr>
      <w:r>
        <w:t>Нарижный А.Г., Поморова Е.Г., Савинов В.И., Асканьян Г.С.</w:t>
      </w:r>
      <w:r>
        <w:tab/>
      </w:r>
      <w:r>
        <w:fldChar w:fldCharType="begin"/>
      </w:r>
      <w:r>
        <w:instrText xml:space="preserve"> PAGEREF _Toc11937723 \h </w:instrText>
      </w:r>
      <w:r>
        <w:fldChar w:fldCharType="separate"/>
      </w:r>
      <w:r w:rsidR="00562255">
        <w:t>441</w:t>
      </w:r>
      <w:r>
        <w:fldChar w:fldCharType="end"/>
      </w:r>
    </w:p>
    <w:p w:rsidR="00F4654E" w:rsidRDefault="00F4654E">
      <w:pPr>
        <w:pStyle w:val="10"/>
        <w:rPr>
          <w:spacing w:val="0"/>
        </w:rPr>
      </w:pPr>
      <w:r>
        <w:rPr>
          <w:spacing w:val="0"/>
        </w:rPr>
        <w:t>Приемы повышения качества транспортированной спермы хряков</w:t>
      </w:r>
    </w:p>
    <w:p w:rsidR="00F4654E" w:rsidRDefault="00F4654E" w:rsidP="00562255">
      <w:pPr>
        <w:pStyle w:val="20"/>
      </w:pPr>
      <w:r>
        <w:t>Нарижный А.Г., Ропало С.А.</w:t>
      </w:r>
      <w:r>
        <w:tab/>
      </w:r>
      <w:r>
        <w:fldChar w:fldCharType="begin"/>
      </w:r>
      <w:r>
        <w:instrText xml:space="preserve"> PAGEREF _Toc11937725 \h </w:instrText>
      </w:r>
      <w:r>
        <w:fldChar w:fldCharType="separate"/>
      </w:r>
      <w:r w:rsidR="00562255">
        <w:t>443</w:t>
      </w:r>
      <w:r>
        <w:fldChar w:fldCharType="end"/>
      </w:r>
    </w:p>
    <w:p w:rsidR="00F4654E" w:rsidRDefault="00F4654E">
      <w:pPr>
        <w:pStyle w:val="10"/>
        <w:rPr>
          <w:spacing w:val="0"/>
        </w:rPr>
      </w:pPr>
      <w:r>
        <w:rPr>
          <w:spacing w:val="0"/>
        </w:rPr>
        <w:t>ЭКОЛОГИЧЕСКИЙ ПОДХОД К ПРОФИЛАКТИКЕ КОЛИБАКТЕРИОЗА ТЕЛЯТ И САНАЦИИ ЖИВОТНОВОДЧЕСКИХ ПОМЕЩЕНИЙ</w:t>
      </w:r>
    </w:p>
    <w:p w:rsidR="00F4654E" w:rsidRDefault="00F4654E" w:rsidP="00562255">
      <w:pPr>
        <w:pStyle w:val="20"/>
      </w:pPr>
      <w:r>
        <w:t>Наумов М.М.</w:t>
      </w:r>
      <w:r>
        <w:tab/>
      </w:r>
      <w:r>
        <w:fldChar w:fldCharType="begin"/>
      </w:r>
      <w:r>
        <w:instrText xml:space="preserve"> PAGEREF _Toc11937727 \h </w:instrText>
      </w:r>
      <w:r>
        <w:fldChar w:fldCharType="separate"/>
      </w:r>
      <w:r w:rsidR="00562255">
        <w:t>444</w:t>
      </w:r>
      <w:r>
        <w:fldChar w:fldCharType="end"/>
      </w:r>
    </w:p>
    <w:p w:rsidR="00F4654E" w:rsidRDefault="00F4654E">
      <w:pPr>
        <w:pStyle w:val="10"/>
        <w:rPr>
          <w:spacing w:val="0"/>
        </w:rPr>
      </w:pPr>
      <w:r>
        <w:rPr>
          <w:spacing w:val="0"/>
        </w:rPr>
        <w:t>ВОЗДЕЙСТВИЕ ЖИДКОГО АЗОТА (-196°С) НА ИНКУБАЦИОННЫЕ ЯЙЦА</w:t>
      </w:r>
    </w:p>
    <w:p w:rsidR="00F4654E" w:rsidRDefault="00F4654E" w:rsidP="00562255">
      <w:pPr>
        <w:pStyle w:val="20"/>
      </w:pPr>
      <w:r>
        <w:t>Небогатиков Г.В., Чижова Г.С.</w:t>
      </w:r>
      <w:r>
        <w:tab/>
      </w:r>
      <w:r>
        <w:fldChar w:fldCharType="begin"/>
      </w:r>
      <w:r>
        <w:instrText xml:space="preserve"> PAGEREF _Toc11937729 \h </w:instrText>
      </w:r>
      <w:r>
        <w:fldChar w:fldCharType="separate"/>
      </w:r>
      <w:r w:rsidR="00562255">
        <w:t>447</w:t>
      </w:r>
      <w:r>
        <w:fldChar w:fldCharType="end"/>
      </w:r>
    </w:p>
    <w:p w:rsidR="00F4654E" w:rsidRDefault="00F4654E">
      <w:pPr>
        <w:pStyle w:val="10"/>
        <w:rPr>
          <w:spacing w:val="0"/>
        </w:rPr>
      </w:pPr>
      <w:r>
        <w:rPr>
          <w:spacing w:val="0"/>
        </w:rPr>
        <w:t xml:space="preserve">ПРОНИЦАЕМОСТЬ РАДИОАКТИВНЫМИ ИЗОТОПАМИ ИММУННЫХ и </w:t>
      </w:r>
      <w:r>
        <w:rPr>
          <w:noProof w:val="0"/>
          <w:spacing w:val="0"/>
        </w:rPr>
        <w:br/>
      </w:r>
      <w:r>
        <w:rPr>
          <w:spacing w:val="0"/>
        </w:rPr>
        <w:t>пищеварительных органов птИЦ</w:t>
      </w:r>
    </w:p>
    <w:p w:rsidR="00F4654E" w:rsidRDefault="00F4654E" w:rsidP="00562255">
      <w:pPr>
        <w:pStyle w:val="20"/>
      </w:pPr>
      <w:r>
        <w:t>Небогатиков Г.В., Чижова Г.С.</w:t>
      </w:r>
      <w:r>
        <w:tab/>
      </w:r>
      <w:r>
        <w:fldChar w:fldCharType="begin"/>
      </w:r>
      <w:r>
        <w:instrText xml:space="preserve"> PAGEREF _Toc11937731 \h </w:instrText>
      </w:r>
      <w:r>
        <w:fldChar w:fldCharType="separate"/>
      </w:r>
      <w:r w:rsidR="00562255">
        <w:t>448</w:t>
      </w:r>
      <w:r>
        <w:fldChar w:fldCharType="end"/>
      </w:r>
    </w:p>
    <w:p w:rsidR="00F4654E" w:rsidRDefault="00F4654E">
      <w:pPr>
        <w:pStyle w:val="10"/>
        <w:rPr>
          <w:spacing w:val="0"/>
        </w:rPr>
      </w:pPr>
      <w:r>
        <w:rPr>
          <w:spacing w:val="0"/>
        </w:rPr>
        <w:t>ЭФФЕКТИВНОСТЬ ПРИМЕНЕНИЯ ГОНАДОТРОПНЫХ ПРЕПАРАТОВ ДЛЯ КОРРЕКЦИИ ВОСПРОИЗВОДИТЕЛЬНОЙ ФУНКЦИИ И ПОВЫШЕНИЯ МНОГОПЛОДИЯ СВИНОМАТОК</w:t>
      </w:r>
    </w:p>
    <w:p w:rsidR="00F4654E" w:rsidRDefault="00F4654E" w:rsidP="00562255">
      <w:pPr>
        <w:pStyle w:val="20"/>
      </w:pPr>
      <w:r>
        <w:t>Нежданов А.Г., Волвенкин А.В.</w:t>
      </w:r>
      <w:r>
        <w:tab/>
      </w:r>
      <w:r>
        <w:fldChar w:fldCharType="begin"/>
      </w:r>
      <w:r>
        <w:instrText xml:space="preserve"> PAGEREF _Toc11937733 \h </w:instrText>
      </w:r>
      <w:r>
        <w:fldChar w:fldCharType="separate"/>
      </w:r>
      <w:r w:rsidR="00562255">
        <w:t>450</w:t>
      </w:r>
      <w:r>
        <w:fldChar w:fldCharType="end"/>
      </w:r>
    </w:p>
    <w:p w:rsidR="00F4654E" w:rsidRDefault="00F4654E">
      <w:pPr>
        <w:pStyle w:val="10"/>
        <w:rPr>
          <w:spacing w:val="0"/>
        </w:rPr>
      </w:pPr>
      <w:r>
        <w:rPr>
          <w:spacing w:val="0"/>
        </w:rPr>
        <w:t>СРАВНИТЕЛЬНАЯ ОЦЕНКА РЕПРОДУКТИВНОЙ ФУНКЦИИ КОРОВ СИММЕНТАЛЬСКОЙ</w:t>
      </w:r>
      <w:r>
        <w:rPr>
          <w:noProof w:val="0"/>
          <w:spacing w:val="0"/>
        </w:rPr>
        <w:br/>
      </w:r>
      <w:r>
        <w:rPr>
          <w:spacing w:val="0"/>
        </w:rPr>
        <w:t>И КРАСНО-ПЁСТРОЙ ГОЛШТИНСКОЙ ПОРОД РАЗНЫХ ГЕНОТИПОВ</w:t>
      </w:r>
    </w:p>
    <w:p w:rsidR="00F4654E" w:rsidRDefault="00F4654E" w:rsidP="00562255">
      <w:pPr>
        <w:pStyle w:val="20"/>
      </w:pPr>
      <w:r>
        <w:t>Нежданов А.Г., Попов Л. К., Попова И.С</w:t>
      </w:r>
      <w:r>
        <w:rPr>
          <w:noProof w:val="0"/>
        </w:rPr>
        <w:t xml:space="preserve">. </w:t>
      </w:r>
      <w:r>
        <w:t>.</w:t>
      </w:r>
      <w:r>
        <w:tab/>
      </w:r>
      <w:bookmarkStart w:id="6903" w:name="_Hlt11940127"/>
      <w:r>
        <w:fldChar w:fldCharType="begin"/>
      </w:r>
      <w:r>
        <w:instrText xml:space="preserve"> PAGEREF _Toc11937735 \h </w:instrText>
      </w:r>
      <w:r>
        <w:fldChar w:fldCharType="separate"/>
      </w:r>
      <w:r w:rsidR="00562255">
        <w:t>452</w:t>
      </w:r>
      <w:r>
        <w:fldChar w:fldCharType="end"/>
      </w:r>
      <w:bookmarkEnd w:id="6903"/>
    </w:p>
    <w:p w:rsidR="00F4654E" w:rsidRDefault="00F4654E">
      <w:pPr>
        <w:pStyle w:val="10"/>
        <w:rPr>
          <w:spacing w:val="0"/>
        </w:rPr>
      </w:pPr>
      <w:r>
        <w:rPr>
          <w:spacing w:val="0"/>
        </w:rPr>
        <w:t>ЕСТЕСТВЕННАЯ РЕЗИСТЕНТНОСТЬ ЯГНЯТ АЛТАЙСКОЙ ТОНКОРУННОЙ ПОРОДЫ</w:t>
      </w:r>
    </w:p>
    <w:p w:rsidR="00F4654E" w:rsidRDefault="00F4654E" w:rsidP="00562255">
      <w:pPr>
        <w:pStyle w:val="20"/>
      </w:pPr>
      <w:r>
        <w:t>Неумывакина Н.А.</w:t>
      </w:r>
      <w:r>
        <w:tab/>
      </w:r>
      <w:r>
        <w:fldChar w:fldCharType="begin"/>
      </w:r>
      <w:r>
        <w:instrText xml:space="preserve"> PAGEREF _Toc11937737 \h </w:instrText>
      </w:r>
      <w:r>
        <w:fldChar w:fldCharType="separate"/>
      </w:r>
      <w:r w:rsidR="00562255">
        <w:t>454</w:t>
      </w:r>
      <w:r>
        <w:fldChar w:fldCharType="end"/>
      </w:r>
    </w:p>
    <w:p w:rsidR="00F4654E" w:rsidRDefault="00F4654E">
      <w:pPr>
        <w:pStyle w:val="10"/>
        <w:rPr>
          <w:spacing w:val="0"/>
        </w:rPr>
      </w:pPr>
      <w:r>
        <w:rPr>
          <w:spacing w:val="0"/>
        </w:rPr>
        <w:t>ПРИМЕНЕНИЕ ВАКЦИНЫ ПРОТИВ КОЛИБАКТЕРИОЗА ПТИЦ С ИММУНОСТИМУЛЯТОРОМ</w:t>
      </w:r>
    </w:p>
    <w:p w:rsidR="00F4654E" w:rsidRDefault="00F4654E" w:rsidP="00562255">
      <w:pPr>
        <w:pStyle w:val="20"/>
      </w:pPr>
      <w:r>
        <w:t>Ниязов Ф. А., Шукуров Ш. М., Маркова С. И.</w:t>
      </w:r>
      <w:r>
        <w:tab/>
      </w:r>
      <w:r>
        <w:fldChar w:fldCharType="begin"/>
      </w:r>
      <w:r>
        <w:instrText xml:space="preserve"> PAGEREF _Toc11937739 \h </w:instrText>
      </w:r>
      <w:r>
        <w:fldChar w:fldCharType="separate"/>
      </w:r>
      <w:r w:rsidR="00562255">
        <w:t>455</w:t>
      </w:r>
      <w:r>
        <w:fldChar w:fldCharType="end"/>
      </w:r>
    </w:p>
    <w:p w:rsidR="00F4654E" w:rsidRDefault="00F4654E">
      <w:pPr>
        <w:pStyle w:val="10"/>
        <w:rPr>
          <w:spacing w:val="0"/>
        </w:rPr>
      </w:pPr>
      <w:r>
        <w:rPr>
          <w:spacing w:val="0"/>
        </w:rPr>
        <w:t>Криптоспоридии – опасные патогены для телят</w:t>
      </w:r>
    </w:p>
    <w:p w:rsidR="00F4654E" w:rsidRDefault="00F4654E" w:rsidP="00562255">
      <w:pPr>
        <w:pStyle w:val="20"/>
      </w:pPr>
      <w:r>
        <w:t>Никитин В.Ф.</w:t>
      </w:r>
      <w:r>
        <w:tab/>
      </w:r>
      <w:r>
        <w:fldChar w:fldCharType="begin"/>
      </w:r>
      <w:r>
        <w:instrText xml:space="preserve"> PAGEREF _Toc11937741 \h </w:instrText>
      </w:r>
      <w:r>
        <w:fldChar w:fldCharType="separate"/>
      </w:r>
      <w:r w:rsidR="00562255">
        <w:t>458</w:t>
      </w:r>
      <w:r>
        <w:fldChar w:fldCharType="end"/>
      </w:r>
    </w:p>
    <w:p w:rsidR="00F4654E" w:rsidRDefault="00F4654E">
      <w:pPr>
        <w:pStyle w:val="10"/>
        <w:rPr>
          <w:spacing w:val="0"/>
        </w:rPr>
      </w:pPr>
      <w:r>
        <w:rPr>
          <w:spacing w:val="0"/>
        </w:rPr>
        <w:t>Изменение некоторых факторов естественной резистентности при токсокарозе собак</w:t>
      </w:r>
    </w:p>
    <w:p w:rsidR="00F4654E" w:rsidRDefault="00F4654E" w:rsidP="00562255">
      <w:pPr>
        <w:pStyle w:val="20"/>
      </w:pPr>
      <w:r>
        <w:t>Никитина Е.А., Беспалова Н.С.</w:t>
      </w:r>
      <w:r>
        <w:tab/>
      </w:r>
      <w:r>
        <w:fldChar w:fldCharType="begin"/>
      </w:r>
      <w:r>
        <w:instrText xml:space="preserve"> PAGEREF _Toc11937743 \h </w:instrText>
      </w:r>
      <w:r>
        <w:fldChar w:fldCharType="separate"/>
      </w:r>
      <w:r w:rsidR="00562255">
        <w:t>459</w:t>
      </w:r>
      <w:r>
        <w:fldChar w:fldCharType="end"/>
      </w:r>
    </w:p>
    <w:p w:rsidR="00F4654E" w:rsidRDefault="00F4654E">
      <w:pPr>
        <w:pStyle w:val="10"/>
        <w:rPr>
          <w:spacing w:val="0"/>
        </w:rPr>
      </w:pPr>
      <w:r>
        <w:rPr>
          <w:spacing w:val="0"/>
        </w:rPr>
        <w:t xml:space="preserve">Изменение комплементарной активности лейкоцитов сыворотки крови </w:t>
      </w:r>
      <w:r>
        <w:rPr>
          <w:noProof w:val="0"/>
          <w:spacing w:val="0"/>
        </w:rPr>
        <w:br/>
      </w:r>
      <w:r>
        <w:rPr>
          <w:spacing w:val="0"/>
        </w:rPr>
        <w:t>при лечении токсокароза собак</w:t>
      </w:r>
    </w:p>
    <w:p w:rsidR="00F4654E" w:rsidRDefault="00F4654E" w:rsidP="00562255">
      <w:pPr>
        <w:pStyle w:val="20"/>
      </w:pPr>
      <w:r>
        <w:t>Никитина Е.А., Беспалова Н.С.</w:t>
      </w:r>
      <w:r>
        <w:tab/>
      </w:r>
      <w:r>
        <w:fldChar w:fldCharType="begin"/>
      </w:r>
      <w:r>
        <w:instrText xml:space="preserve"> PAGEREF _Toc11937745 \h </w:instrText>
      </w:r>
      <w:r>
        <w:fldChar w:fldCharType="separate"/>
      </w:r>
      <w:r w:rsidR="00562255">
        <w:t>460</w:t>
      </w:r>
      <w:r>
        <w:fldChar w:fldCharType="end"/>
      </w:r>
    </w:p>
    <w:p w:rsidR="00F4654E" w:rsidRDefault="00F4654E">
      <w:pPr>
        <w:pStyle w:val="10"/>
        <w:rPr>
          <w:spacing w:val="0"/>
        </w:rPr>
      </w:pPr>
      <w:r>
        <w:rPr>
          <w:spacing w:val="0"/>
        </w:rPr>
        <w:t>КОМПЛЕКСНАЯ ПРОФИЛАКТИКА ДИАРЕЙ И РЕСПИРАТОРНЫХ  БОЛЕЗНЕЙ ТЕЛЯТ</w:t>
      </w:r>
    </w:p>
    <w:p w:rsidR="00F4654E" w:rsidRDefault="00F4654E" w:rsidP="00562255">
      <w:pPr>
        <w:pStyle w:val="20"/>
      </w:pPr>
      <w:r>
        <w:t>Овод А.С.</w:t>
      </w:r>
      <w:r>
        <w:tab/>
      </w:r>
      <w:r>
        <w:fldChar w:fldCharType="begin"/>
      </w:r>
      <w:r>
        <w:instrText xml:space="preserve"> PAGEREF _Toc11937747 \h </w:instrText>
      </w:r>
      <w:r>
        <w:fldChar w:fldCharType="separate"/>
      </w:r>
      <w:r w:rsidR="00562255">
        <w:t>461</w:t>
      </w:r>
      <w:r>
        <w:fldChar w:fldCharType="end"/>
      </w:r>
    </w:p>
    <w:p w:rsidR="00F4654E" w:rsidRDefault="00F4654E">
      <w:pPr>
        <w:pStyle w:val="10"/>
        <w:rPr>
          <w:spacing w:val="0"/>
        </w:rPr>
      </w:pPr>
      <w:r>
        <w:rPr>
          <w:spacing w:val="0"/>
        </w:rPr>
        <w:t>Динамика концентрации сульфомонометоксина в крови цыплят при однократном применении в разных дозах</w:t>
      </w:r>
    </w:p>
    <w:p w:rsidR="00F4654E" w:rsidRDefault="00F4654E" w:rsidP="00562255">
      <w:pPr>
        <w:pStyle w:val="20"/>
      </w:pPr>
      <w:r>
        <w:t>Ортман О.Р.</w:t>
      </w:r>
      <w:r>
        <w:tab/>
      </w:r>
      <w:r>
        <w:fldChar w:fldCharType="begin"/>
      </w:r>
      <w:r>
        <w:instrText xml:space="preserve"> PAGEREF _Toc11937749 \h </w:instrText>
      </w:r>
      <w:r>
        <w:fldChar w:fldCharType="separate"/>
      </w:r>
      <w:r w:rsidR="00562255">
        <w:t>463</w:t>
      </w:r>
      <w:r>
        <w:fldChar w:fldCharType="end"/>
      </w:r>
    </w:p>
    <w:p w:rsidR="00F4654E" w:rsidRDefault="00F4654E">
      <w:pPr>
        <w:pStyle w:val="10"/>
        <w:rPr>
          <w:spacing w:val="0"/>
        </w:rPr>
      </w:pPr>
      <w:r>
        <w:rPr>
          <w:spacing w:val="0"/>
        </w:rPr>
        <w:t>Гуморальные факторы защиты при неспецифических гастроэнтеритах цыплят на фоне курсового применения сульфамонометоксина и эраконда</w:t>
      </w:r>
    </w:p>
    <w:p w:rsidR="00F4654E" w:rsidRDefault="00F4654E" w:rsidP="00562255">
      <w:pPr>
        <w:pStyle w:val="20"/>
      </w:pPr>
      <w:r>
        <w:t>Ортман О.Р., Мешков В.М., Ортман Р.А.</w:t>
      </w:r>
      <w:r>
        <w:tab/>
      </w:r>
      <w:r>
        <w:fldChar w:fldCharType="begin"/>
      </w:r>
      <w:r>
        <w:instrText xml:space="preserve"> PAGEREF _Toc11937751 \h </w:instrText>
      </w:r>
      <w:r>
        <w:fldChar w:fldCharType="separate"/>
      </w:r>
      <w:r w:rsidR="00562255">
        <w:t>464</w:t>
      </w:r>
      <w:r>
        <w:fldChar w:fldCharType="end"/>
      </w:r>
    </w:p>
    <w:p w:rsidR="00F4654E" w:rsidRDefault="00F4654E">
      <w:pPr>
        <w:pStyle w:val="10"/>
        <w:rPr>
          <w:spacing w:val="0"/>
        </w:rPr>
      </w:pPr>
      <w:r>
        <w:rPr>
          <w:spacing w:val="0"/>
        </w:rPr>
        <w:t>Изменения гематологических показателей у цыплят при назначении сульфамонометоксина</w:t>
      </w:r>
    </w:p>
    <w:p w:rsidR="00F4654E" w:rsidRDefault="00F4654E" w:rsidP="00562255">
      <w:pPr>
        <w:pStyle w:val="20"/>
      </w:pPr>
      <w:r>
        <w:t>Ортман О.Р., Мешков В.М., Ортман Р.А.</w:t>
      </w:r>
      <w:r>
        <w:tab/>
      </w:r>
      <w:r>
        <w:fldChar w:fldCharType="begin"/>
      </w:r>
      <w:r>
        <w:instrText xml:space="preserve"> PAGEREF _Toc11937753 \h </w:instrText>
      </w:r>
      <w:r>
        <w:fldChar w:fldCharType="separate"/>
      </w:r>
      <w:r w:rsidR="00562255">
        <w:t>466</w:t>
      </w:r>
      <w:r>
        <w:fldChar w:fldCharType="end"/>
      </w:r>
    </w:p>
    <w:p w:rsidR="00F4654E" w:rsidRDefault="00F4654E">
      <w:pPr>
        <w:pStyle w:val="10"/>
        <w:rPr>
          <w:spacing w:val="0"/>
        </w:rPr>
      </w:pPr>
      <w:r>
        <w:rPr>
          <w:spacing w:val="0"/>
        </w:rPr>
        <w:t>Распределение сульфомонометоксина в органах и тканях цыплят</w:t>
      </w:r>
    </w:p>
    <w:p w:rsidR="00F4654E" w:rsidRDefault="00F4654E" w:rsidP="00562255">
      <w:pPr>
        <w:pStyle w:val="20"/>
      </w:pPr>
      <w:r>
        <w:t>Ортман О.Р., Ортман Р.А.</w:t>
      </w:r>
      <w:r>
        <w:tab/>
      </w:r>
      <w:r>
        <w:fldChar w:fldCharType="begin"/>
      </w:r>
      <w:r>
        <w:instrText xml:space="preserve"> PAGEREF _Toc11937755 \h </w:instrText>
      </w:r>
      <w:r>
        <w:fldChar w:fldCharType="separate"/>
      </w:r>
      <w:r w:rsidR="00562255">
        <w:t>468</w:t>
      </w:r>
      <w:r>
        <w:fldChar w:fldCharType="end"/>
      </w:r>
    </w:p>
    <w:p w:rsidR="00F4654E" w:rsidRDefault="00F4654E">
      <w:pPr>
        <w:pStyle w:val="10"/>
        <w:rPr>
          <w:spacing w:val="0"/>
        </w:rPr>
      </w:pPr>
      <w:r>
        <w:rPr>
          <w:spacing w:val="0"/>
        </w:rPr>
        <w:lastRenderedPageBreak/>
        <w:t>Изучение динамики концентрации сульфадиметоксина в крови и эффективности его при бронхопневмонии коз</w:t>
      </w:r>
    </w:p>
    <w:p w:rsidR="00F4654E" w:rsidRDefault="00F4654E" w:rsidP="00562255">
      <w:pPr>
        <w:pStyle w:val="20"/>
      </w:pPr>
      <w:r>
        <w:t>Осипова О.П.</w:t>
      </w:r>
      <w:r>
        <w:tab/>
      </w:r>
      <w:r>
        <w:fldChar w:fldCharType="begin"/>
      </w:r>
      <w:r>
        <w:instrText xml:space="preserve"> PAGEREF _Toc11937757 \h </w:instrText>
      </w:r>
      <w:r>
        <w:fldChar w:fldCharType="separate"/>
      </w:r>
      <w:r w:rsidR="00562255">
        <w:t>470</w:t>
      </w:r>
      <w:r>
        <w:fldChar w:fldCharType="end"/>
      </w:r>
    </w:p>
    <w:p w:rsidR="00F4654E" w:rsidRDefault="00F4654E">
      <w:pPr>
        <w:pStyle w:val="10"/>
        <w:rPr>
          <w:spacing w:val="0"/>
        </w:rPr>
      </w:pPr>
      <w:r>
        <w:rPr>
          <w:spacing w:val="0"/>
        </w:rPr>
        <w:t xml:space="preserve">Профилактика гинекологических болезней функционального характера </w:t>
      </w:r>
      <w:r>
        <w:rPr>
          <w:noProof w:val="0"/>
          <w:spacing w:val="0"/>
        </w:rPr>
        <w:br/>
      </w:r>
      <w:r>
        <w:rPr>
          <w:spacing w:val="0"/>
        </w:rPr>
        <w:t>у коров</w:t>
      </w:r>
    </w:p>
    <w:p w:rsidR="00F4654E" w:rsidRDefault="00F4654E" w:rsidP="00562255">
      <w:pPr>
        <w:pStyle w:val="20"/>
      </w:pPr>
      <w:r>
        <w:t>Павленко О.Б., Калашник Б.А.</w:t>
      </w:r>
      <w:r>
        <w:tab/>
      </w:r>
      <w:r>
        <w:fldChar w:fldCharType="begin"/>
      </w:r>
      <w:r>
        <w:instrText xml:space="preserve"> PAGEREF _Toc11937759 \h </w:instrText>
      </w:r>
      <w:r>
        <w:fldChar w:fldCharType="separate"/>
      </w:r>
      <w:r w:rsidR="00562255">
        <w:t>471</w:t>
      </w:r>
      <w:r>
        <w:fldChar w:fldCharType="end"/>
      </w:r>
    </w:p>
    <w:p w:rsidR="00F4654E" w:rsidRDefault="00F4654E">
      <w:pPr>
        <w:pStyle w:val="10"/>
        <w:rPr>
          <w:spacing w:val="0"/>
        </w:rPr>
      </w:pPr>
      <w:r>
        <w:rPr>
          <w:snapToGrid w:val="0"/>
          <w:spacing w:val="0"/>
        </w:rPr>
        <w:t>МИКОТОКСИКОЗЫ В САМАРСКОЙ ОБЛАСТИ</w:t>
      </w:r>
    </w:p>
    <w:p w:rsidR="00F4654E" w:rsidRDefault="00F4654E" w:rsidP="00562255">
      <w:pPr>
        <w:pStyle w:val="20"/>
      </w:pPr>
      <w:r>
        <w:rPr>
          <w:snapToGrid w:val="0"/>
        </w:rPr>
        <w:t>Павлов В.П.</w:t>
      </w:r>
      <w:r>
        <w:tab/>
      </w:r>
      <w:r>
        <w:fldChar w:fldCharType="begin"/>
      </w:r>
      <w:r>
        <w:instrText xml:space="preserve"> PAGEREF _Toc11937761 \h </w:instrText>
      </w:r>
      <w:r>
        <w:fldChar w:fldCharType="separate"/>
      </w:r>
      <w:r w:rsidR="00562255">
        <w:t>473</w:t>
      </w:r>
      <w:r>
        <w:fldChar w:fldCharType="end"/>
      </w:r>
    </w:p>
    <w:p w:rsidR="00F4654E" w:rsidRDefault="00F4654E">
      <w:pPr>
        <w:pStyle w:val="10"/>
        <w:rPr>
          <w:spacing w:val="0"/>
        </w:rPr>
      </w:pPr>
      <w:r>
        <w:rPr>
          <w:spacing w:val="0"/>
        </w:rPr>
        <w:t>Распространение микроорганизмов, обладающих гемолитическими  свойствами  и  вирулентностью  в  дыхательных  путях  поросят</w:t>
      </w:r>
    </w:p>
    <w:p w:rsidR="00F4654E" w:rsidRDefault="00F4654E" w:rsidP="00562255">
      <w:pPr>
        <w:pStyle w:val="20"/>
      </w:pPr>
      <w:r>
        <w:t>Палунина В.В.</w:t>
      </w:r>
      <w:r>
        <w:tab/>
      </w:r>
      <w:r>
        <w:fldChar w:fldCharType="begin"/>
      </w:r>
      <w:r>
        <w:instrText xml:space="preserve"> PAGEREF _Toc11937763 \h </w:instrText>
      </w:r>
      <w:r>
        <w:fldChar w:fldCharType="separate"/>
      </w:r>
      <w:r w:rsidR="00562255">
        <w:t>475</w:t>
      </w:r>
      <w:r>
        <w:fldChar w:fldCharType="end"/>
      </w:r>
    </w:p>
    <w:p w:rsidR="00F4654E" w:rsidRDefault="00F4654E">
      <w:pPr>
        <w:pStyle w:val="10"/>
        <w:rPr>
          <w:spacing w:val="0"/>
        </w:rPr>
      </w:pPr>
      <w:r>
        <w:rPr>
          <w:spacing w:val="0"/>
        </w:rPr>
        <w:t>Новые методы повышения эффективности профилактики и лечения заболеваний репродуктивных органов КРС</w:t>
      </w:r>
    </w:p>
    <w:p w:rsidR="00F4654E" w:rsidRDefault="00F4654E" w:rsidP="00562255">
      <w:pPr>
        <w:pStyle w:val="20"/>
      </w:pPr>
      <w:r>
        <w:t>Панферова О. В.</w:t>
      </w:r>
      <w:r>
        <w:tab/>
      </w:r>
      <w:r>
        <w:fldChar w:fldCharType="begin"/>
      </w:r>
      <w:r>
        <w:instrText xml:space="preserve"> PAGEREF _Toc11937765 \h </w:instrText>
      </w:r>
      <w:r>
        <w:fldChar w:fldCharType="separate"/>
      </w:r>
      <w:r w:rsidR="00562255">
        <w:t>475</w:t>
      </w:r>
      <w:r>
        <w:fldChar w:fldCharType="end"/>
      </w:r>
    </w:p>
    <w:p w:rsidR="00F4654E" w:rsidRDefault="00F4654E">
      <w:pPr>
        <w:pStyle w:val="10"/>
        <w:rPr>
          <w:spacing w:val="0"/>
        </w:rPr>
      </w:pPr>
      <w:r>
        <w:rPr>
          <w:spacing w:val="0"/>
        </w:rPr>
        <w:t xml:space="preserve">ЭФФЕКТИВНОСТЬ ЛЕЧЕНИЯ СУБКЛИНИЧЕСКОГО МАСТИТА У КОРОВ В </w:t>
      </w:r>
      <w:r>
        <w:rPr>
          <w:noProof w:val="0"/>
          <w:spacing w:val="0"/>
        </w:rPr>
        <w:br/>
      </w:r>
      <w:r>
        <w:rPr>
          <w:spacing w:val="0"/>
        </w:rPr>
        <w:t>СУХОСТОЙНЫЙ ПЕРИОД</w:t>
      </w:r>
    </w:p>
    <w:p w:rsidR="00F4654E" w:rsidRDefault="00F4654E" w:rsidP="00562255">
      <w:pPr>
        <w:pStyle w:val="20"/>
      </w:pPr>
      <w:r>
        <w:t>Париков В.А., Паршин П.А., Притыкин Н.В.</w:t>
      </w:r>
      <w:r>
        <w:tab/>
      </w:r>
      <w:r>
        <w:fldChar w:fldCharType="begin"/>
      </w:r>
      <w:r>
        <w:instrText xml:space="preserve"> PAGEREF _Toc11937767 \h </w:instrText>
      </w:r>
      <w:r>
        <w:fldChar w:fldCharType="separate"/>
      </w:r>
      <w:r w:rsidR="00562255">
        <w:t>478</w:t>
      </w:r>
      <w:r>
        <w:fldChar w:fldCharType="end"/>
      </w:r>
    </w:p>
    <w:p w:rsidR="00F4654E" w:rsidRDefault="00F4654E">
      <w:pPr>
        <w:pStyle w:val="10"/>
        <w:rPr>
          <w:spacing w:val="0"/>
        </w:rPr>
      </w:pPr>
      <w:r>
        <w:rPr>
          <w:spacing w:val="0"/>
        </w:rPr>
        <w:t>БОРЬБА С МАСТИТОМ У КОРОВ И НЕТЕЛЕЙ ОДИН ИЗ СПОСОБОВ ПРОФИЛАКТИКИ ЖЕЛУДОЧНО-КИШЕЧНЫХ БОЛЕЗНЕЙ ТЕЛЯТ</w:t>
      </w:r>
    </w:p>
    <w:p w:rsidR="00F4654E" w:rsidRDefault="00F4654E" w:rsidP="00562255">
      <w:pPr>
        <w:pStyle w:val="20"/>
      </w:pPr>
      <w:r>
        <w:t>Париков В.А., Притыкин Н.В., Сергеев Ю.В., Пониткин Д.М., Игнатов И.В.</w:t>
      </w:r>
      <w:r>
        <w:tab/>
      </w:r>
      <w:r>
        <w:fldChar w:fldCharType="begin"/>
      </w:r>
      <w:r>
        <w:instrText xml:space="preserve"> PAGEREF _Toc11937769 \h </w:instrText>
      </w:r>
      <w:r>
        <w:fldChar w:fldCharType="separate"/>
      </w:r>
      <w:r w:rsidR="00562255">
        <w:t>479</w:t>
      </w:r>
      <w:r>
        <w:fldChar w:fldCharType="end"/>
      </w:r>
    </w:p>
    <w:p w:rsidR="00F4654E" w:rsidRDefault="00F4654E">
      <w:pPr>
        <w:pStyle w:val="10"/>
        <w:rPr>
          <w:spacing w:val="0"/>
        </w:rPr>
      </w:pPr>
      <w:r>
        <w:rPr>
          <w:spacing w:val="0"/>
        </w:rPr>
        <w:t>Электропунктурная диагностика гастрита у собак</w:t>
      </w:r>
    </w:p>
    <w:p w:rsidR="00F4654E" w:rsidRDefault="00F4654E" w:rsidP="00562255">
      <w:pPr>
        <w:pStyle w:val="20"/>
      </w:pPr>
      <w:r>
        <w:t>Петров В. А., Тихонова А. А.</w:t>
      </w:r>
      <w:r>
        <w:tab/>
      </w:r>
      <w:r>
        <w:fldChar w:fldCharType="begin"/>
      </w:r>
      <w:r>
        <w:instrText xml:space="preserve"> PAGEREF _Toc11937771 \h </w:instrText>
      </w:r>
      <w:r>
        <w:fldChar w:fldCharType="separate"/>
      </w:r>
      <w:r w:rsidR="00562255">
        <w:t>482</w:t>
      </w:r>
      <w:r>
        <w:fldChar w:fldCharType="end"/>
      </w:r>
    </w:p>
    <w:p w:rsidR="00F4654E" w:rsidRDefault="00F4654E">
      <w:pPr>
        <w:pStyle w:val="10"/>
        <w:rPr>
          <w:spacing w:val="0"/>
        </w:rPr>
      </w:pPr>
      <w:r>
        <w:rPr>
          <w:spacing w:val="0"/>
        </w:rPr>
        <w:t>Роль микробного фактора в этиопатогенезе и частота одновременно протекающих субклинического мастита и эндометрита у коров</w:t>
      </w:r>
    </w:p>
    <w:p w:rsidR="00F4654E" w:rsidRDefault="00F4654E" w:rsidP="00562255">
      <w:pPr>
        <w:pStyle w:val="20"/>
      </w:pPr>
      <w:r>
        <w:t>Петров В.А., Парахин А.</w:t>
      </w:r>
      <w:r>
        <w:tab/>
      </w:r>
      <w:r>
        <w:fldChar w:fldCharType="begin"/>
      </w:r>
      <w:r>
        <w:instrText xml:space="preserve"> PAGEREF _Toc11937773 \h </w:instrText>
      </w:r>
      <w:r>
        <w:fldChar w:fldCharType="separate"/>
      </w:r>
      <w:r w:rsidR="00562255">
        <w:t>483</w:t>
      </w:r>
      <w:r>
        <w:fldChar w:fldCharType="end"/>
      </w:r>
    </w:p>
    <w:p w:rsidR="00F4654E" w:rsidRDefault="00F4654E">
      <w:pPr>
        <w:pStyle w:val="10"/>
        <w:rPr>
          <w:spacing w:val="0"/>
        </w:rPr>
      </w:pPr>
      <w:r>
        <w:rPr>
          <w:spacing w:val="0"/>
        </w:rPr>
        <w:t>К вопросу о дифференциальной диагностике анемий</w:t>
      </w:r>
    </w:p>
    <w:p w:rsidR="00F4654E" w:rsidRDefault="00F4654E" w:rsidP="00562255">
      <w:pPr>
        <w:pStyle w:val="20"/>
      </w:pPr>
      <w:r>
        <w:t>Петров В.А., Сазонова В.В.</w:t>
      </w:r>
      <w:r>
        <w:tab/>
      </w:r>
      <w:r>
        <w:fldChar w:fldCharType="begin"/>
      </w:r>
      <w:r>
        <w:instrText xml:space="preserve"> PAGEREF _Toc11937775 \h </w:instrText>
      </w:r>
      <w:r>
        <w:fldChar w:fldCharType="separate"/>
      </w:r>
      <w:r w:rsidR="00562255">
        <w:t>485</w:t>
      </w:r>
      <w:r>
        <w:fldChar w:fldCharType="end"/>
      </w:r>
    </w:p>
    <w:p w:rsidR="00F4654E" w:rsidRDefault="00F4654E">
      <w:pPr>
        <w:pStyle w:val="10"/>
        <w:rPr>
          <w:spacing w:val="0"/>
        </w:rPr>
      </w:pPr>
      <w:r>
        <w:rPr>
          <w:spacing w:val="0"/>
        </w:rPr>
        <w:t>ВЛИЯНИЕ ЗАРАЖЕННОСТИ МАТЕРЕЙ ГЕЛЬМИНТАМИ НА ИММУННОЕ СОСТОЯНИЕ НОВОРОЖДЕННЫХ ТЕЛЯТ</w:t>
      </w:r>
    </w:p>
    <w:p w:rsidR="00F4654E" w:rsidRDefault="00F4654E" w:rsidP="00562255">
      <w:pPr>
        <w:pStyle w:val="20"/>
      </w:pPr>
      <w:r>
        <w:t xml:space="preserve">Петров Ю.Ф., Гудкова А.Ю., Еремеева О.Р., Маямсина Е.В.,  </w:t>
      </w:r>
      <w:r>
        <w:rPr>
          <w:noProof w:val="0"/>
        </w:rPr>
        <w:br/>
      </w:r>
      <w:r>
        <w:t>Курочкина М.В,  Шеронов С.Н.</w:t>
      </w:r>
      <w:r>
        <w:tab/>
      </w:r>
      <w:r>
        <w:fldChar w:fldCharType="begin"/>
      </w:r>
      <w:r>
        <w:instrText xml:space="preserve"> PAGEREF _Toc11937777 \h </w:instrText>
      </w:r>
      <w:r>
        <w:fldChar w:fldCharType="separate"/>
      </w:r>
      <w:r w:rsidR="00562255">
        <w:t>487</w:t>
      </w:r>
      <w:r>
        <w:fldChar w:fldCharType="end"/>
      </w:r>
    </w:p>
    <w:p w:rsidR="00F4654E" w:rsidRDefault="00F4654E">
      <w:pPr>
        <w:pStyle w:val="10"/>
        <w:rPr>
          <w:spacing w:val="0"/>
        </w:rPr>
      </w:pPr>
      <w:r>
        <w:rPr>
          <w:spacing w:val="0"/>
        </w:rPr>
        <w:t>РОЛЬ ЛАТЕНТНО ИНФИЦИРОВАННЫХ БЫКОВ-ПРОИЗВОДИТЕЛЕЙ В эПИЗООТОЛОГИИ ИНФЕКЦИОННОГО РИНОТРАХЕИТА –</w:t>
      </w:r>
      <w:r>
        <w:rPr>
          <w:noProof w:val="0"/>
          <w:spacing w:val="0"/>
        </w:rPr>
        <w:t xml:space="preserve"> </w:t>
      </w:r>
      <w:r>
        <w:rPr>
          <w:spacing w:val="0"/>
        </w:rPr>
        <w:t xml:space="preserve">ИНФЕКЦИОННОГО ПУСТУЛЕЗНОГО </w:t>
      </w:r>
      <w:r>
        <w:rPr>
          <w:noProof w:val="0"/>
          <w:spacing w:val="0"/>
        </w:rPr>
        <w:br/>
      </w:r>
      <w:r>
        <w:rPr>
          <w:spacing w:val="0"/>
        </w:rPr>
        <w:t>ВУЛЬВОВАГИНИТА КРУПНОГО РОГАТОГО СКОТА</w:t>
      </w:r>
    </w:p>
    <w:p w:rsidR="00F4654E" w:rsidRDefault="00F4654E" w:rsidP="00562255">
      <w:pPr>
        <w:pStyle w:val="20"/>
      </w:pPr>
      <w:r>
        <w:t>Петрова О.Г., Татарчук А.Т., Кушнир Н.И., Хаматов М.Ф.</w:t>
      </w:r>
      <w:r>
        <w:tab/>
      </w:r>
      <w:r>
        <w:fldChar w:fldCharType="begin"/>
      </w:r>
      <w:r>
        <w:instrText xml:space="preserve"> PAGEREF _Toc11937779 \h </w:instrText>
      </w:r>
      <w:r>
        <w:fldChar w:fldCharType="separate"/>
      </w:r>
      <w:r w:rsidR="00562255">
        <w:t>488</w:t>
      </w:r>
      <w:r>
        <w:fldChar w:fldCharType="end"/>
      </w:r>
    </w:p>
    <w:p w:rsidR="00F4654E" w:rsidRDefault="00F4654E">
      <w:pPr>
        <w:pStyle w:val="10"/>
        <w:rPr>
          <w:spacing w:val="0"/>
        </w:rPr>
      </w:pPr>
      <w:r>
        <w:rPr>
          <w:spacing w:val="0"/>
        </w:rPr>
        <w:t>ВОЗРАСТНАЯ ФУНКЦИОНАЛЬНАЯ МОРФОЛОГИЯ ПЕЧЕНИ ПОРОСЯТ ПРИ ГЕПАТОДИСТРОФИИ</w:t>
      </w:r>
    </w:p>
    <w:p w:rsidR="00F4654E" w:rsidRDefault="00F4654E" w:rsidP="00562255">
      <w:pPr>
        <w:pStyle w:val="20"/>
      </w:pPr>
      <w:r>
        <w:t>Погребняк О.В.,  Слободяник В.С., Сулейманов С.М</w:t>
      </w:r>
      <w:r>
        <w:tab/>
      </w:r>
      <w:r>
        <w:fldChar w:fldCharType="begin"/>
      </w:r>
      <w:r>
        <w:instrText xml:space="preserve"> PAGEREF _Toc11937781 \h </w:instrText>
      </w:r>
      <w:r>
        <w:fldChar w:fldCharType="separate"/>
      </w:r>
      <w:r w:rsidR="00562255">
        <w:t>490</w:t>
      </w:r>
      <w:r>
        <w:fldChar w:fldCharType="end"/>
      </w:r>
    </w:p>
    <w:p w:rsidR="00F4654E" w:rsidRDefault="00F4654E">
      <w:pPr>
        <w:pStyle w:val="10"/>
        <w:rPr>
          <w:spacing w:val="0"/>
        </w:rPr>
      </w:pPr>
      <w:r>
        <w:rPr>
          <w:spacing w:val="0"/>
        </w:rPr>
        <w:t xml:space="preserve">ИНФОРМАТИВНОСТЬ ПОКАЗАТЕЛЕЙ В ДИАГНОСТИКЕ ГЕПАТОДИСТРОФИИ </w:t>
      </w:r>
      <w:r w:rsidR="00E05280">
        <w:rPr>
          <w:spacing w:val="0"/>
        </w:rPr>
        <w:br/>
      </w:r>
      <w:r>
        <w:rPr>
          <w:spacing w:val="0"/>
        </w:rPr>
        <w:t>У ПОРОСЯТ</w:t>
      </w:r>
    </w:p>
    <w:p w:rsidR="00F4654E" w:rsidRDefault="00F4654E" w:rsidP="00562255">
      <w:pPr>
        <w:pStyle w:val="20"/>
      </w:pPr>
      <w:r>
        <w:t>Погребняк О.В., Сулейманов С.М., Слободяник В.С.</w:t>
      </w:r>
      <w:r>
        <w:tab/>
      </w:r>
      <w:r>
        <w:fldChar w:fldCharType="begin"/>
      </w:r>
      <w:r>
        <w:instrText xml:space="preserve"> PAGEREF _Toc11937783 \h </w:instrText>
      </w:r>
      <w:r>
        <w:fldChar w:fldCharType="separate"/>
      </w:r>
      <w:r w:rsidR="00562255">
        <w:t>492</w:t>
      </w:r>
      <w:r>
        <w:fldChar w:fldCharType="end"/>
      </w:r>
    </w:p>
    <w:p w:rsidR="00F4654E" w:rsidRDefault="00F4654E">
      <w:pPr>
        <w:pStyle w:val="10"/>
        <w:rPr>
          <w:spacing w:val="0"/>
        </w:rPr>
      </w:pPr>
      <w:r>
        <w:rPr>
          <w:spacing w:val="0"/>
        </w:rPr>
        <w:t>МОРФОФУНКЦИОНАЛЬНАЯ ХАРАКТЕРИСТИКА ПЕЧЕНИ БЕЛЫХ МЫШЕЙ ПРИ ЭКСПЕРИМЕНТАЛЬНОМ ВОСПРОИЗВЕДЕНИИ ОСТРОГО СВИНЦОВОГО ОТРАВЛЕНИЯ</w:t>
      </w:r>
    </w:p>
    <w:p w:rsidR="00F4654E" w:rsidRDefault="00F4654E" w:rsidP="00562255">
      <w:pPr>
        <w:pStyle w:val="20"/>
      </w:pPr>
      <w:r>
        <w:t>Подъяблонский А. Н., Гребенщиков А. В.</w:t>
      </w:r>
      <w:r>
        <w:tab/>
      </w:r>
      <w:r>
        <w:fldChar w:fldCharType="begin"/>
      </w:r>
      <w:r>
        <w:instrText xml:space="preserve"> PAGEREF _Toc11937785 \h </w:instrText>
      </w:r>
      <w:r>
        <w:fldChar w:fldCharType="separate"/>
      </w:r>
      <w:r w:rsidR="00562255">
        <w:t>493</w:t>
      </w:r>
      <w:r>
        <w:fldChar w:fldCharType="end"/>
      </w:r>
    </w:p>
    <w:p w:rsidR="00F4654E" w:rsidRDefault="00F4654E">
      <w:pPr>
        <w:pStyle w:val="10"/>
        <w:rPr>
          <w:spacing w:val="0"/>
        </w:rPr>
      </w:pPr>
      <w:r>
        <w:rPr>
          <w:spacing w:val="0"/>
        </w:rPr>
        <w:t>ЛЕЧЕНИЕ ТЕЛЯТ БОЛЬНЫХ БРОНХОПНЕВМОНИЕЙ</w:t>
      </w:r>
    </w:p>
    <w:p w:rsidR="00F4654E" w:rsidRDefault="00F4654E" w:rsidP="00562255">
      <w:pPr>
        <w:pStyle w:val="20"/>
      </w:pPr>
      <w:r>
        <w:t>Полозюк О.Н., Лысухо А.С., Лысухо Т.Н.</w:t>
      </w:r>
      <w:r>
        <w:tab/>
      </w:r>
      <w:r>
        <w:fldChar w:fldCharType="begin"/>
      </w:r>
      <w:r>
        <w:instrText xml:space="preserve"> PAGEREF _Toc11937787 \h </w:instrText>
      </w:r>
      <w:r>
        <w:fldChar w:fldCharType="separate"/>
      </w:r>
      <w:r w:rsidR="00562255">
        <w:t>494</w:t>
      </w:r>
      <w:r>
        <w:fldChar w:fldCharType="end"/>
      </w:r>
    </w:p>
    <w:p w:rsidR="00F4654E" w:rsidRDefault="00F4654E">
      <w:pPr>
        <w:pStyle w:val="10"/>
        <w:rPr>
          <w:spacing w:val="0"/>
        </w:rPr>
      </w:pPr>
      <w:r>
        <w:rPr>
          <w:spacing w:val="0"/>
        </w:rPr>
        <w:t>ВЗАИМОСВЯЗЬ МАСТИТОВ И ГИНЕКОЛОГИЧЕСКИХ БОЛЕЗНЕЙ У КОРОВ</w:t>
      </w:r>
    </w:p>
    <w:p w:rsidR="00F4654E" w:rsidRDefault="00F4654E" w:rsidP="00562255">
      <w:pPr>
        <w:pStyle w:val="20"/>
      </w:pPr>
      <w:r>
        <w:t>Пономарев В.К.</w:t>
      </w:r>
      <w:r>
        <w:tab/>
      </w:r>
      <w:r>
        <w:fldChar w:fldCharType="begin"/>
      </w:r>
      <w:r>
        <w:instrText xml:space="preserve"> PAGEREF _Toc11937789 \h </w:instrText>
      </w:r>
      <w:r>
        <w:fldChar w:fldCharType="separate"/>
      </w:r>
      <w:r w:rsidR="00562255">
        <w:t>496</w:t>
      </w:r>
      <w:r>
        <w:fldChar w:fldCharType="end"/>
      </w:r>
    </w:p>
    <w:p w:rsidR="00F4654E" w:rsidRDefault="00F4654E">
      <w:pPr>
        <w:pStyle w:val="10"/>
        <w:rPr>
          <w:spacing w:val="0"/>
        </w:rPr>
      </w:pPr>
      <w:r>
        <w:rPr>
          <w:spacing w:val="0"/>
        </w:rPr>
        <w:t>ПРОБЛЕМЫ ВОСПРОИЗВОДСТВА КРУПНОГО РОГАТОГО СКОТА</w:t>
      </w:r>
    </w:p>
    <w:p w:rsidR="00F4654E" w:rsidRDefault="00F4654E" w:rsidP="00562255">
      <w:pPr>
        <w:pStyle w:val="20"/>
      </w:pPr>
      <w:r>
        <w:t>Попов Ю.Г.</w:t>
      </w:r>
      <w:r>
        <w:tab/>
      </w:r>
      <w:r>
        <w:fldChar w:fldCharType="begin"/>
      </w:r>
      <w:r>
        <w:instrText xml:space="preserve"> PAGEREF _Toc11937791 \h </w:instrText>
      </w:r>
      <w:r>
        <w:fldChar w:fldCharType="separate"/>
      </w:r>
      <w:r w:rsidR="00562255">
        <w:t>497</w:t>
      </w:r>
      <w:r>
        <w:fldChar w:fldCharType="end"/>
      </w:r>
    </w:p>
    <w:p w:rsidR="00F4654E" w:rsidRDefault="00F4654E">
      <w:pPr>
        <w:pStyle w:val="10"/>
        <w:rPr>
          <w:spacing w:val="0"/>
        </w:rPr>
      </w:pPr>
      <w:r>
        <w:rPr>
          <w:spacing w:val="0"/>
        </w:rPr>
        <w:t xml:space="preserve">НОВОЕ В ПРОФИЛАКТИКЕ И ЛЕЧЕНИИ МАСТИТОВ У СВИНОМАТОК И ДИАРЕЙ </w:t>
      </w:r>
      <w:r>
        <w:rPr>
          <w:noProof w:val="0"/>
          <w:spacing w:val="0"/>
        </w:rPr>
        <w:br/>
      </w:r>
      <w:r>
        <w:rPr>
          <w:spacing w:val="0"/>
        </w:rPr>
        <w:t>У ПОРОСЯТ-СОСУНОВ</w:t>
      </w:r>
    </w:p>
    <w:p w:rsidR="00F4654E" w:rsidRDefault="00F4654E" w:rsidP="00562255">
      <w:pPr>
        <w:pStyle w:val="20"/>
      </w:pPr>
      <w:r>
        <w:t>Попов Ю.Г.</w:t>
      </w:r>
      <w:r>
        <w:tab/>
      </w:r>
      <w:r>
        <w:fldChar w:fldCharType="begin"/>
      </w:r>
      <w:r>
        <w:instrText xml:space="preserve"> PAGEREF _Toc11937793 \h </w:instrText>
      </w:r>
      <w:r>
        <w:fldChar w:fldCharType="separate"/>
      </w:r>
      <w:r w:rsidR="00562255">
        <w:t>498</w:t>
      </w:r>
      <w:r>
        <w:fldChar w:fldCharType="end"/>
      </w:r>
    </w:p>
    <w:p w:rsidR="00F4654E" w:rsidRDefault="00F4654E">
      <w:pPr>
        <w:pStyle w:val="10"/>
        <w:rPr>
          <w:spacing w:val="0"/>
        </w:rPr>
      </w:pPr>
      <w:r>
        <w:rPr>
          <w:spacing w:val="0"/>
        </w:rPr>
        <w:t xml:space="preserve">ЧУВСТВИТЕЛЬНОСТЬ ВОЗБУДИТЕЛЕЙ ЭНТЕРОИНФЕКЦИЙ У ПОРОСЯТ </w:t>
      </w:r>
      <w:r>
        <w:rPr>
          <w:noProof w:val="0"/>
          <w:spacing w:val="0"/>
        </w:rPr>
        <w:br/>
      </w:r>
      <w:r>
        <w:rPr>
          <w:spacing w:val="0"/>
        </w:rPr>
        <w:t>К МИРАМИСТИНУ</w:t>
      </w:r>
    </w:p>
    <w:p w:rsidR="00F4654E" w:rsidRDefault="00F4654E" w:rsidP="00562255">
      <w:pPr>
        <w:pStyle w:val="20"/>
      </w:pPr>
      <w:r>
        <w:t>Пояркова Т.В., Кузьмин Г.Н., Скогорева А.М.</w:t>
      </w:r>
      <w:r>
        <w:tab/>
      </w:r>
      <w:r>
        <w:fldChar w:fldCharType="begin"/>
      </w:r>
      <w:r>
        <w:instrText xml:space="preserve"> PAGEREF _Toc11937795 \h </w:instrText>
      </w:r>
      <w:r>
        <w:fldChar w:fldCharType="separate"/>
      </w:r>
      <w:r w:rsidR="00562255">
        <w:t>500</w:t>
      </w:r>
      <w:r>
        <w:fldChar w:fldCharType="end"/>
      </w:r>
    </w:p>
    <w:p w:rsidR="00F4654E" w:rsidRDefault="00F4654E">
      <w:pPr>
        <w:pStyle w:val="10"/>
        <w:rPr>
          <w:spacing w:val="0"/>
        </w:rPr>
      </w:pPr>
      <w:r>
        <w:rPr>
          <w:spacing w:val="0"/>
        </w:rPr>
        <w:lastRenderedPageBreak/>
        <w:t xml:space="preserve">РАСПРОСТРАНЕНИЕ И ФОРМЫ ПРОЯВЛЕНИЯ МАСТИТА У КОРОВ В </w:t>
      </w:r>
      <w:r>
        <w:rPr>
          <w:noProof w:val="0"/>
          <w:spacing w:val="0"/>
        </w:rPr>
        <w:br/>
      </w:r>
      <w:r>
        <w:rPr>
          <w:spacing w:val="0"/>
        </w:rPr>
        <w:t>СУХОСТОЙНЫЙ ПЕРИОД</w:t>
      </w:r>
    </w:p>
    <w:p w:rsidR="00F4654E" w:rsidRDefault="00F4654E" w:rsidP="00562255">
      <w:pPr>
        <w:pStyle w:val="20"/>
      </w:pPr>
      <w:r>
        <w:t>Притыкин Н.В.</w:t>
      </w:r>
      <w:r>
        <w:tab/>
      </w:r>
      <w:r>
        <w:fldChar w:fldCharType="begin"/>
      </w:r>
      <w:r>
        <w:instrText xml:space="preserve"> PAGEREF _Toc11937797 \h </w:instrText>
      </w:r>
      <w:r>
        <w:fldChar w:fldCharType="separate"/>
      </w:r>
      <w:r w:rsidR="00562255">
        <w:t>501</w:t>
      </w:r>
      <w:r>
        <w:fldChar w:fldCharType="end"/>
      </w:r>
    </w:p>
    <w:p w:rsidR="00F4654E" w:rsidRDefault="00F4654E">
      <w:pPr>
        <w:pStyle w:val="10"/>
        <w:rPr>
          <w:spacing w:val="0"/>
        </w:rPr>
      </w:pPr>
      <w:r>
        <w:rPr>
          <w:spacing w:val="0"/>
        </w:rPr>
        <w:t>ВЛИЯНИЕ МИКРОКЛИМАТА НА СОХРАННОСТЬ И МЕТАБОЛИЗМ МОЛОДНЯКА НУТРИИ</w:t>
      </w:r>
    </w:p>
    <w:p w:rsidR="00F4654E" w:rsidRDefault="00F4654E" w:rsidP="00562255">
      <w:pPr>
        <w:pStyle w:val="20"/>
      </w:pPr>
      <w:r>
        <w:t>Плотников И.А., Беспятых О.Ю.</w:t>
      </w:r>
      <w:r>
        <w:tab/>
      </w:r>
      <w:r>
        <w:fldChar w:fldCharType="begin"/>
      </w:r>
      <w:r>
        <w:instrText xml:space="preserve"> PAGEREF _Toc11937799 \h </w:instrText>
      </w:r>
      <w:r>
        <w:fldChar w:fldCharType="separate"/>
      </w:r>
      <w:r w:rsidR="00562255">
        <w:t>502</w:t>
      </w:r>
      <w:r>
        <w:fldChar w:fldCharType="end"/>
      </w:r>
    </w:p>
    <w:p w:rsidR="00F4654E" w:rsidRDefault="00F4654E">
      <w:pPr>
        <w:pStyle w:val="10"/>
        <w:rPr>
          <w:spacing w:val="0"/>
        </w:rPr>
      </w:pPr>
      <w:r>
        <w:rPr>
          <w:spacing w:val="0"/>
        </w:rPr>
        <w:t>СИТУАЦИЯ В ВОСПРОИЗВОДСТВЕ И СОХРАННОСТИ МОЛОДНЯКА СКОТА</w:t>
      </w:r>
    </w:p>
    <w:p w:rsidR="00F4654E" w:rsidRDefault="00F4654E" w:rsidP="00562255">
      <w:pPr>
        <w:pStyle w:val="20"/>
      </w:pPr>
      <w:r>
        <w:t>Попов В.Г., Джамалутдинов Ш.А.</w:t>
      </w:r>
      <w:r>
        <w:tab/>
      </w:r>
      <w:r>
        <w:fldChar w:fldCharType="begin"/>
      </w:r>
      <w:r>
        <w:instrText xml:space="preserve"> PAGEREF _Toc11937801 \h </w:instrText>
      </w:r>
      <w:r>
        <w:fldChar w:fldCharType="separate"/>
      </w:r>
      <w:r w:rsidR="00562255">
        <w:t>505</w:t>
      </w:r>
      <w:r>
        <w:fldChar w:fldCharType="end"/>
      </w:r>
    </w:p>
    <w:p w:rsidR="00F4654E" w:rsidRDefault="00F4654E">
      <w:pPr>
        <w:pStyle w:val="10"/>
        <w:rPr>
          <w:spacing w:val="0"/>
        </w:rPr>
      </w:pPr>
      <w:r>
        <w:rPr>
          <w:spacing w:val="0"/>
        </w:rPr>
        <w:t>ВЕТЕРИНАРНЫЕ КРЕМЫ В ТЕРАПИИ МАСТИТА У КОРОВ</w:t>
      </w:r>
    </w:p>
    <w:p w:rsidR="00F4654E" w:rsidRDefault="00F4654E" w:rsidP="00562255">
      <w:pPr>
        <w:pStyle w:val="20"/>
      </w:pPr>
      <w:r>
        <w:t>Попов Ю.И. Турченко А.Н.</w:t>
      </w:r>
      <w:r>
        <w:tab/>
      </w:r>
      <w:r>
        <w:fldChar w:fldCharType="begin"/>
      </w:r>
      <w:r>
        <w:instrText xml:space="preserve"> PAGEREF _Toc11937803 \h </w:instrText>
      </w:r>
      <w:r>
        <w:fldChar w:fldCharType="separate"/>
      </w:r>
      <w:r w:rsidR="00562255">
        <w:t>507</w:t>
      </w:r>
      <w:r>
        <w:fldChar w:fldCharType="end"/>
      </w:r>
    </w:p>
    <w:p w:rsidR="00F4654E" w:rsidRDefault="00F4654E">
      <w:pPr>
        <w:pStyle w:val="10"/>
        <w:rPr>
          <w:spacing w:val="0"/>
        </w:rPr>
      </w:pPr>
      <w:r>
        <w:rPr>
          <w:spacing w:val="0"/>
        </w:rPr>
        <w:t xml:space="preserve">ВЛИЯНИЕ НАТРИЯ ТИОСУЛЬФАТА НА НЕКОТОРЫЕ МОРФОЛОГИЧЕСКИЕ ПОКАЗАТЕЛИ </w:t>
      </w:r>
      <w:r>
        <w:rPr>
          <w:noProof w:val="0"/>
          <w:spacing w:val="0"/>
        </w:rPr>
        <w:br/>
      </w:r>
      <w:r>
        <w:rPr>
          <w:spacing w:val="0"/>
        </w:rPr>
        <w:t xml:space="preserve">КРОВИ И ТИТРЫ СПЕЦИФИЧЕСКИХ АНТИТЕЛ У ПОРОСЯТ, ВАКЦИНИРОВАННЫХ </w:t>
      </w:r>
      <w:r>
        <w:rPr>
          <w:noProof w:val="0"/>
          <w:spacing w:val="0"/>
        </w:rPr>
        <w:br/>
      </w:r>
      <w:r>
        <w:rPr>
          <w:spacing w:val="0"/>
        </w:rPr>
        <w:t>ПРОТИВ КЛАССИЧЕСКОЙ ЧУМЫ СВИНЕЙ</w:t>
      </w:r>
    </w:p>
    <w:p w:rsidR="00F4654E" w:rsidRDefault="00F4654E" w:rsidP="00562255">
      <w:pPr>
        <w:pStyle w:val="20"/>
      </w:pPr>
      <w:r>
        <w:t>Прудников В.С., Жалдыбин В.В., Прудников А.В.</w:t>
      </w:r>
      <w:r>
        <w:tab/>
      </w:r>
      <w:r>
        <w:fldChar w:fldCharType="begin"/>
      </w:r>
      <w:r>
        <w:instrText xml:space="preserve"> PAGEREF _Toc11937805 \h </w:instrText>
      </w:r>
      <w:r>
        <w:fldChar w:fldCharType="separate"/>
      </w:r>
      <w:r w:rsidR="00562255">
        <w:t>508</w:t>
      </w:r>
      <w:r>
        <w:fldChar w:fldCharType="end"/>
      </w:r>
    </w:p>
    <w:p w:rsidR="00F4654E" w:rsidRDefault="00F4654E">
      <w:pPr>
        <w:pStyle w:val="10"/>
        <w:rPr>
          <w:spacing w:val="0"/>
        </w:rPr>
      </w:pPr>
      <w:r>
        <w:rPr>
          <w:spacing w:val="0"/>
        </w:rPr>
        <w:t>ДИАГНОСТИТЕЧЕСКАЯ ЭФФЕКТИВНОСТЬ ЦВЕТНОГО АНТИГЕНА ПРИ</w:t>
      </w:r>
      <w:r>
        <w:rPr>
          <w:noProof w:val="0"/>
          <w:spacing w:val="0"/>
        </w:rPr>
        <w:t xml:space="preserve"> </w:t>
      </w:r>
      <w:r>
        <w:rPr>
          <w:spacing w:val="0"/>
        </w:rPr>
        <w:t>ЛИСТЕРИОЗЕ ЖИВОТНЫХ И ЧЕЛОВЕКА</w:t>
      </w:r>
    </w:p>
    <w:p w:rsidR="00F4654E" w:rsidRDefault="00F4654E" w:rsidP="00562255">
      <w:pPr>
        <w:pStyle w:val="20"/>
      </w:pPr>
      <w:r>
        <w:t>Рагимова Г.А., Бабаева С.А.</w:t>
      </w:r>
      <w:r>
        <w:tab/>
      </w:r>
      <w:r>
        <w:fldChar w:fldCharType="begin"/>
      </w:r>
      <w:r>
        <w:instrText xml:space="preserve"> PAGEREF _Toc11937807 \h </w:instrText>
      </w:r>
      <w:r>
        <w:fldChar w:fldCharType="separate"/>
      </w:r>
      <w:r w:rsidR="00562255">
        <w:t>509</w:t>
      </w:r>
      <w:r>
        <w:fldChar w:fldCharType="end"/>
      </w:r>
    </w:p>
    <w:p w:rsidR="00F4654E" w:rsidRDefault="00F4654E">
      <w:pPr>
        <w:pStyle w:val="10"/>
        <w:rPr>
          <w:spacing w:val="0"/>
        </w:rPr>
      </w:pPr>
      <w:r>
        <w:rPr>
          <w:spacing w:val="0"/>
        </w:rPr>
        <w:t>К ПРОБЛЕМЕ УРОГЕНИТАЛЬНОЙ ФОРМЫ ХЛАМИДИОЗА кРУПНОГО РОГАТОГО СКОТА</w:t>
      </w:r>
    </w:p>
    <w:p w:rsidR="00F4654E" w:rsidRDefault="00F4654E" w:rsidP="00562255">
      <w:pPr>
        <w:pStyle w:val="20"/>
      </w:pPr>
      <w:r>
        <w:t>Распутина О.В.</w:t>
      </w:r>
      <w:r>
        <w:tab/>
      </w:r>
      <w:r>
        <w:fldChar w:fldCharType="begin"/>
      </w:r>
      <w:r>
        <w:instrText xml:space="preserve"> PAGEREF _Toc11937809 \h </w:instrText>
      </w:r>
      <w:r>
        <w:fldChar w:fldCharType="separate"/>
      </w:r>
      <w:r w:rsidR="00562255">
        <w:t>510</w:t>
      </w:r>
      <w:r>
        <w:fldChar w:fldCharType="end"/>
      </w:r>
    </w:p>
    <w:p w:rsidR="00F4654E" w:rsidRDefault="00F4654E">
      <w:pPr>
        <w:pStyle w:val="10"/>
        <w:rPr>
          <w:spacing w:val="0"/>
        </w:rPr>
      </w:pPr>
      <w:r>
        <w:rPr>
          <w:spacing w:val="0"/>
        </w:rPr>
        <w:t>О ВОЗМОЖНОСТИ ИСПОЛЬЗОВАНИЯ ПРИРОДНЫХ ЦЕОЛИТОВ, В КАЧЕСТВЕ ДЕЗОДОРАТОРОВ ЖИВОТНОВОДЧЕСКИХ ПОМЕЩЕНИЙ</w:t>
      </w:r>
    </w:p>
    <w:p w:rsidR="00F4654E" w:rsidRDefault="00F4654E" w:rsidP="00562255">
      <w:pPr>
        <w:pStyle w:val="20"/>
      </w:pPr>
      <w:r>
        <w:t>Ребезов М.Б.</w:t>
      </w:r>
      <w:r>
        <w:tab/>
      </w:r>
      <w:r>
        <w:fldChar w:fldCharType="begin"/>
      </w:r>
      <w:r>
        <w:instrText xml:space="preserve"> PAGEREF _Toc11937811 \h </w:instrText>
      </w:r>
      <w:r>
        <w:fldChar w:fldCharType="separate"/>
      </w:r>
      <w:r w:rsidR="00562255">
        <w:t>513</w:t>
      </w:r>
      <w:r>
        <w:fldChar w:fldCharType="end"/>
      </w:r>
    </w:p>
    <w:p w:rsidR="00F4654E" w:rsidRDefault="00F4654E">
      <w:pPr>
        <w:pStyle w:val="10"/>
        <w:rPr>
          <w:spacing w:val="0"/>
        </w:rPr>
      </w:pPr>
      <w:r>
        <w:rPr>
          <w:spacing w:val="0"/>
        </w:rPr>
        <w:t xml:space="preserve">РЕЗУЛЬТАТЫ ПРИМЕНЕНИЯ ПРИРОДНЫХ ЦЕОЛИТОВ ЮЖНОГО УРАЛА В </w:t>
      </w:r>
      <w:r>
        <w:rPr>
          <w:noProof w:val="0"/>
          <w:spacing w:val="0"/>
        </w:rPr>
        <w:br/>
      </w:r>
      <w:r>
        <w:rPr>
          <w:spacing w:val="0"/>
        </w:rPr>
        <w:t>ПТИЦЕВОДЧЕСКИХ ХОЗЯЙСТВАХ</w:t>
      </w:r>
    </w:p>
    <w:p w:rsidR="00F4654E" w:rsidRDefault="00F4654E" w:rsidP="00562255">
      <w:pPr>
        <w:pStyle w:val="20"/>
      </w:pPr>
      <w:r>
        <w:t>Ребезов М.Б.</w:t>
      </w:r>
      <w:r>
        <w:tab/>
      </w:r>
      <w:r>
        <w:fldChar w:fldCharType="begin"/>
      </w:r>
      <w:r>
        <w:instrText xml:space="preserve"> PAGEREF _Toc11937813 \h </w:instrText>
      </w:r>
      <w:r>
        <w:fldChar w:fldCharType="separate"/>
      </w:r>
      <w:r w:rsidR="00562255">
        <w:t>514</w:t>
      </w:r>
      <w:r>
        <w:fldChar w:fldCharType="end"/>
      </w:r>
    </w:p>
    <w:p w:rsidR="00F4654E" w:rsidRDefault="00F4654E">
      <w:pPr>
        <w:pStyle w:val="10"/>
        <w:rPr>
          <w:spacing w:val="0"/>
        </w:rPr>
      </w:pPr>
      <w:r>
        <w:rPr>
          <w:spacing w:val="0"/>
        </w:rPr>
        <w:t>ИСПОЛЬЗОВАНИЕ ПРИРОДНЫХ ЦЕОЛИТОВ ПРИ ВЫРАЩИВАНИЯ ТЕЛЯТ</w:t>
      </w:r>
    </w:p>
    <w:p w:rsidR="00F4654E" w:rsidRDefault="00F4654E" w:rsidP="00562255">
      <w:pPr>
        <w:pStyle w:val="20"/>
      </w:pPr>
      <w:r>
        <w:t>Ребезов  М.Б.</w:t>
      </w:r>
      <w:r>
        <w:tab/>
      </w:r>
      <w:r>
        <w:fldChar w:fldCharType="begin"/>
      </w:r>
      <w:r>
        <w:instrText xml:space="preserve"> PAGEREF _Toc11937815 \h </w:instrText>
      </w:r>
      <w:r>
        <w:fldChar w:fldCharType="separate"/>
      </w:r>
      <w:r w:rsidR="00562255">
        <w:t>515</w:t>
      </w:r>
      <w:r>
        <w:fldChar w:fldCharType="end"/>
      </w:r>
    </w:p>
    <w:p w:rsidR="00F4654E" w:rsidRDefault="00F4654E">
      <w:pPr>
        <w:pStyle w:val="10"/>
        <w:rPr>
          <w:spacing w:val="0"/>
        </w:rPr>
      </w:pPr>
      <w:r>
        <w:rPr>
          <w:spacing w:val="0"/>
        </w:rPr>
        <w:t xml:space="preserve">Динамика стабильных метаболитов оксида азота у коров  </w:t>
      </w:r>
      <w:r>
        <w:rPr>
          <w:spacing w:val="0"/>
        </w:rPr>
        <w:br/>
        <w:t>с субинволюцией матки</w:t>
      </w:r>
    </w:p>
    <w:p w:rsidR="00F4654E" w:rsidRDefault="00F4654E" w:rsidP="00562255">
      <w:pPr>
        <w:pStyle w:val="20"/>
      </w:pPr>
      <w:r>
        <w:t>Рецкий М.И., Ермакова Н.В., Близнецова Г.Н., Зубцова А.Г.</w:t>
      </w:r>
      <w:r>
        <w:tab/>
      </w:r>
      <w:r>
        <w:fldChar w:fldCharType="begin"/>
      </w:r>
      <w:r>
        <w:instrText xml:space="preserve"> PAGEREF _Toc11937817 \h </w:instrText>
      </w:r>
      <w:r>
        <w:fldChar w:fldCharType="separate"/>
      </w:r>
      <w:r w:rsidR="00562255">
        <w:t>516</w:t>
      </w:r>
      <w:r>
        <w:fldChar w:fldCharType="end"/>
      </w:r>
    </w:p>
    <w:p w:rsidR="00F4654E" w:rsidRDefault="00F4654E">
      <w:pPr>
        <w:pStyle w:val="10"/>
        <w:rPr>
          <w:spacing w:val="0"/>
        </w:rPr>
      </w:pPr>
      <w:r>
        <w:rPr>
          <w:spacing w:val="0"/>
        </w:rPr>
        <w:t xml:space="preserve">ЭРИМЕТРИН – ПРЕПАРАТ ДЛЯ ЛЕЧЕНИЯ ЭНДОМЕТРИТОВ У КОРОВ </w:t>
      </w:r>
    </w:p>
    <w:p w:rsidR="00F4654E" w:rsidRDefault="00F4654E" w:rsidP="00562255">
      <w:pPr>
        <w:pStyle w:val="20"/>
      </w:pPr>
      <w:r>
        <w:t>Рубанец Л.Н.</w:t>
      </w:r>
      <w:r>
        <w:tab/>
      </w:r>
      <w:r>
        <w:fldChar w:fldCharType="begin"/>
      </w:r>
      <w:r>
        <w:instrText xml:space="preserve"> PAGEREF _Toc11937819 \h </w:instrText>
      </w:r>
      <w:r>
        <w:fldChar w:fldCharType="separate"/>
      </w:r>
      <w:r w:rsidR="00562255">
        <w:t>518</w:t>
      </w:r>
      <w:r>
        <w:fldChar w:fldCharType="end"/>
      </w:r>
    </w:p>
    <w:p w:rsidR="00F4654E" w:rsidRDefault="00F4654E">
      <w:pPr>
        <w:pStyle w:val="10"/>
        <w:rPr>
          <w:spacing w:val="0"/>
        </w:rPr>
      </w:pPr>
      <w:r>
        <w:rPr>
          <w:spacing w:val="0"/>
        </w:rPr>
        <w:t>Сочетанное влияние иммунофана и метионина на организм животных</w:t>
      </w:r>
    </w:p>
    <w:p w:rsidR="00F4654E" w:rsidRDefault="00F4654E" w:rsidP="00562255">
      <w:pPr>
        <w:pStyle w:val="20"/>
      </w:pPr>
      <w:r>
        <w:t>Рубинский И.А., Романова Л.Я.</w:t>
      </w:r>
      <w:r>
        <w:tab/>
      </w:r>
      <w:r>
        <w:fldChar w:fldCharType="begin"/>
      </w:r>
      <w:r>
        <w:instrText xml:space="preserve"> PAGEREF _Toc11937821 \h </w:instrText>
      </w:r>
      <w:r>
        <w:fldChar w:fldCharType="separate"/>
      </w:r>
      <w:r w:rsidR="00562255">
        <w:t>519</w:t>
      </w:r>
      <w:r>
        <w:fldChar w:fldCharType="end"/>
      </w:r>
    </w:p>
    <w:p w:rsidR="00F4654E" w:rsidRDefault="00F4654E">
      <w:pPr>
        <w:pStyle w:val="10"/>
        <w:rPr>
          <w:spacing w:val="0"/>
        </w:rPr>
      </w:pPr>
      <w:r>
        <w:rPr>
          <w:spacing w:val="0"/>
        </w:rPr>
        <w:t xml:space="preserve">РЕЗУЛЬТАТЫ ЛЕЧЕНИЯ МОЛОДНЯКА СОБАК ПРИ ЧУМЕ ПЛОТОЯДНЫХ С </w:t>
      </w:r>
      <w:r>
        <w:rPr>
          <w:noProof w:val="0"/>
          <w:spacing w:val="0"/>
        </w:rPr>
        <w:br/>
      </w:r>
      <w:r>
        <w:rPr>
          <w:spacing w:val="0"/>
        </w:rPr>
        <w:t>ИСПОЛЬЗОВАНИЕМ КИНОРОНА</w:t>
      </w:r>
    </w:p>
    <w:p w:rsidR="00F4654E" w:rsidRDefault="00F4654E" w:rsidP="00562255">
      <w:pPr>
        <w:pStyle w:val="20"/>
      </w:pPr>
      <w:r>
        <w:t>Рябцев П.С., Степанов А.В.</w:t>
      </w:r>
      <w:r>
        <w:tab/>
      </w:r>
      <w:r>
        <w:fldChar w:fldCharType="begin"/>
      </w:r>
      <w:r>
        <w:instrText xml:space="preserve"> PAGEREF _Toc11937823 \h </w:instrText>
      </w:r>
      <w:r>
        <w:fldChar w:fldCharType="separate"/>
      </w:r>
      <w:r w:rsidR="00562255">
        <w:t>521</w:t>
      </w:r>
      <w:r>
        <w:fldChar w:fldCharType="end"/>
      </w:r>
    </w:p>
    <w:p w:rsidR="00F4654E" w:rsidRDefault="00F4654E">
      <w:pPr>
        <w:pStyle w:val="10"/>
        <w:rPr>
          <w:spacing w:val="0"/>
        </w:rPr>
      </w:pPr>
      <w:r>
        <w:rPr>
          <w:spacing w:val="0"/>
        </w:rPr>
        <w:t>Влияние тенториума плюс на биохимические показатели крови у новорожденных телят при гипотрофии</w:t>
      </w:r>
    </w:p>
    <w:p w:rsidR="00F4654E" w:rsidRDefault="00F4654E" w:rsidP="00562255">
      <w:pPr>
        <w:pStyle w:val="20"/>
      </w:pPr>
      <w:r>
        <w:t>Саврасов Д.А.</w:t>
      </w:r>
      <w:r>
        <w:tab/>
      </w:r>
      <w:r>
        <w:fldChar w:fldCharType="begin"/>
      </w:r>
      <w:r>
        <w:instrText xml:space="preserve"> PAGEREF _Toc11937825 \h </w:instrText>
      </w:r>
      <w:r>
        <w:fldChar w:fldCharType="separate"/>
      </w:r>
      <w:r w:rsidR="00562255">
        <w:t>522</w:t>
      </w:r>
      <w:r>
        <w:fldChar w:fldCharType="end"/>
      </w:r>
    </w:p>
    <w:p w:rsidR="00F4654E" w:rsidRDefault="00F4654E">
      <w:pPr>
        <w:pStyle w:val="10"/>
        <w:rPr>
          <w:spacing w:val="0"/>
        </w:rPr>
      </w:pPr>
      <w:r>
        <w:rPr>
          <w:spacing w:val="0"/>
        </w:rPr>
        <w:t>Опыт изучения ганасупервита при гипотрофии новорожденных телят</w:t>
      </w:r>
    </w:p>
    <w:p w:rsidR="00F4654E" w:rsidRDefault="00F4654E" w:rsidP="00562255">
      <w:pPr>
        <w:pStyle w:val="20"/>
      </w:pPr>
      <w:r>
        <w:t>Саврасов Д.А.</w:t>
      </w:r>
      <w:r>
        <w:tab/>
      </w:r>
      <w:r>
        <w:fldChar w:fldCharType="begin"/>
      </w:r>
      <w:r>
        <w:instrText xml:space="preserve"> PAGEREF _Toc11937827 \h </w:instrText>
      </w:r>
      <w:r>
        <w:fldChar w:fldCharType="separate"/>
      </w:r>
      <w:r w:rsidR="00562255">
        <w:t>524</w:t>
      </w:r>
      <w:r>
        <w:fldChar w:fldCharType="end"/>
      </w:r>
    </w:p>
    <w:p w:rsidR="00F4654E" w:rsidRDefault="00F4654E">
      <w:pPr>
        <w:pStyle w:val="10"/>
        <w:rPr>
          <w:spacing w:val="0"/>
        </w:rPr>
      </w:pPr>
      <w:r>
        <w:rPr>
          <w:spacing w:val="0"/>
        </w:rPr>
        <w:t xml:space="preserve">Регуляция водно-электролитного обмена при гипотрофии </w:t>
      </w:r>
      <w:r>
        <w:rPr>
          <w:noProof w:val="0"/>
          <w:spacing w:val="0"/>
        </w:rPr>
        <w:br/>
      </w:r>
      <w:r>
        <w:rPr>
          <w:spacing w:val="0"/>
        </w:rPr>
        <w:t>новорожденных телят раствором Рингера-Локка</w:t>
      </w:r>
    </w:p>
    <w:p w:rsidR="00F4654E" w:rsidRDefault="00F4654E" w:rsidP="00562255">
      <w:pPr>
        <w:pStyle w:val="20"/>
      </w:pPr>
      <w:r>
        <w:t>Саврасов Д.А., Шушлебин В.И.</w:t>
      </w:r>
      <w:r>
        <w:tab/>
      </w:r>
      <w:r>
        <w:fldChar w:fldCharType="begin"/>
      </w:r>
      <w:r>
        <w:instrText xml:space="preserve"> PAGEREF _Toc11937829 \h </w:instrText>
      </w:r>
      <w:r>
        <w:fldChar w:fldCharType="separate"/>
      </w:r>
      <w:r w:rsidR="00562255">
        <w:t>525</w:t>
      </w:r>
      <w:r>
        <w:fldChar w:fldCharType="end"/>
      </w:r>
    </w:p>
    <w:p w:rsidR="00F4654E" w:rsidRDefault="00F4654E">
      <w:pPr>
        <w:pStyle w:val="10"/>
        <w:rPr>
          <w:spacing w:val="0"/>
        </w:rPr>
      </w:pPr>
      <w:r>
        <w:rPr>
          <w:spacing w:val="0"/>
        </w:rPr>
        <w:t>Опыт лечения эндометритов коров</w:t>
      </w:r>
    </w:p>
    <w:p w:rsidR="00F4654E" w:rsidRDefault="00F4654E" w:rsidP="00562255">
      <w:pPr>
        <w:pStyle w:val="20"/>
      </w:pPr>
      <w:r>
        <w:t>Садзаглишвили В.А.</w:t>
      </w:r>
      <w:r>
        <w:tab/>
      </w:r>
      <w:r>
        <w:fldChar w:fldCharType="begin"/>
      </w:r>
      <w:r>
        <w:instrText xml:space="preserve"> PAGEREF _Toc11937831 \h </w:instrText>
      </w:r>
      <w:r>
        <w:fldChar w:fldCharType="separate"/>
      </w:r>
      <w:r w:rsidR="00562255">
        <w:t>526</w:t>
      </w:r>
      <w:r>
        <w:fldChar w:fldCharType="end"/>
      </w:r>
    </w:p>
    <w:p w:rsidR="00F4654E" w:rsidRDefault="00F4654E">
      <w:pPr>
        <w:pStyle w:val="10"/>
        <w:rPr>
          <w:spacing w:val="0"/>
        </w:rPr>
      </w:pPr>
      <w:r>
        <w:rPr>
          <w:spacing w:val="0"/>
        </w:rPr>
        <w:t xml:space="preserve">НЕКОТОРЫЕ ОСОБЕННОСТИ ПАТОЛОГОАНАТОМИЧЕСКОЙ ДИАГНОСТИКИ АНАЭРОБНОЙ ЭНТЕРОТОКСЕМИИ ТЕЛЯТ, ВЫЗВАННОЙ  </w:t>
      </w:r>
      <w:r>
        <w:rPr>
          <w:i/>
          <w:spacing w:val="0"/>
        </w:rPr>
        <w:t>CL. PERFRINGENS</w:t>
      </w:r>
      <w:r>
        <w:rPr>
          <w:spacing w:val="0"/>
        </w:rPr>
        <w:t xml:space="preserve">  ТИП А</w:t>
      </w:r>
    </w:p>
    <w:p w:rsidR="00F4654E" w:rsidRDefault="00F4654E" w:rsidP="00562255">
      <w:pPr>
        <w:pStyle w:val="20"/>
      </w:pPr>
      <w:r>
        <w:t>Салимов В.А., Салимова Н.П.</w:t>
      </w:r>
      <w:r>
        <w:tab/>
      </w:r>
      <w:r>
        <w:fldChar w:fldCharType="begin"/>
      </w:r>
      <w:r>
        <w:instrText xml:space="preserve"> PAGEREF _Toc11937833 \h </w:instrText>
      </w:r>
      <w:r>
        <w:fldChar w:fldCharType="separate"/>
      </w:r>
      <w:r w:rsidR="00562255">
        <w:t>527</w:t>
      </w:r>
      <w:r>
        <w:fldChar w:fldCharType="end"/>
      </w:r>
    </w:p>
    <w:p w:rsidR="00F4654E" w:rsidRDefault="00F4654E">
      <w:pPr>
        <w:pStyle w:val="10"/>
        <w:rPr>
          <w:spacing w:val="0"/>
        </w:rPr>
      </w:pPr>
      <w:r>
        <w:rPr>
          <w:spacing w:val="0"/>
        </w:rPr>
        <w:t xml:space="preserve">Комплексный подход к проблеме получения и выращивания </w:t>
      </w:r>
      <w:r>
        <w:rPr>
          <w:spacing w:val="0"/>
        </w:rPr>
        <w:br/>
        <w:t>здоровых телят</w:t>
      </w:r>
    </w:p>
    <w:p w:rsidR="00F4654E" w:rsidRDefault="00F4654E" w:rsidP="00562255">
      <w:pPr>
        <w:pStyle w:val="20"/>
      </w:pPr>
      <w:r>
        <w:t>Сайченко В.И.</w:t>
      </w:r>
      <w:r>
        <w:tab/>
      </w:r>
      <w:r>
        <w:fldChar w:fldCharType="begin"/>
      </w:r>
      <w:r>
        <w:instrText xml:space="preserve"> PAGEREF _Toc11937835 \h </w:instrText>
      </w:r>
      <w:r>
        <w:fldChar w:fldCharType="separate"/>
      </w:r>
      <w:r w:rsidR="00562255">
        <w:t>528</w:t>
      </w:r>
      <w:r>
        <w:fldChar w:fldCharType="end"/>
      </w:r>
    </w:p>
    <w:p w:rsidR="00F4654E" w:rsidRDefault="00F4654E">
      <w:pPr>
        <w:pStyle w:val="10"/>
        <w:rPr>
          <w:spacing w:val="0"/>
        </w:rPr>
      </w:pPr>
      <w:r>
        <w:rPr>
          <w:spacing w:val="0"/>
        </w:rPr>
        <w:t xml:space="preserve">Морфологические показатели крови у кроликов при острой форме </w:t>
      </w:r>
      <w:r>
        <w:rPr>
          <w:noProof w:val="0"/>
          <w:spacing w:val="0"/>
        </w:rPr>
        <w:br/>
      </w:r>
      <w:r>
        <w:rPr>
          <w:spacing w:val="0"/>
        </w:rPr>
        <w:t>лучевой болезни средней тяжести</w:t>
      </w:r>
    </w:p>
    <w:p w:rsidR="00F4654E" w:rsidRDefault="00F4654E" w:rsidP="00562255">
      <w:pPr>
        <w:pStyle w:val="20"/>
      </w:pPr>
      <w:r>
        <w:t>Самороковская Л.А., Анохин А.Б.</w:t>
      </w:r>
      <w:r>
        <w:tab/>
      </w:r>
      <w:r>
        <w:fldChar w:fldCharType="begin"/>
      </w:r>
      <w:r>
        <w:instrText xml:space="preserve"> PAGEREF _Toc11937837 \h </w:instrText>
      </w:r>
      <w:r>
        <w:fldChar w:fldCharType="separate"/>
      </w:r>
      <w:r w:rsidR="00562255">
        <w:t>531</w:t>
      </w:r>
      <w:r>
        <w:fldChar w:fldCharType="end"/>
      </w:r>
    </w:p>
    <w:p w:rsidR="00F4654E" w:rsidRDefault="00F4654E">
      <w:pPr>
        <w:pStyle w:val="10"/>
        <w:rPr>
          <w:spacing w:val="0"/>
        </w:rPr>
      </w:pPr>
      <w:r>
        <w:rPr>
          <w:spacing w:val="0"/>
        </w:rPr>
        <w:lastRenderedPageBreak/>
        <w:t xml:space="preserve">НЕКОТОРЫЕ БИОХИМИЧЕСКИЕ ПОКАЗАТЕЛИ ПЕРЕХОДА ОРГАНИЗМА КОРОВ И </w:t>
      </w:r>
      <w:r>
        <w:rPr>
          <w:noProof w:val="0"/>
          <w:spacing w:val="0"/>
        </w:rPr>
        <w:br/>
      </w:r>
      <w:r>
        <w:rPr>
          <w:spacing w:val="0"/>
        </w:rPr>
        <w:t>ТЕЛЯТ ИЗ НОРМАЛЬНОГО СОСТОЯНИЯ В ПАТОЛОГИЧЕСКОЕ</w:t>
      </w:r>
    </w:p>
    <w:p w:rsidR="00F4654E" w:rsidRDefault="00F4654E" w:rsidP="00562255">
      <w:pPr>
        <w:pStyle w:val="20"/>
      </w:pPr>
      <w:r>
        <w:t>Самотин А.М.</w:t>
      </w:r>
      <w:r>
        <w:tab/>
      </w:r>
      <w:r>
        <w:fldChar w:fldCharType="begin"/>
      </w:r>
      <w:r>
        <w:instrText xml:space="preserve"> PAGEREF _Toc11937839 \h </w:instrText>
      </w:r>
      <w:r>
        <w:fldChar w:fldCharType="separate"/>
      </w:r>
      <w:r w:rsidR="00562255">
        <w:t>531</w:t>
      </w:r>
      <w:r>
        <w:fldChar w:fldCharType="end"/>
      </w:r>
    </w:p>
    <w:p w:rsidR="00F4654E" w:rsidRDefault="00F4654E">
      <w:pPr>
        <w:pStyle w:val="10"/>
        <w:rPr>
          <w:spacing w:val="0"/>
        </w:rPr>
      </w:pPr>
      <w:r>
        <w:rPr>
          <w:spacing w:val="0"/>
        </w:rPr>
        <w:t>ПРИМЕНЕНИЕ ВИТАМИННО-МИНЕРАЛЬНОГО ПРЕМИКСА ДЛЯ ПРОФИЛАКТИКИ СУБИНВОЛЮЦИИ МАТКИ У КОРОВ</w:t>
      </w:r>
    </w:p>
    <w:p w:rsidR="00F4654E" w:rsidRDefault="00F4654E" w:rsidP="00562255">
      <w:pPr>
        <w:pStyle w:val="20"/>
      </w:pPr>
      <w:r>
        <w:t xml:space="preserve">Самохин В.Т.,  Шушлебин В.И., Коцарев В.Н., Михалев В.И., </w:t>
      </w:r>
      <w:r>
        <w:rPr>
          <w:noProof w:val="0"/>
        </w:rPr>
        <w:br/>
      </w:r>
      <w:r>
        <w:t>Сотников А.А., Ермакова Н. В., Кочура М.Н.</w:t>
      </w:r>
      <w:r>
        <w:tab/>
      </w:r>
      <w:r>
        <w:fldChar w:fldCharType="begin"/>
      </w:r>
      <w:r>
        <w:instrText xml:space="preserve"> PAGEREF _Toc11937841 \h </w:instrText>
      </w:r>
      <w:r>
        <w:fldChar w:fldCharType="separate"/>
      </w:r>
      <w:r w:rsidR="00562255">
        <w:t>534</w:t>
      </w:r>
      <w:r>
        <w:fldChar w:fldCharType="end"/>
      </w:r>
    </w:p>
    <w:p w:rsidR="00F4654E" w:rsidRDefault="00F4654E">
      <w:pPr>
        <w:pStyle w:val="10"/>
        <w:rPr>
          <w:spacing w:val="0"/>
        </w:rPr>
      </w:pPr>
      <w:r>
        <w:rPr>
          <w:spacing w:val="0"/>
        </w:rPr>
        <w:t xml:space="preserve">ИСПОЛЬЗОВАНИЕ ФИЗИЧЕСКОЙ ЭНЕРГИИ ДЛЯ ЛЕЧЕНИЯ РАН РАЗЛИЧНОЙ </w:t>
      </w:r>
      <w:r>
        <w:rPr>
          <w:noProof w:val="0"/>
          <w:spacing w:val="0"/>
        </w:rPr>
        <w:br/>
      </w:r>
      <w:r>
        <w:rPr>
          <w:spacing w:val="0"/>
        </w:rPr>
        <w:t>ЭТИОЛОГИИ У ЛОШАДЕЙ</w:t>
      </w:r>
    </w:p>
    <w:p w:rsidR="00F4654E" w:rsidRDefault="00F4654E" w:rsidP="00562255">
      <w:pPr>
        <w:pStyle w:val="20"/>
      </w:pPr>
      <w:r>
        <w:t>Сапожков В.С., Черванёв В.А., Трояновская Л.П.</w:t>
      </w:r>
      <w:r>
        <w:tab/>
      </w:r>
      <w:r>
        <w:fldChar w:fldCharType="begin"/>
      </w:r>
      <w:r>
        <w:instrText xml:space="preserve"> PAGEREF _Toc11937843 \h </w:instrText>
      </w:r>
      <w:r>
        <w:fldChar w:fldCharType="separate"/>
      </w:r>
      <w:r w:rsidR="00562255">
        <w:t>535</w:t>
      </w:r>
      <w:r>
        <w:fldChar w:fldCharType="end"/>
      </w:r>
    </w:p>
    <w:p w:rsidR="00F4654E" w:rsidRDefault="00F4654E">
      <w:pPr>
        <w:pStyle w:val="10"/>
        <w:rPr>
          <w:spacing w:val="0"/>
        </w:rPr>
      </w:pPr>
      <w:r>
        <w:rPr>
          <w:spacing w:val="0"/>
        </w:rPr>
        <w:t>КЛИНИКО-ГЕМАТОЛОГИЧЕСКИЕ ИЗМЕНЕНИЯ У ЛОШАДЕЙ ПРИ РАНАХ РАЗЛИЧНОЙ ЭТИОЛОГИИ В ЗАВИСИМОСТИ ОТ МЕТОДОВ ИХ ЛЕЧЕНИЯ</w:t>
      </w:r>
    </w:p>
    <w:p w:rsidR="00F4654E" w:rsidRDefault="00F4654E" w:rsidP="00562255">
      <w:pPr>
        <w:pStyle w:val="20"/>
      </w:pPr>
      <w:r>
        <w:t>Сапожков В.С.</w:t>
      </w:r>
      <w:r>
        <w:tab/>
      </w:r>
      <w:r>
        <w:fldChar w:fldCharType="begin"/>
      </w:r>
      <w:r>
        <w:instrText xml:space="preserve"> PAGEREF _Toc11937845 \h </w:instrText>
      </w:r>
      <w:r>
        <w:fldChar w:fldCharType="separate"/>
      </w:r>
      <w:r w:rsidR="00562255">
        <w:t>537</w:t>
      </w:r>
      <w:r>
        <w:fldChar w:fldCharType="end"/>
      </w:r>
    </w:p>
    <w:p w:rsidR="00F4654E" w:rsidRDefault="00F4654E">
      <w:pPr>
        <w:pStyle w:val="10"/>
        <w:rPr>
          <w:spacing w:val="0"/>
        </w:rPr>
      </w:pPr>
      <w:r>
        <w:rPr>
          <w:spacing w:val="0"/>
        </w:rPr>
        <w:t>ОСОБЕННОСТИ ПАТОМОРФОЛОГИИ КОКСИЕЛЛЁЗА ТЕЛЯТ</w:t>
      </w:r>
    </w:p>
    <w:p w:rsidR="00F4654E" w:rsidRDefault="00F4654E" w:rsidP="00562255">
      <w:pPr>
        <w:pStyle w:val="20"/>
      </w:pPr>
      <w:r>
        <w:t>Сапожкова О.А.</w:t>
      </w:r>
      <w:r>
        <w:tab/>
      </w:r>
      <w:r>
        <w:fldChar w:fldCharType="begin"/>
      </w:r>
      <w:r>
        <w:instrText xml:space="preserve"> PAGEREF _Toc11937847 \h </w:instrText>
      </w:r>
      <w:r>
        <w:fldChar w:fldCharType="separate"/>
      </w:r>
      <w:r w:rsidR="00562255">
        <w:t>538</w:t>
      </w:r>
      <w:r>
        <w:fldChar w:fldCharType="end"/>
      </w:r>
    </w:p>
    <w:p w:rsidR="00F4654E" w:rsidRDefault="00F4654E">
      <w:pPr>
        <w:pStyle w:val="10"/>
        <w:rPr>
          <w:spacing w:val="0"/>
        </w:rPr>
      </w:pPr>
      <w:r>
        <w:rPr>
          <w:spacing w:val="0"/>
        </w:rPr>
        <w:t>ПРОТИВОРОЖИСТЫЕ БИОПРЕПАРАТЫ</w:t>
      </w:r>
    </w:p>
    <w:p w:rsidR="00F4654E" w:rsidRDefault="00F4654E" w:rsidP="00562255">
      <w:pPr>
        <w:pStyle w:val="20"/>
      </w:pPr>
      <w:r>
        <w:t>Семенов Л.В.</w:t>
      </w:r>
      <w:r>
        <w:tab/>
      </w:r>
      <w:r>
        <w:fldChar w:fldCharType="begin"/>
      </w:r>
      <w:r>
        <w:instrText xml:space="preserve"> PAGEREF _Toc11937849 \h </w:instrText>
      </w:r>
      <w:r>
        <w:fldChar w:fldCharType="separate"/>
      </w:r>
      <w:r w:rsidR="00562255">
        <w:t>539</w:t>
      </w:r>
      <w:r>
        <w:fldChar w:fldCharType="end"/>
      </w:r>
    </w:p>
    <w:p w:rsidR="00F4654E" w:rsidRDefault="00F4654E">
      <w:pPr>
        <w:pStyle w:val="10"/>
        <w:rPr>
          <w:spacing w:val="0"/>
        </w:rPr>
      </w:pPr>
      <w:r>
        <w:rPr>
          <w:spacing w:val="0"/>
        </w:rPr>
        <w:t>ОБЕЗЗАРАЖИВАНИЕ ТОВАРНЫХ ЯИЦ</w:t>
      </w:r>
    </w:p>
    <w:p w:rsidR="00F4654E" w:rsidRDefault="00F4654E" w:rsidP="00562255">
      <w:pPr>
        <w:pStyle w:val="20"/>
      </w:pPr>
      <w:r>
        <w:t>Семенченко С.В., Братских В.Г.</w:t>
      </w:r>
      <w:r>
        <w:tab/>
      </w:r>
      <w:r>
        <w:fldChar w:fldCharType="begin"/>
      </w:r>
      <w:r>
        <w:instrText xml:space="preserve"> PAGEREF _Toc11937851 \h </w:instrText>
      </w:r>
      <w:r>
        <w:fldChar w:fldCharType="separate"/>
      </w:r>
      <w:r w:rsidR="00562255">
        <w:t>540</w:t>
      </w:r>
      <w:r>
        <w:fldChar w:fldCharType="end"/>
      </w:r>
    </w:p>
    <w:p w:rsidR="00F4654E" w:rsidRDefault="00F4654E">
      <w:pPr>
        <w:pStyle w:val="10"/>
        <w:rPr>
          <w:spacing w:val="0"/>
        </w:rPr>
      </w:pPr>
      <w:r>
        <w:rPr>
          <w:spacing w:val="0"/>
        </w:rPr>
        <w:t xml:space="preserve">Сравнительная оценка способов отделения задержавшегося </w:t>
      </w:r>
      <w:r>
        <w:rPr>
          <w:noProof w:val="0"/>
          <w:spacing w:val="0"/>
        </w:rPr>
        <w:br/>
      </w:r>
      <w:r>
        <w:rPr>
          <w:spacing w:val="0"/>
        </w:rPr>
        <w:t>последа у коров</w:t>
      </w:r>
    </w:p>
    <w:p w:rsidR="00F4654E" w:rsidRDefault="00F4654E" w:rsidP="00562255">
      <w:pPr>
        <w:pStyle w:val="20"/>
      </w:pPr>
      <w:r>
        <w:t>Семиволос А.М., Соколова Н.В.</w:t>
      </w:r>
      <w:r>
        <w:tab/>
      </w:r>
      <w:r>
        <w:fldChar w:fldCharType="begin"/>
      </w:r>
      <w:r>
        <w:instrText xml:space="preserve"> PAGEREF _Toc11937853 \h </w:instrText>
      </w:r>
      <w:r>
        <w:fldChar w:fldCharType="separate"/>
      </w:r>
      <w:r w:rsidR="00562255">
        <w:t>542</w:t>
      </w:r>
      <w:r>
        <w:fldChar w:fldCharType="end"/>
      </w:r>
    </w:p>
    <w:p w:rsidR="00F4654E" w:rsidRDefault="00F4654E">
      <w:pPr>
        <w:pStyle w:val="10"/>
        <w:rPr>
          <w:spacing w:val="0"/>
        </w:rPr>
      </w:pPr>
      <w:r>
        <w:rPr>
          <w:spacing w:val="0"/>
        </w:rPr>
        <w:t>Применение сульфалена в птицеводстве</w:t>
      </w:r>
    </w:p>
    <w:p w:rsidR="00F4654E" w:rsidRDefault="00F4654E" w:rsidP="00562255">
      <w:pPr>
        <w:pStyle w:val="20"/>
      </w:pPr>
      <w:r>
        <w:t>Сингариева Н.Ш., Ортман Р. А.</w:t>
      </w:r>
      <w:r>
        <w:tab/>
      </w:r>
      <w:r>
        <w:fldChar w:fldCharType="begin"/>
      </w:r>
      <w:r>
        <w:instrText xml:space="preserve"> PAGEREF _Toc11937855 \h </w:instrText>
      </w:r>
      <w:r>
        <w:fldChar w:fldCharType="separate"/>
      </w:r>
      <w:r w:rsidR="00562255">
        <w:t>543</w:t>
      </w:r>
      <w:r>
        <w:fldChar w:fldCharType="end"/>
      </w:r>
    </w:p>
    <w:p w:rsidR="00F4654E" w:rsidRDefault="00F4654E">
      <w:pPr>
        <w:pStyle w:val="10"/>
        <w:rPr>
          <w:spacing w:val="0"/>
        </w:rPr>
      </w:pPr>
      <w:r>
        <w:rPr>
          <w:spacing w:val="0"/>
        </w:rPr>
        <w:t>ПРОГНОЗИРОВАНИЕ И КОРРЕКЦИЯ ИММУННОГО СТАТУСА НОВОРОЖДЕННЫХ ПОРОСЯТ</w:t>
      </w:r>
    </w:p>
    <w:p w:rsidR="00F4654E" w:rsidRDefault="00F4654E" w:rsidP="00562255">
      <w:pPr>
        <w:pStyle w:val="20"/>
      </w:pPr>
      <w:r>
        <w:t>Симонов А.Л., Великанов В.И., Ярушин А.Д., Молев А.И.</w:t>
      </w:r>
      <w:r>
        <w:tab/>
      </w:r>
      <w:r>
        <w:fldChar w:fldCharType="begin"/>
      </w:r>
      <w:r>
        <w:instrText xml:space="preserve"> PAGEREF _Toc11937857 \h </w:instrText>
      </w:r>
      <w:r>
        <w:fldChar w:fldCharType="separate"/>
      </w:r>
      <w:r w:rsidR="00562255">
        <w:t>545</w:t>
      </w:r>
      <w:r>
        <w:fldChar w:fldCharType="end"/>
      </w:r>
    </w:p>
    <w:p w:rsidR="00F4654E" w:rsidRDefault="00F4654E">
      <w:pPr>
        <w:pStyle w:val="10"/>
        <w:rPr>
          <w:spacing w:val="0"/>
        </w:rPr>
      </w:pPr>
      <w:r>
        <w:rPr>
          <w:spacing w:val="0"/>
        </w:rPr>
        <w:t>Влияние природного иммуномодулятора на перекисное окисление липидов при вакцинации телят против инфекционного ринотрахеита</w:t>
      </w:r>
    </w:p>
    <w:p w:rsidR="00F4654E" w:rsidRDefault="00F4654E" w:rsidP="00562255">
      <w:pPr>
        <w:pStyle w:val="20"/>
      </w:pPr>
      <w:r>
        <w:t>Слащилин В. А., Кардашов А.М.</w:t>
      </w:r>
      <w:r>
        <w:tab/>
      </w:r>
      <w:r>
        <w:fldChar w:fldCharType="begin"/>
      </w:r>
      <w:r>
        <w:instrText xml:space="preserve"> PAGEREF _Toc11937859 \h </w:instrText>
      </w:r>
      <w:r>
        <w:fldChar w:fldCharType="separate"/>
      </w:r>
      <w:r w:rsidR="00562255">
        <w:t>546</w:t>
      </w:r>
      <w:r>
        <w:fldChar w:fldCharType="end"/>
      </w:r>
    </w:p>
    <w:p w:rsidR="00F4654E" w:rsidRDefault="00F4654E">
      <w:pPr>
        <w:pStyle w:val="10"/>
        <w:rPr>
          <w:spacing w:val="0"/>
        </w:rPr>
      </w:pPr>
      <w:r>
        <w:rPr>
          <w:spacing w:val="0"/>
        </w:rPr>
        <w:t xml:space="preserve">Влияние лигфола на перекисное окисление липидов при вакцинации </w:t>
      </w:r>
      <w:r>
        <w:rPr>
          <w:noProof w:val="0"/>
          <w:spacing w:val="0"/>
        </w:rPr>
        <w:br/>
      </w:r>
      <w:r>
        <w:rPr>
          <w:spacing w:val="0"/>
        </w:rPr>
        <w:t>против парагриппа-3</w:t>
      </w:r>
    </w:p>
    <w:p w:rsidR="00F4654E" w:rsidRDefault="00F4654E" w:rsidP="00562255">
      <w:pPr>
        <w:pStyle w:val="20"/>
      </w:pPr>
      <w:r>
        <w:t>Слащилин В.А., Повеквечных С.П.</w:t>
      </w:r>
      <w:r>
        <w:tab/>
      </w:r>
      <w:r>
        <w:fldChar w:fldCharType="begin"/>
      </w:r>
      <w:r>
        <w:instrText xml:space="preserve"> PAGEREF _Toc11937861 \h </w:instrText>
      </w:r>
      <w:r>
        <w:fldChar w:fldCharType="separate"/>
      </w:r>
      <w:r w:rsidR="00562255">
        <w:t>547</w:t>
      </w:r>
      <w:r>
        <w:fldChar w:fldCharType="end"/>
      </w:r>
    </w:p>
    <w:p w:rsidR="00F4654E" w:rsidRDefault="00F4654E">
      <w:pPr>
        <w:pStyle w:val="10"/>
        <w:rPr>
          <w:spacing w:val="0"/>
        </w:rPr>
      </w:pPr>
      <w:r>
        <w:rPr>
          <w:spacing w:val="0"/>
        </w:rPr>
        <w:t>ПРИМЕНЕНИЕ ПОЛИМЕРАЗНОЙ ЦЕПНОЙ РЕАКЦИИ ДЛЯ ИДЕНТИФИКАЦИИ И ДИФФЕРЕНЦИАЦИИ ВИРУСА БЛЮТАНГА</w:t>
      </w:r>
    </w:p>
    <w:p w:rsidR="00F4654E" w:rsidRDefault="00F4654E" w:rsidP="00562255">
      <w:pPr>
        <w:pStyle w:val="20"/>
      </w:pPr>
      <w:r>
        <w:t>Снетков К.А., Власова Н.Н., Новикова М.Б., Цыбанов С.Ж.</w:t>
      </w:r>
      <w:r>
        <w:tab/>
      </w:r>
      <w:r>
        <w:fldChar w:fldCharType="begin"/>
      </w:r>
      <w:r>
        <w:instrText xml:space="preserve"> PAGEREF _Toc11937863 \h </w:instrText>
      </w:r>
      <w:r>
        <w:fldChar w:fldCharType="separate"/>
      </w:r>
      <w:r w:rsidR="00562255">
        <w:t>547</w:t>
      </w:r>
      <w:r>
        <w:fldChar w:fldCharType="end"/>
      </w:r>
    </w:p>
    <w:p w:rsidR="00F4654E" w:rsidRDefault="00F4654E">
      <w:pPr>
        <w:pStyle w:val="10"/>
        <w:rPr>
          <w:spacing w:val="0"/>
        </w:rPr>
      </w:pPr>
      <w:r>
        <w:rPr>
          <w:spacing w:val="0"/>
        </w:rPr>
        <w:t>Противовоспалительная активность препарата Арговит</w:t>
      </w:r>
    </w:p>
    <w:p w:rsidR="00F4654E" w:rsidRDefault="00F4654E" w:rsidP="00562255">
      <w:pPr>
        <w:pStyle w:val="20"/>
      </w:pPr>
      <w:r>
        <w:t>Соколов М.Ю.</w:t>
      </w:r>
      <w:r>
        <w:tab/>
      </w:r>
      <w:r>
        <w:fldChar w:fldCharType="begin"/>
      </w:r>
      <w:r>
        <w:instrText xml:space="preserve"> PAGEREF _Toc11937865 \h </w:instrText>
      </w:r>
      <w:r>
        <w:fldChar w:fldCharType="separate"/>
      </w:r>
      <w:r w:rsidR="00562255">
        <w:t>549</w:t>
      </w:r>
      <w:r>
        <w:fldChar w:fldCharType="end"/>
      </w:r>
    </w:p>
    <w:p w:rsidR="00F4654E" w:rsidRDefault="00F4654E">
      <w:pPr>
        <w:pStyle w:val="10"/>
        <w:rPr>
          <w:spacing w:val="0"/>
        </w:rPr>
      </w:pPr>
      <w:r>
        <w:rPr>
          <w:spacing w:val="0"/>
        </w:rPr>
        <w:t>Особенности распространения задержания последа у коров</w:t>
      </w:r>
    </w:p>
    <w:p w:rsidR="00F4654E" w:rsidRDefault="00F4654E" w:rsidP="00562255">
      <w:pPr>
        <w:pStyle w:val="20"/>
      </w:pPr>
      <w:r>
        <w:t>Соколова Н.В., Семиволос А.М.</w:t>
      </w:r>
      <w:r>
        <w:tab/>
      </w:r>
      <w:r>
        <w:fldChar w:fldCharType="begin"/>
      </w:r>
      <w:r>
        <w:instrText xml:space="preserve"> PAGEREF _Toc11937867 \h </w:instrText>
      </w:r>
      <w:r>
        <w:fldChar w:fldCharType="separate"/>
      </w:r>
      <w:r w:rsidR="00562255">
        <w:t>551</w:t>
      </w:r>
      <w:r>
        <w:fldChar w:fldCharType="end"/>
      </w:r>
    </w:p>
    <w:p w:rsidR="00F4654E" w:rsidRDefault="00F4654E">
      <w:pPr>
        <w:pStyle w:val="10"/>
        <w:rPr>
          <w:spacing w:val="0"/>
        </w:rPr>
      </w:pPr>
      <w:r>
        <w:rPr>
          <w:spacing w:val="0"/>
        </w:rPr>
        <w:t xml:space="preserve">ВЫДЕЛЕНИЕ И ИСПОЛЬЗОВАНИЕ МАКРОФАГОВ СВИНЕЙ ДЛЯ КУЛЬТИВИРОВАНИЯ </w:t>
      </w:r>
      <w:r>
        <w:rPr>
          <w:noProof w:val="0"/>
          <w:spacing w:val="0"/>
        </w:rPr>
        <w:br/>
      </w:r>
      <w:r>
        <w:rPr>
          <w:spacing w:val="0"/>
        </w:rPr>
        <w:t>ВИРУСА РРСС</w:t>
      </w:r>
    </w:p>
    <w:p w:rsidR="00F4654E" w:rsidRDefault="00F4654E" w:rsidP="00562255">
      <w:pPr>
        <w:pStyle w:val="20"/>
      </w:pPr>
      <w:r>
        <w:t xml:space="preserve">Соколов М.А., Орлянкин Б.Г., Мусиенко М.И.,  Груздев К.Н., </w:t>
      </w:r>
      <w:r>
        <w:rPr>
          <w:noProof w:val="0"/>
        </w:rPr>
        <w:br/>
      </w:r>
      <w:r>
        <w:t>Непоклонов Е.А.</w:t>
      </w:r>
      <w:r>
        <w:tab/>
      </w:r>
      <w:r>
        <w:fldChar w:fldCharType="begin"/>
      </w:r>
      <w:r>
        <w:instrText xml:space="preserve"> PAGEREF _Toc11937869 \h </w:instrText>
      </w:r>
      <w:r>
        <w:fldChar w:fldCharType="separate"/>
      </w:r>
      <w:r w:rsidR="00562255">
        <w:t>552</w:t>
      </w:r>
      <w:r>
        <w:fldChar w:fldCharType="end"/>
      </w:r>
    </w:p>
    <w:p w:rsidR="00F4654E" w:rsidRDefault="00F4654E">
      <w:pPr>
        <w:pStyle w:val="10"/>
        <w:rPr>
          <w:spacing w:val="0"/>
        </w:rPr>
      </w:pPr>
      <w:r>
        <w:rPr>
          <w:spacing w:val="0"/>
        </w:rPr>
        <w:t>ЭФФЕКТИВНОСТЬ ПРИМЕНЕНИЯ ПОЛИМЕРНЫХ МАТЕРИАЛОВ ДЛЯ ПОВЫШЕНИЯ УСВОЯЕМОСТИ КОРМОВОГО БЕЛКА</w:t>
      </w:r>
    </w:p>
    <w:p w:rsidR="00F4654E" w:rsidRDefault="00F4654E" w:rsidP="00562255">
      <w:pPr>
        <w:pStyle w:val="20"/>
      </w:pPr>
      <w:r>
        <w:t>Соловьев А.М., Грудина Н.В., Луховицкий В.И.</w:t>
      </w:r>
      <w:r>
        <w:rPr>
          <w:noProof w:val="0"/>
        </w:rPr>
        <w:t xml:space="preserve"> </w:t>
      </w:r>
      <w:r>
        <w:tab/>
      </w:r>
      <w:r>
        <w:fldChar w:fldCharType="begin"/>
      </w:r>
      <w:r>
        <w:instrText xml:space="preserve"> PAGEREF _Toc11937871 \h </w:instrText>
      </w:r>
      <w:r>
        <w:fldChar w:fldCharType="separate"/>
      </w:r>
      <w:r w:rsidR="00562255">
        <w:t>554</w:t>
      </w:r>
      <w:r>
        <w:fldChar w:fldCharType="end"/>
      </w:r>
    </w:p>
    <w:p w:rsidR="00F4654E" w:rsidRDefault="00F4654E">
      <w:pPr>
        <w:pStyle w:val="10"/>
        <w:rPr>
          <w:spacing w:val="0"/>
        </w:rPr>
      </w:pPr>
      <w:r>
        <w:rPr>
          <w:spacing w:val="0"/>
        </w:rPr>
        <w:t>Микрокультивирование на парафиновых дисках,  как метод индикации микобактерий для санитарно- Иикробиологической оценки объектов животноводческих ферм при туберкулёзе</w:t>
      </w:r>
    </w:p>
    <w:p w:rsidR="00F4654E" w:rsidRDefault="00F4654E" w:rsidP="00562255">
      <w:pPr>
        <w:pStyle w:val="20"/>
      </w:pPr>
      <w:r>
        <w:t>Субботина С.Г., Жмуров Н.Г., Ливенцева И.В.</w:t>
      </w:r>
      <w:r>
        <w:tab/>
      </w:r>
      <w:r>
        <w:fldChar w:fldCharType="begin"/>
      </w:r>
      <w:r>
        <w:instrText xml:space="preserve"> PAGEREF _Toc11937873 \h </w:instrText>
      </w:r>
      <w:r>
        <w:fldChar w:fldCharType="separate"/>
      </w:r>
      <w:r w:rsidR="00562255">
        <w:t>554</w:t>
      </w:r>
      <w:r>
        <w:fldChar w:fldCharType="end"/>
      </w:r>
    </w:p>
    <w:p w:rsidR="00F4654E" w:rsidRDefault="00F4654E">
      <w:pPr>
        <w:pStyle w:val="10"/>
        <w:rPr>
          <w:spacing w:val="0"/>
        </w:rPr>
      </w:pPr>
      <w:r>
        <w:rPr>
          <w:spacing w:val="0"/>
        </w:rPr>
        <w:t>ИСПОЛЬЗОВАНИЕ ФИЛЬТРАЦИОННОГО МОДУЛЯ ФИРМЫ «САРТОРИУС» ДЛЯ КОНЦЕНТРИРОВАНИЯ ЛЕПТОСПИР</w:t>
      </w:r>
    </w:p>
    <w:p w:rsidR="00F4654E" w:rsidRDefault="00F4654E" w:rsidP="00562255">
      <w:pPr>
        <w:pStyle w:val="20"/>
      </w:pPr>
      <w:r>
        <w:t>Сусский Е.В., Ярцев С.Н.</w:t>
      </w:r>
      <w:r>
        <w:tab/>
      </w:r>
      <w:r>
        <w:fldChar w:fldCharType="begin"/>
      </w:r>
      <w:r>
        <w:instrText xml:space="preserve"> PAGEREF _Toc11937875 \h </w:instrText>
      </w:r>
      <w:r>
        <w:fldChar w:fldCharType="separate"/>
      </w:r>
      <w:r w:rsidR="00562255">
        <w:t>556</w:t>
      </w:r>
      <w:r>
        <w:fldChar w:fldCharType="end"/>
      </w:r>
    </w:p>
    <w:p w:rsidR="00F4654E" w:rsidRDefault="00F4654E">
      <w:pPr>
        <w:pStyle w:val="10"/>
        <w:rPr>
          <w:spacing w:val="0"/>
        </w:rPr>
      </w:pPr>
      <w:r>
        <w:rPr>
          <w:spacing w:val="0"/>
        </w:rPr>
        <w:t>ПОЛУЧЕНИЕ ПИТАТЕЛЬНОЙ СРЕДЫ НА ОСНОВЕ ЭРИТРОЦИТАРНОЙ МАССЫ</w:t>
      </w:r>
    </w:p>
    <w:p w:rsidR="00F4654E" w:rsidRDefault="00F4654E" w:rsidP="00562255">
      <w:pPr>
        <w:pStyle w:val="20"/>
      </w:pPr>
      <w:r>
        <w:t>Сусский Е.В., Ярцев С.Н.</w:t>
      </w:r>
      <w:r>
        <w:tab/>
      </w:r>
      <w:r>
        <w:fldChar w:fldCharType="begin"/>
      </w:r>
      <w:r>
        <w:instrText xml:space="preserve"> PAGEREF _Toc11937877 \h </w:instrText>
      </w:r>
      <w:r>
        <w:fldChar w:fldCharType="separate"/>
      </w:r>
      <w:r w:rsidR="00562255">
        <w:t>557</w:t>
      </w:r>
      <w:r>
        <w:fldChar w:fldCharType="end"/>
      </w:r>
    </w:p>
    <w:p w:rsidR="00F4654E" w:rsidRDefault="00F4654E">
      <w:pPr>
        <w:pStyle w:val="10"/>
        <w:rPr>
          <w:spacing w:val="0"/>
        </w:rPr>
      </w:pPr>
      <w:r>
        <w:rPr>
          <w:spacing w:val="0"/>
        </w:rPr>
        <w:lastRenderedPageBreak/>
        <w:t xml:space="preserve">Влияние перекисного окисления липидов на сурфактант легких свиней </w:t>
      </w:r>
      <w:r>
        <w:rPr>
          <w:noProof w:val="0"/>
          <w:spacing w:val="0"/>
        </w:rPr>
        <w:br/>
      </w:r>
      <w:r>
        <w:rPr>
          <w:spacing w:val="0"/>
        </w:rPr>
        <w:t>при стрессе, пневмонии и его ограничение антиоксидантами</w:t>
      </w:r>
    </w:p>
    <w:p w:rsidR="00F4654E" w:rsidRDefault="00F4654E" w:rsidP="00562255">
      <w:pPr>
        <w:pStyle w:val="20"/>
      </w:pPr>
      <w:r>
        <w:rPr>
          <w:caps/>
        </w:rPr>
        <w:t>С</w:t>
      </w:r>
      <w:r>
        <w:t>ухов Н.М.</w:t>
      </w:r>
      <w:r>
        <w:tab/>
      </w:r>
      <w:r>
        <w:fldChar w:fldCharType="begin"/>
      </w:r>
      <w:r>
        <w:instrText xml:space="preserve"> PAGEREF _Toc11937879 \h </w:instrText>
      </w:r>
      <w:r>
        <w:fldChar w:fldCharType="separate"/>
      </w:r>
      <w:r w:rsidR="00562255">
        <w:t>559</w:t>
      </w:r>
      <w:r>
        <w:fldChar w:fldCharType="end"/>
      </w:r>
    </w:p>
    <w:p w:rsidR="00F4654E" w:rsidRDefault="00F4654E">
      <w:pPr>
        <w:pStyle w:val="10"/>
        <w:rPr>
          <w:spacing w:val="0"/>
        </w:rPr>
      </w:pPr>
      <w:r>
        <w:rPr>
          <w:spacing w:val="0"/>
        </w:rPr>
        <w:t>ИЗМЕНЕНИЕ ЧИСЛЕННОСТИ ИНФУЗОРИЙ РУБЦОВОГО СОДЕРЖИМОГО ОВЕЦ ПРИ СМЕШАННОЙ ГЕЛЬМИНТОЗНОЙ ИНВАЗИИ И ПОСЛЕ ДЕГЕЛЬМИНТИЗАЦИИ</w:t>
      </w:r>
    </w:p>
    <w:p w:rsidR="00F4654E" w:rsidRDefault="00F4654E" w:rsidP="00562255">
      <w:pPr>
        <w:pStyle w:val="20"/>
      </w:pPr>
      <w:r>
        <w:t>Сысоева Н.Ю., Верховская Г.Л.</w:t>
      </w:r>
      <w:r>
        <w:tab/>
      </w:r>
      <w:r>
        <w:fldChar w:fldCharType="begin"/>
      </w:r>
      <w:r>
        <w:instrText xml:space="preserve"> PAGEREF _Toc11937881 \h </w:instrText>
      </w:r>
      <w:r>
        <w:fldChar w:fldCharType="separate"/>
      </w:r>
      <w:r w:rsidR="00562255">
        <w:t>561</w:t>
      </w:r>
      <w:r>
        <w:fldChar w:fldCharType="end"/>
      </w:r>
    </w:p>
    <w:p w:rsidR="00F4654E" w:rsidRDefault="00F4654E">
      <w:pPr>
        <w:pStyle w:val="10"/>
        <w:rPr>
          <w:spacing w:val="0"/>
        </w:rPr>
      </w:pPr>
      <w:r>
        <w:rPr>
          <w:spacing w:val="0"/>
        </w:rPr>
        <w:t>ИСПОЛЬЗОВАНИЕ ЛАКТОБИФАДОЛА ДЛЯ КОРРЕКЦИИ НАРУШЕНИЯ ДЕЯТЕЛЬНОСТИ ЖЕЛУДОЧНО-КИШЕЧНОГО ТРАКТА ЯГНЯТ ПРИ ПОДГОТОВКЕ К ДЕГЕЛЬМИНТИЗАЦИИ</w:t>
      </w:r>
    </w:p>
    <w:p w:rsidR="00F4654E" w:rsidRDefault="00F4654E" w:rsidP="00562255">
      <w:pPr>
        <w:pStyle w:val="20"/>
      </w:pPr>
      <w:r>
        <w:t>Сысоева Н.Ю., Субботин В.В., Верховская Г.Л.</w:t>
      </w:r>
      <w:r>
        <w:tab/>
      </w:r>
      <w:r>
        <w:fldChar w:fldCharType="begin"/>
      </w:r>
      <w:r>
        <w:instrText xml:space="preserve"> PAGEREF _Toc11937883 \h </w:instrText>
      </w:r>
      <w:r>
        <w:fldChar w:fldCharType="separate"/>
      </w:r>
      <w:r w:rsidR="00562255">
        <w:t>563</w:t>
      </w:r>
      <w:r>
        <w:fldChar w:fldCharType="end"/>
      </w:r>
    </w:p>
    <w:p w:rsidR="00F4654E" w:rsidRDefault="00F4654E">
      <w:pPr>
        <w:pStyle w:val="10"/>
        <w:rPr>
          <w:spacing w:val="0"/>
        </w:rPr>
      </w:pPr>
      <w:r>
        <w:rPr>
          <w:spacing w:val="0"/>
        </w:rPr>
        <w:t xml:space="preserve">ВЛИЯНИЕ МАКРО –  И МИКРОЭЛЕМЕНТОВ НА ЭФФЕКТИВНОСТЬ ЛЕЧЕНИЯ </w:t>
      </w:r>
      <w:r>
        <w:rPr>
          <w:noProof w:val="0"/>
          <w:spacing w:val="0"/>
        </w:rPr>
        <w:br/>
      </w:r>
      <w:r>
        <w:rPr>
          <w:spacing w:val="0"/>
        </w:rPr>
        <w:t>ДИСПЕПСИИ ЯГНЯТ</w:t>
      </w:r>
    </w:p>
    <w:p w:rsidR="00F4654E" w:rsidRDefault="00F4654E" w:rsidP="00562255">
      <w:pPr>
        <w:pStyle w:val="20"/>
      </w:pPr>
      <w:r>
        <w:t>Тагиев И.К.</w:t>
      </w:r>
      <w:r>
        <w:tab/>
      </w:r>
      <w:r>
        <w:fldChar w:fldCharType="begin"/>
      </w:r>
      <w:r>
        <w:instrText xml:space="preserve"> PAGEREF _Toc11937885 \h </w:instrText>
      </w:r>
      <w:r>
        <w:fldChar w:fldCharType="separate"/>
      </w:r>
      <w:r w:rsidR="00562255">
        <w:t>565</w:t>
      </w:r>
      <w:r>
        <w:fldChar w:fldCharType="end"/>
      </w:r>
    </w:p>
    <w:p w:rsidR="00F4654E" w:rsidRDefault="00F4654E">
      <w:pPr>
        <w:pStyle w:val="10"/>
        <w:rPr>
          <w:spacing w:val="0"/>
        </w:rPr>
      </w:pPr>
      <w:r>
        <w:rPr>
          <w:spacing w:val="0"/>
        </w:rPr>
        <w:t xml:space="preserve">Показатели роста и развития новорожденных телят, полученных от </w:t>
      </w:r>
      <w:r>
        <w:rPr>
          <w:noProof w:val="0"/>
          <w:spacing w:val="0"/>
        </w:rPr>
        <w:br/>
      </w:r>
      <w:r>
        <w:rPr>
          <w:spacing w:val="0"/>
        </w:rPr>
        <w:t>коров различных возрастов</w:t>
      </w:r>
    </w:p>
    <w:p w:rsidR="00F4654E" w:rsidRDefault="00F4654E" w:rsidP="00562255">
      <w:pPr>
        <w:pStyle w:val="20"/>
      </w:pPr>
      <w:r>
        <w:t>Таов И.Х.</w:t>
      </w:r>
      <w:r>
        <w:tab/>
      </w:r>
      <w:r>
        <w:fldChar w:fldCharType="begin"/>
      </w:r>
      <w:r>
        <w:instrText xml:space="preserve"> PAGEREF _Toc11937887 \h </w:instrText>
      </w:r>
      <w:r>
        <w:fldChar w:fldCharType="separate"/>
      </w:r>
      <w:r w:rsidR="00562255">
        <w:t>566</w:t>
      </w:r>
      <w:r>
        <w:fldChar w:fldCharType="end"/>
      </w:r>
    </w:p>
    <w:p w:rsidR="00F4654E" w:rsidRDefault="00F4654E">
      <w:pPr>
        <w:pStyle w:val="10"/>
        <w:rPr>
          <w:spacing w:val="0"/>
        </w:rPr>
      </w:pPr>
      <w:r>
        <w:rPr>
          <w:spacing w:val="0"/>
        </w:rPr>
        <w:t>Показатели неспецифической резистентности организма новорожденных телят в зависимости от возраста матерей</w:t>
      </w:r>
    </w:p>
    <w:p w:rsidR="00F4654E" w:rsidRDefault="00F4654E" w:rsidP="00562255">
      <w:pPr>
        <w:pStyle w:val="20"/>
      </w:pPr>
      <w:r>
        <w:t>Таов И.Х., Тимченко Л.Д.</w:t>
      </w:r>
      <w:r>
        <w:tab/>
      </w:r>
      <w:r>
        <w:fldChar w:fldCharType="begin"/>
      </w:r>
      <w:r>
        <w:instrText xml:space="preserve"> PAGEREF _Toc11937889 \h </w:instrText>
      </w:r>
      <w:r>
        <w:fldChar w:fldCharType="separate"/>
      </w:r>
      <w:r w:rsidR="00562255">
        <w:t>568</w:t>
      </w:r>
      <w:r>
        <w:fldChar w:fldCharType="end"/>
      </w:r>
    </w:p>
    <w:p w:rsidR="00F4654E" w:rsidRDefault="00F4654E">
      <w:pPr>
        <w:pStyle w:val="10"/>
        <w:rPr>
          <w:spacing w:val="0"/>
        </w:rPr>
      </w:pPr>
      <w:r>
        <w:rPr>
          <w:spacing w:val="0"/>
        </w:rPr>
        <w:t xml:space="preserve">МИКРОБИОЛОГИЧЕСКИЙ СПЕКТР ОПЕРАЦИОННЫХ РАН ЖЕЛУДКА СОБАК В </w:t>
      </w:r>
      <w:r>
        <w:rPr>
          <w:spacing w:val="0"/>
        </w:rPr>
        <w:br/>
        <w:t>ЗАВИСИМОСТИ ОТ ШОВНОГО МАТЕРИАЛА И ВИДА ШВА</w:t>
      </w:r>
    </w:p>
    <w:p w:rsidR="00F4654E" w:rsidRDefault="00F4654E" w:rsidP="00562255">
      <w:pPr>
        <w:pStyle w:val="20"/>
      </w:pPr>
      <w:r>
        <w:t>Тарасенко П. А.</w:t>
      </w:r>
      <w:r>
        <w:tab/>
      </w:r>
      <w:r>
        <w:fldChar w:fldCharType="begin"/>
      </w:r>
      <w:r>
        <w:instrText xml:space="preserve"> PAGEREF _Toc11937891 \h </w:instrText>
      </w:r>
      <w:r>
        <w:fldChar w:fldCharType="separate"/>
      </w:r>
      <w:r w:rsidR="00562255">
        <w:t>570</w:t>
      </w:r>
      <w:r>
        <w:fldChar w:fldCharType="end"/>
      </w:r>
    </w:p>
    <w:p w:rsidR="00F4654E" w:rsidRDefault="00F4654E">
      <w:pPr>
        <w:pStyle w:val="10"/>
        <w:rPr>
          <w:spacing w:val="0"/>
        </w:rPr>
      </w:pPr>
      <w:r>
        <w:rPr>
          <w:spacing w:val="0"/>
        </w:rPr>
        <w:t>ПОЛИМЕРНАЯ НИТЬ «РУСАР-С» ДЛЯ АБДОМИНАЛЬНОЙ ХИРУРГИИ ДОМАШНИХ ЖИВОТНЫХ</w:t>
      </w:r>
    </w:p>
    <w:p w:rsidR="00F4654E" w:rsidRDefault="00F4654E" w:rsidP="00562255">
      <w:pPr>
        <w:pStyle w:val="20"/>
      </w:pPr>
      <w:r>
        <w:t>Тарасенко П. А.</w:t>
      </w:r>
      <w:r>
        <w:tab/>
      </w:r>
      <w:r>
        <w:fldChar w:fldCharType="begin"/>
      </w:r>
      <w:r>
        <w:instrText xml:space="preserve"> PAGEREF _Toc11937893 \h </w:instrText>
      </w:r>
      <w:r>
        <w:fldChar w:fldCharType="separate"/>
      </w:r>
      <w:r w:rsidR="00562255">
        <w:t>571</w:t>
      </w:r>
      <w:r>
        <w:fldChar w:fldCharType="end"/>
      </w:r>
    </w:p>
    <w:p w:rsidR="00F4654E" w:rsidRDefault="00F4654E">
      <w:pPr>
        <w:pStyle w:val="10"/>
        <w:rPr>
          <w:spacing w:val="0"/>
        </w:rPr>
      </w:pPr>
      <w:r>
        <w:rPr>
          <w:spacing w:val="0"/>
        </w:rPr>
        <w:t>«РУСАР-С» - ШОВНАЯ НИТЬ ДЛЯ УШИВАНИЯ ОПЕРАЦИОННЫХ РАН У ЖИВОТНЫХ</w:t>
      </w:r>
    </w:p>
    <w:p w:rsidR="00F4654E" w:rsidRDefault="00F4654E" w:rsidP="00562255">
      <w:pPr>
        <w:pStyle w:val="20"/>
      </w:pPr>
      <w:r>
        <w:t>Тарасенко П. А.</w:t>
      </w:r>
      <w:r>
        <w:tab/>
      </w:r>
      <w:r>
        <w:fldChar w:fldCharType="begin"/>
      </w:r>
      <w:r>
        <w:instrText xml:space="preserve"> PAGEREF _Toc11937895 \h </w:instrText>
      </w:r>
      <w:r>
        <w:fldChar w:fldCharType="separate"/>
      </w:r>
      <w:r w:rsidR="00562255">
        <w:t>572</w:t>
      </w:r>
      <w:r>
        <w:fldChar w:fldCharType="end"/>
      </w:r>
    </w:p>
    <w:p w:rsidR="00F4654E" w:rsidRDefault="00F4654E">
      <w:pPr>
        <w:pStyle w:val="10"/>
        <w:rPr>
          <w:spacing w:val="0"/>
        </w:rPr>
      </w:pPr>
      <w:r>
        <w:rPr>
          <w:spacing w:val="0"/>
        </w:rPr>
        <w:t>РАСТРОВАЯ ЭЛЕКТРОННАЯ МИКРОСКОПИЯ ОДНОРЯДНОГО И ДВУХРЯДНОГО КИШЕЧНОГО ШВА РУБЦА ЖВАЧНЫХ В ЗАВИСИМОСТИ ОТ ШОВНОГО МАТЕРИАЛА</w:t>
      </w:r>
    </w:p>
    <w:p w:rsidR="00F4654E" w:rsidRDefault="00F4654E" w:rsidP="00562255">
      <w:pPr>
        <w:pStyle w:val="20"/>
      </w:pPr>
      <w:r>
        <w:t>Тарасенко П.А.</w:t>
      </w:r>
      <w:r>
        <w:tab/>
      </w:r>
      <w:r>
        <w:fldChar w:fldCharType="begin"/>
      </w:r>
      <w:r>
        <w:instrText xml:space="preserve"> PAGEREF _Toc11937897 \h </w:instrText>
      </w:r>
      <w:r>
        <w:fldChar w:fldCharType="separate"/>
      </w:r>
      <w:r w:rsidR="00562255">
        <w:t>573</w:t>
      </w:r>
      <w:r>
        <w:fldChar w:fldCharType="end"/>
      </w:r>
    </w:p>
    <w:p w:rsidR="00F4654E" w:rsidRDefault="00F4654E">
      <w:pPr>
        <w:pStyle w:val="10"/>
        <w:rPr>
          <w:spacing w:val="0"/>
        </w:rPr>
      </w:pPr>
      <w:r>
        <w:rPr>
          <w:spacing w:val="0"/>
        </w:rPr>
        <w:t>ПРИМЕНЕНИЕ ЦИТОКИНОВ ДЛЯ ПРЕДУПРЕЖДЕНИЯ РАЗВИТИЯ НАРУШЕНИЙ, ВЫЗВАННЫХ ДЕЙСТВИЕМ РАДИАЦИИ</w:t>
      </w:r>
    </w:p>
    <w:p w:rsidR="00F4654E" w:rsidRDefault="00F4654E" w:rsidP="00562255">
      <w:pPr>
        <w:pStyle w:val="20"/>
      </w:pPr>
      <w:r>
        <w:t xml:space="preserve">Тарасова Н.Б., Конюхов Г.В., Низамов Р.Н., Давкаев Р.Ш., Титов А.С., </w:t>
      </w:r>
      <w:r>
        <w:br/>
        <w:t>Иванов И.С.</w:t>
      </w:r>
      <w:r>
        <w:tab/>
      </w:r>
      <w:r>
        <w:fldChar w:fldCharType="begin"/>
      </w:r>
      <w:r>
        <w:instrText xml:space="preserve"> PAGEREF _Toc11937899 \h </w:instrText>
      </w:r>
      <w:r>
        <w:fldChar w:fldCharType="separate"/>
      </w:r>
      <w:r w:rsidR="00562255">
        <w:t>575</w:t>
      </w:r>
      <w:r>
        <w:fldChar w:fldCharType="end"/>
      </w:r>
    </w:p>
    <w:p w:rsidR="00F4654E" w:rsidRDefault="00F4654E">
      <w:pPr>
        <w:pStyle w:val="10"/>
        <w:rPr>
          <w:spacing w:val="0"/>
        </w:rPr>
      </w:pPr>
      <w:r>
        <w:rPr>
          <w:spacing w:val="0"/>
        </w:rPr>
        <w:t xml:space="preserve">морфологические изменения в органах и тканях у экспериментальных животных при введении препарата «стэмб» </w:t>
      </w:r>
    </w:p>
    <w:p w:rsidR="00F4654E" w:rsidRDefault="00F4654E" w:rsidP="00562255">
      <w:pPr>
        <w:pStyle w:val="20"/>
      </w:pPr>
      <w:r>
        <w:t>Тимченко Л.Д., Ржепаковский И.В.</w:t>
      </w:r>
      <w:r>
        <w:tab/>
      </w:r>
      <w:r>
        <w:fldChar w:fldCharType="begin"/>
      </w:r>
      <w:r>
        <w:instrText xml:space="preserve"> PAGEREF _Toc11937901 \h </w:instrText>
      </w:r>
      <w:r>
        <w:fldChar w:fldCharType="separate"/>
      </w:r>
      <w:r w:rsidR="00562255">
        <w:t>576</w:t>
      </w:r>
      <w:r>
        <w:fldChar w:fldCharType="end"/>
      </w:r>
    </w:p>
    <w:p w:rsidR="00F4654E" w:rsidRDefault="00F4654E">
      <w:pPr>
        <w:pStyle w:val="10"/>
        <w:rPr>
          <w:spacing w:val="0"/>
        </w:rPr>
      </w:pPr>
      <w:r>
        <w:rPr>
          <w:spacing w:val="0"/>
        </w:rPr>
        <w:t>О РОЛИ ВОЗРАСТА ПРИ ОПУХОЛЯХ МОЛОЧНОЙ ЖЕЛЕЗЫ У СОБАК</w:t>
      </w:r>
    </w:p>
    <w:p w:rsidR="00F4654E" w:rsidRDefault="00F4654E" w:rsidP="00562255">
      <w:pPr>
        <w:pStyle w:val="20"/>
      </w:pPr>
      <w:r>
        <w:t xml:space="preserve">Тимченко Л.Д., Саркисян И.Х. </w:t>
      </w:r>
      <w:r>
        <w:tab/>
      </w:r>
      <w:r>
        <w:fldChar w:fldCharType="begin"/>
      </w:r>
      <w:r>
        <w:instrText xml:space="preserve"> PAGEREF _Toc11937903 \h </w:instrText>
      </w:r>
      <w:r>
        <w:fldChar w:fldCharType="separate"/>
      </w:r>
      <w:r w:rsidR="00562255">
        <w:t>578</w:t>
      </w:r>
      <w:r>
        <w:fldChar w:fldCharType="end"/>
      </w:r>
    </w:p>
    <w:p w:rsidR="00F4654E" w:rsidRDefault="00F4654E">
      <w:pPr>
        <w:pStyle w:val="10"/>
        <w:rPr>
          <w:spacing w:val="0"/>
        </w:rPr>
      </w:pPr>
      <w:r>
        <w:rPr>
          <w:spacing w:val="0"/>
        </w:rPr>
        <w:t>КЛЕЩИ КАК ПУТЬ ФОРМИРОВАНИЯ ПРИРОДНЫХ ОЧАГОВ КОКСИЕЛЛЕЗА В СТАВРОПОЛЬСКОМ КРАЕ</w:t>
      </w:r>
    </w:p>
    <w:p w:rsidR="00F4654E" w:rsidRDefault="00F4654E" w:rsidP="00562255">
      <w:pPr>
        <w:pStyle w:val="20"/>
      </w:pPr>
      <w:r>
        <w:t>Тимченко Л.Д., Тинькова Е.Л.</w:t>
      </w:r>
      <w:r>
        <w:tab/>
      </w:r>
      <w:r>
        <w:fldChar w:fldCharType="begin"/>
      </w:r>
      <w:r>
        <w:instrText xml:space="preserve"> PAGEREF _Toc11937905 \h </w:instrText>
      </w:r>
      <w:r>
        <w:fldChar w:fldCharType="separate"/>
      </w:r>
      <w:r w:rsidR="00562255">
        <w:t>580</w:t>
      </w:r>
      <w:r>
        <w:fldChar w:fldCharType="end"/>
      </w:r>
    </w:p>
    <w:p w:rsidR="00F4654E" w:rsidRDefault="00F4654E">
      <w:pPr>
        <w:pStyle w:val="10"/>
        <w:rPr>
          <w:spacing w:val="0"/>
        </w:rPr>
      </w:pPr>
      <w:r>
        <w:rPr>
          <w:spacing w:val="0"/>
        </w:rPr>
        <w:t>К ПРОБЛЕМЕ ЭПИЗООТОЛОГИИ КОКСИЕЛЛЕЗА</w:t>
      </w:r>
    </w:p>
    <w:p w:rsidR="00F4654E" w:rsidRDefault="00F4654E" w:rsidP="00562255">
      <w:pPr>
        <w:pStyle w:val="20"/>
      </w:pPr>
      <w:r>
        <w:t>Тинькова Е.Л.</w:t>
      </w:r>
      <w:r>
        <w:tab/>
      </w:r>
      <w:r>
        <w:fldChar w:fldCharType="begin"/>
      </w:r>
      <w:r>
        <w:instrText xml:space="preserve"> PAGEREF _Toc11937907 \h </w:instrText>
      </w:r>
      <w:r>
        <w:fldChar w:fldCharType="separate"/>
      </w:r>
      <w:r w:rsidR="00562255">
        <w:t>582</w:t>
      </w:r>
      <w:r>
        <w:fldChar w:fldCharType="end"/>
      </w:r>
    </w:p>
    <w:p w:rsidR="00F4654E" w:rsidRDefault="00F4654E">
      <w:pPr>
        <w:pStyle w:val="10"/>
        <w:rPr>
          <w:noProof w:val="0"/>
          <w:spacing w:val="0"/>
        </w:rPr>
      </w:pPr>
      <w:r>
        <w:rPr>
          <w:spacing w:val="0"/>
        </w:rPr>
        <w:t>К ВОПРОСУ О ЗАЩИТНОМ ДЕЙСТВИИ ПРЕПАРАТА Т-1 ПРИ ОБЩЕМ ГАММА-ОБЛУЧЕНИ</w:t>
      </w:r>
      <w:r>
        <w:rPr>
          <w:noProof w:val="0"/>
          <w:spacing w:val="0"/>
        </w:rPr>
        <w:t>и</w:t>
      </w:r>
    </w:p>
    <w:p w:rsidR="00F4654E" w:rsidRDefault="00F4654E" w:rsidP="00562255">
      <w:pPr>
        <w:pStyle w:val="20"/>
      </w:pPr>
      <w:r>
        <w:t xml:space="preserve">Титов А.С., Низамов Р.Н., Конюхов Г.В., Тарасова Н.Б.,  </w:t>
      </w:r>
      <w:r>
        <w:rPr>
          <w:noProof w:val="0"/>
        </w:rPr>
        <w:br/>
      </w:r>
      <w:r>
        <w:t>Мухаметшин И.Р., Иванов И.С.</w:t>
      </w:r>
      <w:r>
        <w:tab/>
      </w:r>
      <w:bookmarkStart w:id="6904" w:name="_Hlt11940854"/>
      <w:r>
        <w:fldChar w:fldCharType="begin"/>
      </w:r>
      <w:r>
        <w:instrText xml:space="preserve"> PAGEREF _Toc11937909 \h </w:instrText>
      </w:r>
      <w:r>
        <w:fldChar w:fldCharType="separate"/>
      </w:r>
      <w:r w:rsidR="00562255">
        <w:t>584</w:t>
      </w:r>
      <w:r>
        <w:fldChar w:fldCharType="end"/>
      </w:r>
      <w:bookmarkEnd w:id="6904"/>
    </w:p>
    <w:p w:rsidR="00F4654E" w:rsidRDefault="00F4654E">
      <w:pPr>
        <w:pStyle w:val="10"/>
        <w:rPr>
          <w:spacing w:val="0"/>
        </w:rPr>
      </w:pPr>
      <w:r>
        <w:rPr>
          <w:spacing w:val="0"/>
        </w:rPr>
        <w:t>КЛИНИЧЕСКОЕ СОСТОЯНИЕ И РЕЗИСТЕНТНОСТЬ  ТЕЛЯТ ПРИ НАЗНАЧЕНИИ ДУОДЕНИНА ДЛЯ ПРОФИЛАКТИКИ ОСТРЫХ РАССТРОЙСТВ ПИЩЕВАРЕНИЯ</w:t>
      </w:r>
    </w:p>
    <w:p w:rsidR="00F4654E" w:rsidRDefault="00F4654E" w:rsidP="00562255">
      <w:pPr>
        <w:pStyle w:val="20"/>
      </w:pPr>
      <w:r>
        <w:t>Тихенко Н.В., Сидоренко Н.М.</w:t>
      </w:r>
      <w:r>
        <w:tab/>
      </w:r>
      <w:r>
        <w:fldChar w:fldCharType="begin"/>
      </w:r>
      <w:r>
        <w:instrText xml:space="preserve"> PAGEREF _Toc11937911 \h </w:instrText>
      </w:r>
      <w:r>
        <w:fldChar w:fldCharType="separate"/>
      </w:r>
      <w:r w:rsidR="00562255">
        <w:t>585</w:t>
      </w:r>
      <w:r>
        <w:fldChar w:fldCharType="end"/>
      </w:r>
    </w:p>
    <w:p w:rsidR="00F4654E" w:rsidRDefault="00F4654E">
      <w:pPr>
        <w:pStyle w:val="10"/>
        <w:rPr>
          <w:spacing w:val="0"/>
        </w:rPr>
      </w:pPr>
      <w:r>
        <w:rPr>
          <w:spacing w:val="0"/>
        </w:rPr>
        <w:t>ОСОБЕННОСТИ МОРФОЛОГИЧЕСКИХ ИЗМЕНЕНИЙ ПАРЕНХИМАТОЗНЫХ ОРГАНОВ КРУПНОГО РОГАТОГО СКОТА В ЗОНЕ ХИМИЧЕСКОГО ЗАГРЯЗНЕНИЯ</w:t>
      </w:r>
    </w:p>
    <w:p w:rsidR="00F4654E" w:rsidRDefault="00F4654E" w:rsidP="00562255">
      <w:pPr>
        <w:pStyle w:val="20"/>
      </w:pPr>
      <w:r>
        <w:t>Толкачев И.С.</w:t>
      </w:r>
      <w:r>
        <w:tab/>
      </w:r>
      <w:r>
        <w:fldChar w:fldCharType="begin"/>
      </w:r>
      <w:r>
        <w:instrText xml:space="preserve"> PAGEREF _Toc11937913 \h </w:instrText>
      </w:r>
      <w:r>
        <w:fldChar w:fldCharType="separate"/>
      </w:r>
      <w:r w:rsidR="00562255">
        <w:t>586</w:t>
      </w:r>
      <w:r>
        <w:fldChar w:fldCharType="end"/>
      </w:r>
    </w:p>
    <w:p w:rsidR="00F4654E" w:rsidRDefault="00F4654E">
      <w:pPr>
        <w:pStyle w:val="10"/>
        <w:rPr>
          <w:spacing w:val="0"/>
        </w:rPr>
      </w:pPr>
      <w:r>
        <w:rPr>
          <w:spacing w:val="0"/>
        </w:rPr>
        <w:t>АНАТОМИЧЕСКОЕ РАЗНООБРАЗИЕ ПОВЕРХНОСТИ ПЕЧЕНИ ЧЕЛОВЕКА И МОРФОМЕТРИЧЕСКИЕ  ПОКАЗАТЕЛИ КАПСУЛЫ</w:t>
      </w:r>
    </w:p>
    <w:p w:rsidR="00F4654E" w:rsidRDefault="00F4654E" w:rsidP="00562255">
      <w:pPr>
        <w:pStyle w:val="20"/>
      </w:pPr>
      <w:r>
        <w:t>Толкачев И.С., Де-Жорж И.Г., Маркина Н.П., Маркин П.Г.</w:t>
      </w:r>
      <w:r>
        <w:tab/>
      </w:r>
      <w:r>
        <w:fldChar w:fldCharType="begin"/>
      </w:r>
      <w:r>
        <w:instrText xml:space="preserve"> PAGEREF _Toc11937915 \h </w:instrText>
      </w:r>
      <w:r>
        <w:fldChar w:fldCharType="separate"/>
      </w:r>
      <w:r w:rsidR="00562255">
        <w:t>587</w:t>
      </w:r>
      <w:r>
        <w:fldChar w:fldCharType="end"/>
      </w:r>
    </w:p>
    <w:p w:rsidR="00F4654E" w:rsidRDefault="00F4654E">
      <w:pPr>
        <w:pStyle w:val="10"/>
        <w:rPr>
          <w:spacing w:val="0"/>
        </w:rPr>
      </w:pPr>
      <w:r>
        <w:rPr>
          <w:spacing w:val="0"/>
        </w:rPr>
        <w:lastRenderedPageBreak/>
        <w:t>СОСТОЯНИЕ ЕСТЕТСТВЕННОЙ РЕЗИСТЕНТНОСТИ ТЕЛЯТ  В УСЛОВИЯХ ХИМИЧЕСКОГО ЗАГРЯЗНЕНИЯ ВНЕШНЕЙ СРЕДЫ</w:t>
      </w:r>
    </w:p>
    <w:p w:rsidR="00F4654E" w:rsidRDefault="00F4654E" w:rsidP="00562255">
      <w:pPr>
        <w:pStyle w:val="20"/>
      </w:pPr>
      <w:r>
        <w:t>Топурия Г.М.</w:t>
      </w:r>
      <w:r>
        <w:tab/>
      </w:r>
      <w:r>
        <w:fldChar w:fldCharType="begin"/>
      </w:r>
      <w:r>
        <w:instrText xml:space="preserve"> PAGEREF _Toc11937917 \h </w:instrText>
      </w:r>
      <w:r>
        <w:fldChar w:fldCharType="separate"/>
      </w:r>
      <w:r w:rsidR="00562255">
        <w:t>589</w:t>
      </w:r>
      <w:r>
        <w:fldChar w:fldCharType="end"/>
      </w:r>
    </w:p>
    <w:p w:rsidR="00F4654E" w:rsidRDefault="00F4654E">
      <w:pPr>
        <w:pStyle w:val="10"/>
        <w:rPr>
          <w:spacing w:val="0"/>
        </w:rPr>
      </w:pPr>
      <w:r>
        <w:rPr>
          <w:spacing w:val="0"/>
        </w:rPr>
        <w:t>ПРЕНАТАЛЬНАЯ КОРРЕКЦИЯ ИММУНОДЕФИЦИТНЫХ СОСТОЯНИЙ У НОВОРОЖДЕННЫХ ТЕЛЯТ, ПОДВЕРГШИХСЯ ВЛИЯНИЮ МАЛЫХ ДОЗ РАДИАЦИИ</w:t>
      </w:r>
    </w:p>
    <w:p w:rsidR="00F4654E" w:rsidRDefault="00F4654E" w:rsidP="00562255">
      <w:pPr>
        <w:pStyle w:val="20"/>
      </w:pPr>
      <w:r>
        <w:t>Топурия Г.М.</w:t>
      </w:r>
      <w:r>
        <w:tab/>
      </w:r>
      <w:r>
        <w:fldChar w:fldCharType="begin"/>
      </w:r>
      <w:r>
        <w:instrText xml:space="preserve"> PAGEREF _Toc11937919 \h </w:instrText>
      </w:r>
      <w:r>
        <w:fldChar w:fldCharType="separate"/>
      </w:r>
      <w:r w:rsidR="00562255">
        <w:t>591</w:t>
      </w:r>
      <w:r>
        <w:fldChar w:fldCharType="end"/>
      </w:r>
    </w:p>
    <w:p w:rsidR="00F4654E" w:rsidRDefault="00F4654E">
      <w:pPr>
        <w:pStyle w:val="10"/>
        <w:rPr>
          <w:spacing w:val="0"/>
        </w:rPr>
      </w:pPr>
      <w:r>
        <w:rPr>
          <w:snapToGrid w:val="0"/>
          <w:spacing w:val="0"/>
        </w:rPr>
        <w:t>АКТУАЛЬНЫЕ ПРОБЛЕМЫ МИКОТОКСИКОЗОВ И ИХ РЕШЕНИЯ</w:t>
      </w:r>
    </w:p>
    <w:p w:rsidR="00F4654E" w:rsidRDefault="00F4654E" w:rsidP="00562255">
      <w:pPr>
        <w:pStyle w:val="20"/>
      </w:pPr>
      <w:r>
        <w:rPr>
          <w:snapToGrid w:val="0"/>
        </w:rPr>
        <w:t>Тремасов М.Я., Равилов А.З., Ахметов Ф.Г.</w:t>
      </w:r>
      <w:r>
        <w:tab/>
      </w:r>
      <w:r>
        <w:fldChar w:fldCharType="begin"/>
      </w:r>
      <w:r>
        <w:instrText xml:space="preserve"> PAGEREF _Toc11937921 \h </w:instrText>
      </w:r>
      <w:r>
        <w:fldChar w:fldCharType="separate"/>
      </w:r>
      <w:r w:rsidR="00562255">
        <w:t>593</w:t>
      </w:r>
      <w:r>
        <w:fldChar w:fldCharType="end"/>
      </w:r>
    </w:p>
    <w:p w:rsidR="00F4654E" w:rsidRDefault="00F4654E">
      <w:pPr>
        <w:pStyle w:val="10"/>
        <w:rPr>
          <w:spacing w:val="0"/>
        </w:rPr>
      </w:pPr>
      <w:r>
        <w:rPr>
          <w:spacing w:val="0"/>
        </w:rPr>
        <w:t xml:space="preserve">ФАРМАКО-ТОКСИКОЛОГИЧЕСКАЯ ХАРАКТЕРИСТИКА МАЗИ «ЙОДИЛИН-МАСТИ» </w:t>
      </w:r>
    </w:p>
    <w:p w:rsidR="00F4654E" w:rsidRDefault="00F4654E" w:rsidP="00562255">
      <w:pPr>
        <w:pStyle w:val="20"/>
      </w:pPr>
      <w:r>
        <w:t xml:space="preserve">Тремасов М.Я., Равилов А.З., Сергейчев А.И., Титова В.Ю., </w:t>
      </w:r>
      <w:r>
        <w:rPr>
          <w:noProof w:val="0"/>
        </w:rPr>
        <w:br/>
      </w:r>
      <w:r>
        <w:t>Садзаглишвили В.А., Нигматуллин А.И.</w:t>
      </w:r>
      <w:r>
        <w:tab/>
      </w:r>
      <w:r>
        <w:fldChar w:fldCharType="begin"/>
      </w:r>
      <w:r>
        <w:instrText xml:space="preserve"> PAGEREF _Toc11937923 \h </w:instrText>
      </w:r>
      <w:r>
        <w:fldChar w:fldCharType="separate"/>
      </w:r>
      <w:r w:rsidR="00562255">
        <w:t>595</w:t>
      </w:r>
      <w:r>
        <w:fldChar w:fldCharType="end"/>
      </w:r>
    </w:p>
    <w:p w:rsidR="00F4654E" w:rsidRDefault="00F4654E">
      <w:pPr>
        <w:pStyle w:val="10"/>
        <w:rPr>
          <w:spacing w:val="0"/>
        </w:rPr>
      </w:pPr>
      <w:r>
        <w:rPr>
          <w:spacing w:val="0"/>
        </w:rPr>
        <w:t>ПРОБИОТИК ДЛЯ ПРОФИЛАКТИКИ И ЛЕЧЕНИЯ ДИАРЕИ  МОЛОДНЯКА ЖИВОТНЫХ НЕЗАРАЗНОЙ ЭТИОЛОГИИ</w:t>
      </w:r>
    </w:p>
    <w:p w:rsidR="00F4654E" w:rsidRDefault="00F4654E" w:rsidP="00562255">
      <w:pPr>
        <w:pStyle w:val="20"/>
      </w:pPr>
      <w:r>
        <w:t>Тремасов М.Я., Равилов А.З., Титова В.Ю., Сергейчев А.И.,</w:t>
      </w:r>
      <w:r>
        <w:rPr>
          <w:noProof w:val="0"/>
        </w:rPr>
        <w:t xml:space="preserve"> </w:t>
      </w:r>
      <w:r>
        <w:rPr>
          <w:noProof w:val="0"/>
        </w:rPr>
        <w:br/>
      </w:r>
      <w:r>
        <w:t>Нигматуллин А.И., Петрова Н.В., Никонов С.В., Воробьева А.Н.</w:t>
      </w:r>
      <w:r>
        <w:tab/>
      </w:r>
      <w:r>
        <w:fldChar w:fldCharType="begin"/>
      </w:r>
      <w:r>
        <w:instrText xml:space="preserve"> PAGEREF _Toc11937925 \h </w:instrText>
      </w:r>
      <w:r>
        <w:fldChar w:fldCharType="separate"/>
      </w:r>
      <w:r w:rsidR="00562255">
        <w:t>597</w:t>
      </w:r>
      <w:r>
        <w:fldChar w:fldCharType="end"/>
      </w:r>
    </w:p>
    <w:p w:rsidR="00F4654E" w:rsidRDefault="00F4654E">
      <w:pPr>
        <w:pStyle w:val="10"/>
        <w:rPr>
          <w:spacing w:val="0"/>
        </w:rPr>
      </w:pPr>
      <w:r>
        <w:rPr>
          <w:spacing w:val="0"/>
        </w:rPr>
        <w:t>Применение виброакустического аппарата «Витафон» при регенерации костной ткани у собак</w:t>
      </w:r>
    </w:p>
    <w:p w:rsidR="00F4654E" w:rsidRDefault="00F4654E" w:rsidP="00562255">
      <w:pPr>
        <w:pStyle w:val="20"/>
      </w:pPr>
      <w:r>
        <w:t>Трояновская Л.П., Корчагин И.В., Пальцев С.С.</w:t>
      </w:r>
      <w:r>
        <w:tab/>
      </w:r>
      <w:r>
        <w:fldChar w:fldCharType="begin"/>
      </w:r>
      <w:r>
        <w:instrText xml:space="preserve"> PAGEREF _Toc11937927 \h </w:instrText>
      </w:r>
      <w:r>
        <w:fldChar w:fldCharType="separate"/>
      </w:r>
      <w:r w:rsidR="00562255">
        <w:t>599</w:t>
      </w:r>
      <w:r>
        <w:fldChar w:fldCharType="end"/>
      </w:r>
    </w:p>
    <w:p w:rsidR="00F4654E" w:rsidRDefault="00F4654E">
      <w:pPr>
        <w:pStyle w:val="10"/>
        <w:rPr>
          <w:spacing w:val="0"/>
        </w:rPr>
      </w:pPr>
      <w:r>
        <w:rPr>
          <w:spacing w:val="0"/>
        </w:rPr>
        <w:t>Биомеханика однорядного кишечного шва</w:t>
      </w:r>
    </w:p>
    <w:p w:rsidR="00F4654E" w:rsidRDefault="00F4654E" w:rsidP="00562255">
      <w:pPr>
        <w:pStyle w:val="20"/>
      </w:pPr>
      <w:r>
        <w:t>Трояновская Л.П., Черванев В.А., Тарасенко П.А., Белов А.В.</w:t>
      </w:r>
      <w:r>
        <w:tab/>
      </w:r>
      <w:r>
        <w:fldChar w:fldCharType="begin"/>
      </w:r>
      <w:r>
        <w:instrText xml:space="preserve"> PAGEREF _Toc11937929 \h </w:instrText>
      </w:r>
      <w:r>
        <w:fldChar w:fldCharType="separate"/>
      </w:r>
      <w:r w:rsidR="00562255">
        <w:t>600</w:t>
      </w:r>
      <w:r>
        <w:fldChar w:fldCharType="end"/>
      </w:r>
    </w:p>
    <w:p w:rsidR="00F4654E" w:rsidRDefault="00F4654E">
      <w:pPr>
        <w:pStyle w:val="10"/>
        <w:rPr>
          <w:spacing w:val="0"/>
        </w:rPr>
      </w:pPr>
      <w:r>
        <w:rPr>
          <w:spacing w:val="0"/>
        </w:rPr>
        <w:t>Распространение послеродовых заболеваний у свиноматок и их лечение новым озонидосодержащим препаратом</w:t>
      </w:r>
    </w:p>
    <w:p w:rsidR="00F4654E" w:rsidRDefault="00F4654E" w:rsidP="00562255">
      <w:pPr>
        <w:pStyle w:val="20"/>
      </w:pPr>
      <w:r>
        <w:t>Филатов А.В., Конопельцев И.Г.</w:t>
      </w:r>
      <w:r>
        <w:tab/>
      </w:r>
      <w:r>
        <w:fldChar w:fldCharType="begin"/>
      </w:r>
      <w:r>
        <w:instrText xml:space="preserve"> PAGEREF _Toc11937931 \h </w:instrText>
      </w:r>
      <w:r>
        <w:fldChar w:fldCharType="separate"/>
      </w:r>
      <w:r w:rsidR="00562255">
        <w:t>601</w:t>
      </w:r>
      <w:r>
        <w:fldChar w:fldCharType="end"/>
      </w:r>
    </w:p>
    <w:p w:rsidR="00F4654E" w:rsidRDefault="00F4654E">
      <w:pPr>
        <w:pStyle w:val="10"/>
        <w:rPr>
          <w:spacing w:val="0"/>
        </w:rPr>
      </w:pPr>
      <w:r>
        <w:rPr>
          <w:spacing w:val="0"/>
        </w:rPr>
        <w:t xml:space="preserve">Качество спермопродукции хряков-производителей в условиях </w:t>
      </w:r>
      <w:r>
        <w:rPr>
          <w:noProof w:val="0"/>
          <w:spacing w:val="0"/>
        </w:rPr>
        <w:br/>
      </w:r>
      <w:r>
        <w:rPr>
          <w:spacing w:val="0"/>
        </w:rPr>
        <w:t>Кировской области</w:t>
      </w:r>
    </w:p>
    <w:p w:rsidR="00F4654E" w:rsidRDefault="00F4654E" w:rsidP="00562255">
      <w:pPr>
        <w:pStyle w:val="20"/>
      </w:pPr>
      <w:r>
        <w:t>Филатов А.В., Конопельцев И.Г., Черных Е.В.</w:t>
      </w:r>
      <w:r>
        <w:tab/>
      </w:r>
      <w:r>
        <w:fldChar w:fldCharType="begin"/>
      </w:r>
      <w:r>
        <w:instrText xml:space="preserve"> PAGEREF _Toc11937933 \h </w:instrText>
      </w:r>
      <w:r>
        <w:fldChar w:fldCharType="separate"/>
      </w:r>
      <w:r w:rsidR="00562255">
        <w:t>602</w:t>
      </w:r>
      <w:r>
        <w:fldChar w:fldCharType="end"/>
      </w:r>
    </w:p>
    <w:p w:rsidR="00F4654E" w:rsidRDefault="00F4654E">
      <w:pPr>
        <w:pStyle w:val="10"/>
        <w:rPr>
          <w:spacing w:val="0"/>
        </w:rPr>
      </w:pPr>
      <w:r>
        <w:rPr>
          <w:spacing w:val="0"/>
        </w:rPr>
        <w:t>ВЛИЯНИЕ ЭКОСТА И МИКСОФЕРОНА НА ПОКАЗАТЕЛИ ИММУННОГО СТАТУСА НОВОРОЖДЕННЫХ ТЕЛЯТ</w:t>
      </w:r>
    </w:p>
    <w:p w:rsidR="00F4654E" w:rsidRDefault="00F4654E" w:rsidP="00562255">
      <w:pPr>
        <w:pStyle w:val="20"/>
      </w:pPr>
      <w:r>
        <w:t>Хайбуллин Р.Р., Исаева А.Г., Пастернак А.А.</w:t>
      </w:r>
      <w:r>
        <w:tab/>
      </w:r>
      <w:r>
        <w:fldChar w:fldCharType="begin"/>
      </w:r>
      <w:r>
        <w:instrText xml:space="preserve"> PAGEREF _Toc11937935 \h </w:instrText>
      </w:r>
      <w:r>
        <w:fldChar w:fldCharType="separate"/>
      </w:r>
      <w:r w:rsidR="00562255">
        <w:t>604</w:t>
      </w:r>
      <w:r>
        <w:fldChar w:fldCharType="end"/>
      </w:r>
    </w:p>
    <w:p w:rsidR="00F4654E" w:rsidRDefault="00F4654E">
      <w:pPr>
        <w:pStyle w:val="10"/>
        <w:rPr>
          <w:spacing w:val="0"/>
        </w:rPr>
      </w:pPr>
      <w:r>
        <w:rPr>
          <w:spacing w:val="0"/>
        </w:rPr>
        <w:t>ПАТУЛИНОТОКСИКОЗ У СВИНЕЙ</w:t>
      </w:r>
    </w:p>
    <w:p w:rsidR="00F4654E" w:rsidRDefault="00F4654E" w:rsidP="00562255">
      <w:pPr>
        <w:pStyle w:val="20"/>
      </w:pPr>
      <w:r>
        <w:t>Халикова К.Ф., Садыкова В.Н., Павлов В.П., Тремасов М.Я.</w:t>
      </w:r>
      <w:r>
        <w:tab/>
      </w:r>
      <w:r>
        <w:fldChar w:fldCharType="begin"/>
      </w:r>
      <w:r>
        <w:instrText xml:space="preserve"> PAGEREF _Toc11937937 \h </w:instrText>
      </w:r>
      <w:r>
        <w:fldChar w:fldCharType="separate"/>
      </w:r>
      <w:r w:rsidR="00562255">
        <w:t>606</w:t>
      </w:r>
      <w:r>
        <w:fldChar w:fldCharType="end"/>
      </w:r>
    </w:p>
    <w:p w:rsidR="00F4654E" w:rsidRDefault="00F4654E">
      <w:pPr>
        <w:pStyle w:val="10"/>
        <w:rPr>
          <w:spacing w:val="0"/>
        </w:rPr>
      </w:pPr>
      <w:r>
        <w:rPr>
          <w:spacing w:val="0"/>
        </w:rPr>
        <w:t>ДИАГНОСТИКА МНОГОПЛОДИЯ У ОВЕЦ  ПО ИССЛЕДОВАНИЯМ ПРОГЕСТЕРОНА В КРОВИ</w:t>
      </w:r>
    </w:p>
    <w:p w:rsidR="00F4654E" w:rsidRDefault="00F4654E" w:rsidP="00562255">
      <w:pPr>
        <w:pStyle w:val="20"/>
      </w:pPr>
      <w:r>
        <w:t>Халипаев М.Г.</w:t>
      </w:r>
      <w:r>
        <w:tab/>
      </w:r>
      <w:r>
        <w:fldChar w:fldCharType="begin"/>
      </w:r>
      <w:r>
        <w:instrText xml:space="preserve"> PAGEREF _Toc11937939 \h </w:instrText>
      </w:r>
      <w:r>
        <w:fldChar w:fldCharType="separate"/>
      </w:r>
      <w:r w:rsidR="00562255">
        <w:t>608</w:t>
      </w:r>
      <w:r>
        <w:fldChar w:fldCharType="end"/>
      </w:r>
    </w:p>
    <w:p w:rsidR="00F4654E" w:rsidRDefault="00F4654E">
      <w:pPr>
        <w:pStyle w:val="10"/>
        <w:rPr>
          <w:spacing w:val="0"/>
        </w:rPr>
      </w:pPr>
      <w:r>
        <w:rPr>
          <w:spacing w:val="0"/>
        </w:rPr>
        <w:t>О СИМПТОМАТИЧЕСКОМ БЕСПЛОДИИ У ОВЕЦ</w:t>
      </w:r>
    </w:p>
    <w:p w:rsidR="00F4654E" w:rsidRDefault="00F4654E" w:rsidP="00562255">
      <w:pPr>
        <w:pStyle w:val="20"/>
      </w:pPr>
      <w:r>
        <w:t>Халипаев М.Г.</w:t>
      </w:r>
      <w:r>
        <w:tab/>
      </w:r>
      <w:r>
        <w:fldChar w:fldCharType="begin"/>
      </w:r>
      <w:r>
        <w:instrText xml:space="preserve"> PAGEREF _Toc11937941 \h </w:instrText>
      </w:r>
      <w:r>
        <w:fldChar w:fldCharType="separate"/>
      </w:r>
      <w:r w:rsidR="00562255">
        <w:t>610</w:t>
      </w:r>
      <w:r>
        <w:fldChar w:fldCharType="end"/>
      </w:r>
    </w:p>
    <w:p w:rsidR="00F4654E" w:rsidRDefault="00F4654E">
      <w:pPr>
        <w:pStyle w:val="10"/>
        <w:rPr>
          <w:spacing w:val="0"/>
        </w:rPr>
      </w:pPr>
      <w:r>
        <w:rPr>
          <w:spacing w:val="0"/>
        </w:rPr>
        <w:t>ФАКТОРЫ, ВЛИЯЮЩИЕ НА СОХРАННОСТЬ МОЛОДНЯКА ОВЕЦ</w:t>
      </w:r>
    </w:p>
    <w:p w:rsidR="00F4654E" w:rsidRDefault="00F4654E" w:rsidP="00562255">
      <w:pPr>
        <w:pStyle w:val="20"/>
      </w:pPr>
      <w:r>
        <w:t>Халипаев М.Г.</w:t>
      </w:r>
      <w:r>
        <w:tab/>
      </w:r>
      <w:r>
        <w:fldChar w:fldCharType="begin"/>
      </w:r>
      <w:r>
        <w:instrText xml:space="preserve"> PAGEREF _Toc11937943 \h </w:instrText>
      </w:r>
      <w:r>
        <w:fldChar w:fldCharType="separate"/>
      </w:r>
      <w:r w:rsidR="00562255">
        <w:t>612</w:t>
      </w:r>
      <w:r>
        <w:fldChar w:fldCharType="end"/>
      </w:r>
    </w:p>
    <w:p w:rsidR="00F4654E" w:rsidRDefault="00F4654E">
      <w:pPr>
        <w:pStyle w:val="10"/>
        <w:rPr>
          <w:spacing w:val="0"/>
        </w:rPr>
      </w:pPr>
      <w:r>
        <w:rPr>
          <w:spacing w:val="0"/>
        </w:rPr>
        <w:t>Профилактика заболеваний органов дыхания и пищеварения телят с использованием вакцины Комбовак в хозяйствах промышленного типа</w:t>
      </w:r>
    </w:p>
    <w:p w:rsidR="00F4654E" w:rsidRDefault="00F4654E" w:rsidP="00562255">
      <w:pPr>
        <w:pStyle w:val="20"/>
      </w:pPr>
      <w:r>
        <w:t>Хитрова А.Е., Швыдкова М.И.</w:t>
      </w:r>
      <w:r>
        <w:tab/>
      </w:r>
      <w:r>
        <w:fldChar w:fldCharType="begin"/>
      </w:r>
      <w:r>
        <w:instrText xml:space="preserve"> PAGEREF _Toc11937945 \h </w:instrText>
      </w:r>
      <w:r>
        <w:fldChar w:fldCharType="separate"/>
      </w:r>
      <w:r w:rsidR="00562255">
        <w:t>613</w:t>
      </w:r>
      <w:r>
        <w:fldChar w:fldCharType="end"/>
      </w:r>
    </w:p>
    <w:p w:rsidR="00F4654E" w:rsidRDefault="00F4654E">
      <w:pPr>
        <w:pStyle w:val="10"/>
        <w:rPr>
          <w:spacing w:val="0"/>
        </w:rPr>
      </w:pPr>
      <w:r>
        <w:rPr>
          <w:spacing w:val="0"/>
        </w:rPr>
        <w:t xml:space="preserve">ЭФФЕКТИВНОСТЬ ЦИТОЛОГИЧЕСКОГО МЕТОДА ДИАГНОСТИКИ НОВООБРАЗОВАНИЙ </w:t>
      </w:r>
      <w:r>
        <w:rPr>
          <w:noProof w:val="0"/>
          <w:spacing w:val="0"/>
        </w:rPr>
        <w:br/>
      </w:r>
      <w:r>
        <w:rPr>
          <w:spacing w:val="0"/>
        </w:rPr>
        <w:t>У СОБАК</w:t>
      </w:r>
    </w:p>
    <w:p w:rsidR="00F4654E" w:rsidRDefault="00F4654E" w:rsidP="00562255">
      <w:pPr>
        <w:pStyle w:val="20"/>
      </w:pPr>
      <w:r>
        <w:t>Цепковская С.Н., Гладков Б.А., Трояновская Л.П.</w:t>
      </w:r>
      <w:r>
        <w:tab/>
      </w:r>
      <w:r>
        <w:fldChar w:fldCharType="begin"/>
      </w:r>
      <w:r>
        <w:instrText xml:space="preserve"> PAGEREF _Toc11937947 \h </w:instrText>
      </w:r>
      <w:r>
        <w:fldChar w:fldCharType="separate"/>
      </w:r>
      <w:r w:rsidR="00562255">
        <w:t>614</w:t>
      </w:r>
      <w:r>
        <w:fldChar w:fldCharType="end"/>
      </w:r>
    </w:p>
    <w:p w:rsidR="00F4654E" w:rsidRDefault="00F4654E">
      <w:pPr>
        <w:pStyle w:val="10"/>
        <w:rPr>
          <w:spacing w:val="0"/>
        </w:rPr>
      </w:pPr>
      <w:r>
        <w:rPr>
          <w:spacing w:val="0"/>
        </w:rPr>
        <w:t xml:space="preserve">ИММУННЫЙ СТАТУС ЖИВОТНЫХ ПРИ ПРОТИВОПАРАЗИТАРНОЙ ОБРАБОТКЕ </w:t>
      </w:r>
      <w:r>
        <w:rPr>
          <w:noProof w:val="0"/>
          <w:spacing w:val="0"/>
        </w:rPr>
        <w:br/>
      </w:r>
      <w:r>
        <w:rPr>
          <w:spacing w:val="0"/>
        </w:rPr>
        <w:t>ХЛОРОФОСОМ</w:t>
      </w:r>
    </w:p>
    <w:p w:rsidR="00F4654E" w:rsidRDefault="00F4654E" w:rsidP="00562255">
      <w:pPr>
        <w:pStyle w:val="20"/>
      </w:pPr>
      <w:r>
        <w:t>Цыремпилов П.Б.</w:t>
      </w:r>
      <w:r>
        <w:tab/>
      </w:r>
      <w:r>
        <w:fldChar w:fldCharType="begin"/>
      </w:r>
      <w:r>
        <w:instrText xml:space="preserve"> PAGEREF _Toc11937949 \h </w:instrText>
      </w:r>
      <w:r>
        <w:fldChar w:fldCharType="separate"/>
      </w:r>
      <w:r w:rsidR="00562255">
        <w:t>615</w:t>
      </w:r>
      <w:r>
        <w:fldChar w:fldCharType="end"/>
      </w:r>
    </w:p>
    <w:p w:rsidR="00F4654E" w:rsidRDefault="00F4654E">
      <w:pPr>
        <w:pStyle w:val="10"/>
        <w:rPr>
          <w:spacing w:val="0"/>
        </w:rPr>
      </w:pPr>
      <w:r>
        <w:rPr>
          <w:spacing w:val="0"/>
        </w:rPr>
        <w:t xml:space="preserve">КЛЕТОЧНЫЕ И ГУМОРАЛЬНЫЕ ФАКТОРЫ ЕСТЕСТВЕННОЙ РЕЗИСТЕНТНОСТИ </w:t>
      </w:r>
      <w:r>
        <w:rPr>
          <w:noProof w:val="0"/>
          <w:spacing w:val="0"/>
        </w:rPr>
        <w:br/>
      </w:r>
      <w:r>
        <w:rPr>
          <w:spacing w:val="0"/>
        </w:rPr>
        <w:t>ЖИВОТНЫХ ПРИ ВОЗДЕЙСТВИИ ПЕСТИЦИДОВ</w:t>
      </w:r>
    </w:p>
    <w:p w:rsidR="00F4654E" w:rsidRDefault="00F4654E" w:rsidP="00562255">
      <w:pPr>
        <w:pStyle w:val="20"/>
      </w:pPr>
      <w:r>
        <w:t>Цыремпилов П.Б.</w:t>
      </w:r>
      <w:r>
        <w:tab/>
      </w:r>
      <w:r>
        <w:fldChar w:fldCharType="begin"/>
      </w:r>
      <w:r>
        <w:instrText xml:space="preserve"> PAGEREF _Toc11937951 \h </w:instrText>
      </w:r>
      <w:r>
        <w:fldChar w:fldCharType="separate"/>
      </w:r>
      <w:r w:rsidR="00562255">
        <w:t>617</w:t>
      </w:r>
      <w:r>
        <w:fldChar w:fldCharType="end"/>
      </w:r>
    </w:p>
    <w:p w:rsidR="00F4654E" w:rsidRDefault="00F4654E">
      <w:pPr>
        <w:pStyle w:val="10"/>
        <w:rPr>
          <w:spacing w:val="0"/>
        </w:rPr>
      </w:pPr>
      <w:r>
        <w:rPr>
          <w:spacing w:val="0"/>
        </w:rPr>
        <w:t xml:space="preserve">БИОХИМИЧЕСКИЕ ПОКАЗАТЕЛИ КРОВИ БЕЛЫХ КРЫС ПРИ ЭКСПЕРИМЕНТАЛЬНОМ </w:t>
      </w:r>
      <w:r>
        <w:rPr>
          <w:noProof w:val="0"/>
          <w:spacing w:val="0"/>
        </w:rPr>
        <w:br/>
      </w:r>
      <w:r>
        <w:rPr>
          <w:spacing w:val="0"/>
        </w:rPr>
        <w:t>ОСТРОМ ОТРАВЛЕНИИ ФУРАДАНОМ</w:t>
      </w:r>
    </w:p>
    <w:p w:rsidR="00F4654E" w:rsidRDefault="00F4654E" w:rsidP="00562255">
      <w:pPr>
        <w:pStyle w:val="20"/>
      </w:pPr>
      <w:r>
        <w:t>Часовников М.В.</w:t>
      </w:r>
      <w:r>
        <w:tab/>
      </w:r>
      <w:r>
        <w:fldChar w:fldCharType="begin"/>
      </w:r>
      <w:r>
        <w:instrText xml:space="preserve"> PAGEREF _Toc11937953 \h </w:instrText>
      </w:r>
      <w:r>
        <w:fldChar w:fldCharType="separate"/>
      </w:r>
      <w:r w:rsidR="00562255">
        <w:t>620</w:t>
      </w:r>
      <w:r>
        <w:fldChar w:fldCharType="end"/>
      </w:r>
    </w:p>
    <w:p w:rsidR="00F4654E" w:rsidRDefault="00F4654E">
      <w:pPr>
        <w:pStyle w:val="10"/>
        <w:rPr>
          <w:spacing w:val="0"/>
        </w:rPr>
      </w:pPr>
      <w:r>
        <w:rPr>
          <w:spacing w:val="0"/>
        </w:rPr>
        <w:t xml:space="preserve">Распространение, клинические и патанатомические признаки отравления животных фураданом </w:t>
      </w:r>
    </w:p>
    <w:p w:rsidR="00F4654E" w:rsidRDefault="00F4654E" w:rsidP="00562255">
      <w:pPr>
        <w:pStyle w:val="20"/>
      </w:pPr>
      <w:r>
        <w:t>Часовников М. В.</w:t>
      </w:r>
      <w:r>
        <w:tab/>
      </w:r>
      <w:r>
        <w:fldChar w:fldCharType="begin"/>
      </w:r>
      <w:r>
        <w:instrText xml:space="preserve"> PAGEREF _Toc11937955 \h </w:instrText>
      </w:r>
      <w:r>
        <w:fldChar w:fldCharType="separate"/>
      </w:r>
      <w:r w:rsidR="00562255">
        <w:t>621</w:t>
      </w:r>
      <w:r>
        <w:fldChar w:fldCharType="end"/>
      </w:r>
    </w:p>
    <w:p w:rsidR="00D6523B" w:rsidRDefault="00D6523B">
      <w:pPr>
        <w:pStyle w:val="10"/>
        <w:rPr>
          <w:spacing w:val="0"/>
        </w:rPr>
      </w:pPr>
    </w:p>
    <w:p w:rsidR="00F4654E" w:rsidRDefault="00F4654E">
      <w:pPr>
        <w:pStyle w:val="10"/>
        <w:rPr>
          <w:spacing w:val="0"/>
        </w:rPr>
      </w:pPr>
      <w:r>
        <w:rPr>
          <w:spacing w:val="0"/>
        </w:rPr>
        <w:lastRenderedPageBreak/>
        <w:t>лечение коров с гипофункцией яичников</w:t>
      </w:r>
    </w:p>
    <w:p w:rsidR="00F4654E" w:rsidRDefault="00F4654E" w:rsidP="00562255">
      <w:pPr>
        <w:pStyle w:val="20"/>
      </w:pPr>
      <w:r>
        <w:t>Черногузов А.И.</w:t>
      </w:r>
      <w:r>
        <w:tab/>
      </w:r>
      <w:r>
        <w:fldChar w:fldCharType="begin"/>
      </w:r>
      <w:r>
        <w:instrText xml:space="preserve"> PAGEREF _Toc11937957 \h </w:instrText>
      </w:r>
      <w:r>
        <w:fldChar w:fldCharType="separate"/>
      </w:r>
      <w:r w:rsidR="00562255">
        <w:t>622</w:t>
      </w:r>
      <w:r>
        <w:fldChar w:fldCharType="end"/>
      </w:r>
    </w:p>
    <w:p w:rsidR="00F4654E" w:rsidRDefault="00F4654E">
      <w:pPr>
        <w:pStyle w:val="10"/>
        <w:rPr>
          <w:spacing w:val="0"/>
        </w:rPr>
      </w:pPr>
      <w:r>
        <w:rPr>
          <w:spacing w:val="0"/>
        </w:rPr>
        <w:t xml:space="preserve">МИКРОБИОЛОГИЧЕСКИЙ МОНИТОРИНГ АССОЦИАТИВНЫХ ИНФЕКЦИЙ В </w:t>
      </w:r>
      <w:r>
        <w:rPr>
          <w:spacing w:val="0"/>
        </w:rPr>
        <w:br/>
        <w:t>ПРОМЫШЛЕННОМ ПТИЦЕВОДСТВЕ НА ПРИМЕРЕ ИНКУБАТОРИЯ</w:t>
      </w:r>
    </w:p>
    <w:p w:rsidR="00F4654E" w:rsidRDefault="00F4654E" w:rsidP="00562255">
      <w:pPr>
        <w:pStyle w:val="20"/>
      </w:pPr>
      <w:r>
        <w:t>Черных М.Н.</w:t>
      </w:r>
      <w:r>
        <w:tab/>
      </w:r>
      <w:r>
        <w:fldChar w:fldCharType="begin"/>
      </w:r>
      <w:r>
        <w:instrText xml:space="preserve"> PAGEREF _Toc11937959 \h </w:instrText>
      </w:r>
      <w:r>
        <w:fldChar w:fldCharType="separate"/>
      </w:r>
      <w:r w:rsidR="00562255">
        <w:t>624</w:t>
      </w:r>
      <w:r>
        <w:fldChar w:fldCharType="end"/>
      </w:r>
    </w:p>
    <w:p w:rsidR="00F4654E" w:rsidRDefault="00F4654E">
      <w:pPr>
        <w:pStyle w:val="10"/>
        <w:rPr>
          <w:spacing w:val="0"/>
        </w:rPr>
      </w:pPr>
      <w:r>
        <w:rPr>
          <w:spacing w:val="0"/>
        </w:rPr>
        <w:t>ПРИМЕНЕНИЕ ВИТАМИНА «U» ДЛЯ ПРОФИЛАКТИКИ ЗАБОЛЕВАНИЙ ЖЕЛУДОЧНО-КИШЕЧНОГО ТРАКТА У МОЛОДНЯКА СТАНДАРТНЫХ НОРОК</w:t>
      </w:r>
    </w:p>
    <w:p w:rsidR="00F4654E" w:rsidRDefault="00F4654E" w:rsidP="00562255">
      <w:pPr>
        <w:pStyle w:val="20"/>
      </w:pPr>
      <w:r>
        <w:t>Чопорова Н.В., Шубина Т.П., Чопорова В.В.</w:t>
      </w:r>
      <w:r>
        <w:tab/>
      </w:r>
      <w:r>
        <w:fldChar w:fldCharType="begin"/>
      </w:r>
      <w:r>
        <w:instrText xml:space="preserve"> PAGEREF _Toc11937961 \h </w:instrText>
      </w:r>
      <w:r>
        <w:fldChar w:fldCharType="separate"/>
      </w:r>
      <w:r w:rsidR="00562255">
        <w:t>626</w:t>
      </w:r>
      <w:r>
        <w:fldChar w:fldCharType="end"/>
      </w:r>
    </w:p>
    <w:p w:rsidR="00F4654E" w:rsidRDefault="00F4654E">
      <w:pPr>
        <w:pStyle w:val="10"/>
        <w:rPr>
          <w:spacing w:val="0"/>
        </w:rPr>
      </w:pPr>
      <w:r>
        <w:rPr>
          <w:spacing w:val="0"/>
        </w:rPr>
        <w:t>Влияние эфирных масел мяты перечной, шалфея и эвкалипта на неспецифическую резистентность кроликов</w:t>
      </w:r>
    </w:p>
    <w:p w:rsidR="00F4654E" w:rsidRDefault="00F4654E" w:rsidP="00562255">
      <w:pPr>
        <w:pStyle w:val="20"/>
      </w:pPr>
      <w:r>
        <w:t>Чупахина Н.В., Шкиль Н.А., Казаринова Н.В.</w:t>
      </w:r>
      <w:r>
        <w:tab/>
      </w:r>
      <w:r>
        <w:fldChar w:fldCharType="begin"/>
      </w:r>
      <w:r>
        <w:instrText xml:space="preserve"> PAGEREF _Toc11937963 \h </w:instrText>
      </w:r>
      <w:r>
        <w:fldChar w:fldCharType="separate"/>
      </w:r>
      <w:r w:rsidR="00562255">
        <w:t>627</w:t>
      </w:r>
      <w:r>
        <w:fldChar w:fldCharType="end"/>
      </w:r>
    </w:p>
    <w:p w:rsidR="00F4654E" w:rsidRDefault="00F4654E">
      <w:pPr>
        <w:pStyle w:val="10"/>
        <w:rPr>
          <w:spacing w:val="0"/>
        </w:rPr>
      </w:pPr>
      <w:r>
        <w:rPr>
          <w:spacing w:val="0"/>
        </w:rPr>
        <w:t>Комбинации G- и Р-типов ротавирусов КРС, циркулирующих в животноводческих хозяйствах Российской Федерации</w:t>
      </w:r>
    </w:p>
    <w:p w:rsidR="00F4654E" w:rsidRDefault="00F4654E" w:rsidP="00562255">
      <w:pPr>
        <w:pStyle w:val="20"/>
      </w:pPr>
      <w:r>
        <w:t>Чупин С.А., Аянот П.К., Кудрявцев В.А., Дороненкова Г.Н.</w:t>
      </w:r>
      <w:r>
        <w:tab/>
      </w:r>
      <w:r>
        <w:fldChar w:fldCharType="begin"/>
      </w:r>
      <w:r>
        <w:instrText xml:space="preserve"> PAGEREF _Toc11937965 \h </w:instrText>
      </w:r>
      <w:r>
        <w:fldChar w:fldCharType="separate"/>
      </w:r>
      <w:r w:rsidR="00562255">
        <w:t>628</w:t>
      </w:r>
      <w:r>
        <w:fldChar w:fldCharType="end"/>
      </w:r>
    </w:p>
    <w:p w:rsidR="00F4654E" w:rsidRDefault="00F4654E">
      <w:pPr>
        <w:pStyle w:val="10"/>
        <w:rPr>
          <w:spacing w:val="0"/>
        </w:rPr>
      </w:pPr>
      <w:r>
        <w:rPr>
          <w:spacing w:val="0"/>
        </w:rPr>
        <w:t xml:space="preserve">НОВЫЙ ФЕРМЕНТНЫЙ ПРЕПАРАТ «ВЕТЛИЗОСТАФИН» ДЛЯ ЛЕЧЕНИЯ </w:t>
      </w:r>
      <w:r>
        <w:rPr>
          <w:noProof w:val="0"/>
          <w:spacing w:val="0"/>
        </w:rPr>
        <w:br/>
      </w:r>
      <w:r>
        <w:rPr>
          <w:spacing w:val="0"/>
        </w:rPr>
        <w:t>СТАФИЛОКОККОЗОВ ЖИВОТНЫХ</w:t>
      </w:r>
    </w:p>
    <w:p w:rsidR="00F4654E" w:rsidRDefault="00F4654E" w:rsidP="00562255">
      <w:pPr>
        <w:pStyle w:val="20"/>
      </w:pPr>
      <w:r>
        <w:t>Чупрунов В.П., Суровцев В.И., Федоров Т.В., Гусев В.В.</w:t>
      </w:r>
      <w:r>
        <w:tab/>
      </w:r>
      <w:r>
        <w:fldChar w:fldCharType="begin"/>
      </w:r>
      <w:r>
        <w:instrText xml:space="preserve"> PAGEREF _Toc11937967 \h </w:instrText>
      </w:r>
      <w:r>
        <w:fldChar w:fldCharType="separate"/>
      </w:r>
      <w:r w:rsidR="00562255">
        <w:t>631</w:t>
      </w:r>
      <w:r>
        <w:fldChar w:fldCharType="end"/>
      </w:r>
    </w:p>
    <w:p w:rsidR="00F4654E" w:rsidRDefault="00F4654E">
      <w:pPr>
        <w:pStyle w:val="10"/>
        <w:rPr>
          <w:spacing w:val="0"/>
        </w:rPr>
      </w:pPr>
      <w:r>
        <w:rPr>
          <w:spacing w:val="0"/>
        </w:rPr>
        <w:t>Терапевтическая эффективность препарата Озонол-О при  послеродовом эндометрите у коров-первотелок</w:t>
      </w:r>
    </w:p>
    <w:p w:rsidR="00F4654E" w:rsidRDefault="00F4654E" w:rsidP="00562255">
      <w:pPr>
        <w:pStyle w:val="20"/>
      </w:pPr>
      <w:r>
        <w:t>Чучалин С.Ф., Конопельцев И.Г., Филатов А.В.</w:t>
      </w:r>
      <w:r>
        <w:tab/>
      </w:r>
      <w:r>
        <w:fldChar w:fldCharType="begin"/>
      </w:r>
      <w:r>
        <w:instrText xml:space="preserve"> PAGEREF _Toc11937969 \h </w:instrText>
      </w:r>
      <w:r>
        <w:fldChar w:fldCharType="separate"/>
      </w:r>
      <w:r w:rsidR="00562255">
        <w:t>632</w:t>
      </w:r>
      <w:r>
        <w:fldChar w:fldCharType="end"/>
      </w:r>
    </w:p>
    <w:p w:rsidR="00F4654E" w:rsidRDefault="00F4654E">
      <w:pPr>
        <w:pStyle w:val="10"/>
        <w:rPr>
          <w:spacing w:val="0"/>
        </w:rPr>
      </w:pPr>
      <w:r>
        <w:rPr>
          <w:spacing w:val="0"/>
        </w:rPr>
        <w:t>МОРФОФУНКЦИОНАЛЬНЫЕ ИЗМЕНЕНИЯ В ТИМУСЕ И ПЕЧЕНИ ПРИ ПРИМЕНЕНИИ ВИТАМИНОВ А И Е НА ФОНЕ ИНТОКСИКАЦИИ ГЕРБИЦИДОМ 2,4 -ДА</w:t>
      </w:r>
    </w:p>
    <w:p w:rsidR="00F4654E" w:rsidRDefault="00F4654E" w:rsidP="00562255">
      <w:pPr>
        <w:pStyle w:val="20"/>
      </w:pPr>
      <w:r>
        <w:t>Шакирова Г.Р., Кузнецова К.И., Муфазалова Н.А.</w:t>
      </w:r>
      <w:r>
        <w:tab/>
      </w:r>
      <w:r>
        <w:fldChar w:fldCharType="begin"/>
      </w:r>
      <w:r>
        <w:instrText xml:space="preserve"> PAGEREF _Toc11937971 \h </w:instrText>
      </w:r>
      <w:r>
        <w:fldChar w:fldCharType="separate"/>
      </w:r>
      <w:r w:rsidR="00562255">
        <w:t>633</w:t>
      </w:r>
      <w:r>
        <w:fldChar w:fldCharType="end"/>
      </w:r>
    </w:p>
    <w:p w:rsidR="00F4654E" w:rsidRDefault="00F4654E">
      <w:pPr>
        <w:pStyle w:val="10"/>
        <w:rPr>
          <w:spacing w:val="0"/>
        </w:rPr>
      </w:pPr>
      <w:r>
        <w:rPr>
          <w:spacing w:val="0"/>
        </w:rPr>
        <w:t>ПОЛУЧЕНИЕ СПЕЦИФИЧЕСКИХ КОМПОНЕНТОВ АНТИГЕНА ВИРУСА КЧС ДЛЯ ИММУНОФЕРМЕНТНОЙ ТЕСТ-СИСТЕМЫ</w:t>
      </w:r>
    </w:p>
    <w:p w:rsidR="00F4654E" w:rsidRDefault="00F4654E" w:rsidP="00562255">
      <w:pPr>
        <w:pStyle w:val="20"/>
      </w:pPr>
      <w:r>
        <w:t xml:space="preserve">Шарифуллин А.И., Галиуллин А.К., Хаертынов К.С., </w:t>
      </w:r>
      <w:r>
        <w:rPr>
          <w:noProof w:val="0"/>
        </w:rPr>
        <w:br/>
      </w:r>
      <w:r>
        <w:t>Ильясова Г.Х.,  Гильмутдинов Р.Я., Коксин В.В.</w:t>
      </w:r>
      <w:r>
        <w:tab/>
      </w:r>
      <w:r>
        <w:fldChar w:fldCharType="begin"/>
      </w:r>
      <w:r>
        <w:instrText xml:space="preserve"> PAGEREF _Toc11937973 \h </w:instrText>
      </w:r>
      <w:r>
        <w:fldChar w:fldCharType="separate"/>
      </w:r>
      <w:r w:rsidR="00562255">
        <w:t>635</w:t>
      </w:r>
      <w:r>
        <w:fldChar w:fldCharType="end"/>
      </w:r>
    </w:p>
    <w:p w:rsidR="00F4654E" w:rsidRDefault="00F4654E">
      <w:pPr>
        <w:pStyle w:val="10"/>
        <w:rPr>
          <w:spacing w:val="0"/>
        </w:rPr>
      </w:pPr>
      <w:r>
        <w:rPr>
          <w:spacing w:val="0"/>
        </w:rPr>
        <w:t xml:space="preserve">Изучение возможности выявления лучевой аутосенсибилизации </w:t>
      </w:r>
      <w:r w:rsidR="00D6523B">
        <w:rPr>
          <w:spacing w:val="0"/>
        </w:rPr>
        <w:br/>
      </w:r>
      <w:r>
        <w:rPr>
          <w:spacing w:val="0"/>
        </w:rPr>
        <w:t xml:space="preserve">с использованием естественного радиомиметика – фитогенного </w:t>
      </w:r>
      <w:r w:rsidR="00D6523B">
        <w:rPr>
          <w:spacing w:val="0"/>
        </w:rPr>
        <w:br/>
      </w:r>
      <w:r>
        <w:rPr>
          <w:spacing w:val="0"/>
        </w:rPr>
        <w:t>аллергена</w:t>
      </w:r>
    </w:p>
    <w:p w:rsidR="00F4654E" w:rsidRDefault="00F4654E" w:rsidP="00562255">
      <w:pPr>
        <w:pStyle w:val="20"/>
      </w:pPr>
      <w:r>
        <w:t>Шарифуллина Д.Т., Конюхов Г.В., Низамов Р.Н., Ишмухаметов К.Т.</w:t>
      </w:r>
      <w:r>
        <w:tab/>
      </w:r>
      <w:r>
        <w:fldChar w:fldCharType="begin"/>
      </w:r>
      <w:r>
        <w:instrText xml:space="preserve"> PAGEREF _Toc11937975 \h </w:instrText>
      </w:r>
      <w:r>
        <w:fldChar w:fldCharType="separate"/>
      </w:r>
      <w:r w:rsidR="00562255">
        <w:t>636</w:t>
      </w:r>
      <w:r>
        <w:fldChar w:fldCharType="end"/>
      </w:r>
    </w:p>
    <w:p w:rsidR="00F4654E" w:rsidRDefault="00F4654E">
      <w:pPr>
        <w:pStyle w:val="10"/>
        <w:rPr>
          <w:spacing w:val="0"/>
        </w:rPr>
      </w:pPr>
      <w:r>
        <w:rPr>
          <w:spacing w:val="0"/>
        </w:rPr>
        <w:t>ИЗУЧЕНИЕ АДАПТАЦИИ И РЕАДАПТАЦИИ ЭШЕРИХИЙ И СТАФИЛОКОККОВ К ДИФУРУ</w:t>
      </w:r>
    </w:p>
    <w:p w:rsidR="00F4654E" w:rsidRDefault="00F4654E" w:rsidP="00562255">
      <w:pPr>
        <w:pStyle w:val="20"/>
      </w:pPr>
      <w:r>
        <w:t>Шевелева Е.Е.</w:t>
      </w:r>
      <w:r>
        <w:tab/>
      </w:r>
      <w:r>
        <w:fldChar w:fldCharType="begin"/>
      </w:r>
      <w:r>
        <w:instrText xml:space="preserve"> PAGEREF _Toc11937977 \h </w:instrText>
      </w:r>
      <w:r>
        <w:fldChar w:fldCharType="separate"/>
      </w:r>
      <w:r w:rsidR="00562255">
        <w:t>637</w:t>
      </w:r>
      <w:r>
        <w:fldChar w:fldCharType="end"/>
      </w:r>
    </w:p>
    <w:p w:rsidR="00F4654E" w:rsidRDefault="00F4654E">
      <w:pPr>
        <w:pStyle w:val="10"/>
        <w:rPr>
          <w:spacing w:val="0"/>
        </w:rPr>
      </w:pPr>
      <w:r>
        <w:rPr>
          <w:spacing w:val="0"/>
        </w:rPr>
        <w:t xml:space="preserve">РЕЗИСТЕНТНОСТЬ К АНТИМИКРОБНЫМ ПРЕПАРАТАМ МИКРООРГАНИЗМОВ, </w:t>
      </w:r>
      <w:r>
        <w:rPr>
          <w:noProof w:val="0"/>
          <w:spacing w:val="0"/>
        </w:rPr>
        <w:br/>
      </w:r>
      <w:r>
        <w:rPr>
          <w:spacing w:val="0"/>
        </w:rPr>
        <w:t>ВЫДЕЛЕННЫХ ОТ СВИНОМАТОК  С ПОСЛЕРОДОВОЙ ПАТОЛОГИЕЙ</w:t>
      </w:r>
    </w:p>
    <w:p w:rsidR="00F4654E" w:rsidRDefault="00F4654E" w:rsidP="00562255">
      <w:pPr>
        <w:pStyle w:val="20"/>
      </w:pPr>
      <w:r>
        <w:t>Шевелева Е.Е., Бирюков М.В.</w:t>
      </w:r>
      <w:r>
        <w:tab/>
      </w:r>
      <w:r>
        <w:fldChar w:fldCharType="begin"/>
      </w:r>
      <w:r>
        <w:instrText xml:space="preserve"> PAGEREF _Toc11937979 \h </w:instrText>
      </w:r>
      <w:r>
        <w:fldChar w:fldCharType="separate"/>
      </w:r>
      <w:r w:rsidR="00562255">
        <w:t>638</w:t>
      </w:r>
      <w:r>
        <w:fldChar w:fldCharType="end"/>
      </w:r>
    </w:p>
    <w:p w:rsidR="00F4654E" w:rsidRDefault="00F4654E">
      <w:pPr>
        <w:pStyle w:val="10"/>
        <w:rPr>
          <w:spacing w:val="0"/>
        </w:rPr>
      </w:pPr>
      <w:r>
        <w:rPr>
          <w:spacing w:val="0"/>
        </w:rPr>
        <w:t xml:space="preserve">Сравнительная оценка эффективности селенсодержащих препаратов антавина, деполена и раствора селенита натрия при профилактике послеродовых заболеваний свиней и влияния этих препаратов на </w:t>
      </w:r>
      <w:r>
        <w:rPr>
          <w:noProof w:val="0"/>
          <w:spacing w:val="0"/>
        </w:rPr>
        <w:br/>
      </w:r>
      <w:r>
        <w:rPr>
          <w:spacing w:val="0"/>
        </w:rPr>
        <w:t>качество получаемого приплода</w:t>
      </w:r>
    </w:p>
    <w:p w:rsidR="00F4654E" w:rsidRDefault="00F4654E" w:rsidP="00562255">
      <w:pPr>
        <w:pStyle w:val="20"/>
      </w:pPr>
      <w:r>
        <w:t>Шевкопляс В.Н., Ярош Р. А., Турченко А.Н.</w:t>
      </w:r>
      <w:r>
        <w:tab/>
      </w:r>
      <w:r>
        <w:fldChar w:fldCharType="begin"/>
      </w:r>
      <w:r>
        <w:instrText xml:space="preserve"> PAGEREF _Toc11937981 \h </w:instrText>
      </w:r>
      <w:r>
        <w:fldChar w:fldCharType="separate"/>
      </w:r>
      <w:r w:rsidR="00562255">
        <w:t>639</w:t>
      </w:r>
      <w:r>
        <w:fldChar w:fldCharType="end"/>
      </w:r>
    </w:p>
    <w:p w:rsidR="00F4654E" w:rsidRDefault="00F4654E">
      <w:pPr>
        <w:pStyle w:val="10"/>
        <w:rPr>
          <w:spacing w:val="0"/>
        </w:rPr>
      </w:pPr>
      <w:r>
        <w:rPr>
          <w:spacing w:val="0"/>
        </w:rPr>
        <w:t xml:space="preserve">повышение эффективности вакцинопрофилактики телят с </w:t>
      </w:r>
      <w:r>
        <w:rPr>
          <w:noProof w:val="0"/>
          <w:spacing w:val="0"/>
        </w:rPr>
        <w:br/>
      </w:r>
      <w:r>
        <w:rPr>
          <w:spacing w:val="0"/>
        </w:rPr>
        <w:t>иммунодефицитным состоянием</w:t>
      </w:r>
    </w:p>
    <w:p w:rsidR="00F4654E" w:rsidRDefault="00F4654E" w:rsidP="00562255">
      <w:pPr>
        <w:pStyle w:val="20"/>
      </w:pPr>
      <w:r>
        <w:rPr>
          <w:caps/>
        </w:rPr>
        <w:t>Ш</w:t>
      </w:r>
      <w:r>
        <w:t>илов В.Б., Корсакова Е.Н.</w:t>
      </w:r>
      <w:r>
        <w:tab/>
      </w:r>
      <w:r>
        <w:fldChar w:fldCharType="begin"/>
      </w:r>
      <w:r>
        <w:instrText xml:space="preserve"> PAGEREF _Toc11937983 \h </w:instrText>
      </w:r>
      <w:r>
        <w:fldChar w:fldCharType="separate"/>
      </w:r>
      <w:r w:rsidR="00562255">
        <w:t>641</w:t>
      </w:r>
      <w:r>
        <w:fldChar w:fldCharType="end"/>
      </w:r>
    </w:p>
    <w:p w:rsidR="00F4654E" w:rsidRDefault="00F4654E">
      <w:pPr>
        <w:pStyle w:val="10"/>
        <w:rPr>
          <w:spacing w:val="0"/>
        </w:rPr>
      </w:pPr>
      <w:r>
        <w:rPr>
          <w:spacing w:val="0"/>
        </w:rPr>
        <w:t>Оценка факторов персистенции микроорганизмов</w:t>
      </w:r>
    </w:p>
    <w:p w:rsidR="00F4654E" w:rsidRDefault="00F4654E" w:rsidP="00562255">
      <w:pPr>
        <w:pStyle w:val="20"/>
      </w:pPr>
      <w:r>
        <w:t>Шкиль Н.Н.</w:t>
      </w:r>
      <w:r>
        <w:tab/>
      </w:r>
      <w:r>
        <w:fldChar w:fldCharType="begin"/>
      </w:r>
      <w:r>
        <w:instrText xml:space="preserve"> PAGEREF _Toc11937985 \h </w:instrText>
      </w:r>
      <w:r>
        <w:fldChar w:fldCharType="separate"/>
      </w:r>
      <w:r w:rsidR="00562255">
        <w:t>643</w:t>
      </w:r>
      <w:r>
        <w:fldChar w:fldCharType="end"/>
      </w:r>
    </w:p>
    <w:p w:rsidR="00F4654E" w:rsidRDefault="00F4654E">
      <w:pPr>
        <w:pStyle w:val="10"/>
        <w:rPr>
          <w:spacing w:val="0"/>
        </w:rPr>
      </w:pPr>
      <w:r>
        <w:rPr>
          <w:spacing w:val="0"/>
        </w:rPr>
        <w:t>ВЛИЯНИЕ ПРЕПАРАТА «ЭНТЕРОСАН» НА ГЕМАТОЛОГИЧЕСКИЕ ПОКАЗАТЕЛИ</w:t>
      </w:r>
    </w:p>
    <w:p w:rsidR="00F4654E" w:rsidRDefault="00F4654E" w:rsidP="00562255">
      <w:pPr>
        <w:pStyle w:val="20"/>
      </w:pPr>
      <w:r>
        <w:t>Штукарева М. Ю.</w:t>
      </w:r>
      <w:r>
        <w:tab/>
      </w:r>
      <w:r>
        <w:fldChar w:fldCharType="begin"/>
      </w:r>
      <w:r>
        <w:instrText xml:space="preserve"> PAGEREF _Toc11937987 \h </w:instrText>
      </w:r>
      <w:r>
        <w:fldChar w:fldCharType="separate"/>
      </w:r>
      <w:r w:rsidR="00562255">
        <w:t>644</w:t>
      </w:r>
      <w:r>
        <w:fldChar w:fldCharType="end"/>
      </w:r>
    </w:p>
    <w:p w:rsidR="00F4654E" w:rsidRDefault="00F4654E">
      <w:pPr>
        <w:pStyle w:val="10"/>
        <w:rPr>
          <w:spacing w:val="0"/>
        </w:rPr>
      </w:pPr>
      <w:r>
        <w:rPr>
          <w:spacing w:val="0"/>
        </w:rPr>
        <w:t xml:space="preserve">МОРФОЛОГИЧЕСКАЯ ОЦЕНКА БЕЗВРЕДНОСТИ ПРЕПАРАТА «ЭНТЕРОСАН» </w:t>
      </w:r>
    </w:p>
    <w:p w:rsidR="00F4654E" w:rsidRDefault="00F4654E" w:rsidP="00562255">
      <w:pPr>
        <w:pStyle w:val="20"/>
      </w:pPr>
      <w:r>
        <w:t>Штукарева М. Ю., Гладских Л. В.</w:t>
      </w:r>
      <w:r>
        <w:tab/>
      </w:r>
      <w:r>
        <w:fldChar w:fldCharType="begin"/>
      </w:r>
      <w:r>
        <w:instrText xml:space="preserve"> PAGEREF _Toc11937989 \h </w:instrText>
      </w:r>
      <w:r>
        <w:fldChar w:fldCharType="separate"/>
      </w:r>
      <w:r w:rsidR="00562255">
        <w:t>645</w:t>
      </w:r>
      <w:r>
        <w:fldChar w:fldCharType="end"/>
      </w:r>
    </w:p>
    <w:p w:rsidR="00F4654E" w:rsidRDefault="00F4654E">
      <w:pPr>
        <w:pStyle w:val="10"/>
        <w:rPr>
          <w:spacing w:val="0"/>
        </w:rPr>
      </w:pPr>
      <w:r>
        <w:rPr>
          <w:spacing w:val="0"/>
        </w:rPr>
        <w:t>ДЕЙСТВИЕ АНТИБИОТИКОВ НА E. coli , ВЫДЕЛЕННЫХ ОТ ПТИЦ</w:t>
      </w:r>
    </w:p>
    <w:p w:rsidR="00F4654E" w:rsidRDefault="00F4654E" w:rsidP="00562255">
      <w:pPr>
        <w:pStyle w:val="20"/>
      </w:pPr>
      <w:r>
        <w:t>Шукуров Ш. М.</w:t>
      </w:r>
      <w:r>
        <w:tab/>
      </w:r>
      <w:r>
        <w:fldChar w:fldCharType="begin"/>
      </w:r>
      <w:r>
        <w:instrText xml:space="preserve"> PAGEREF _Toc11937991 \h </w:instrText>
      </w:r>
      <w:r>
        <w:fldChar w:fldCharType="separate"/>
      </w:r>
      <w:r w:rsidR="00562255">
        <w:t>647</w:t>
      </w:r>
      <w:r>
        <w:fldChar w:fldCharType="end"/>
      </w:r>
    </w:p>
    <w:p w:rsidR="00F4654E" w:rsidRDefault="00F4654E">
      <w:pPr>
        <w:pStyle w:val="10"/>
        <w:rPr>
          <w:spacing w:val="0"/>
        </w:rPr>
      </w:pPr>
      <w:r>
        <w:rPr>
          <w:spacing w:val="0"/>
        </w:rPr>
        <w:t xml:space="preserve">Выявление маркера вируса диареи КРС у животных различных </w:t>
      </w:r>
      <w:r>
        <w:rPr>
          <w:noProof w:val="0"/>
          <w:spacing w:val="0"/>
        </w:rPr>
        <w:br/>
      </w:r>
      <w:r>
        <w:rPr>
          <w:spacing w:val="0"/>
        </w:rPr>
        <w:t>возрастных групп</w:t>
      </w:r>
    </w:p>
    <w:p w:rsidR="00F4654E" w:rsidRDefault="00F4654E" w:rsidP="00562255">
      <w:pPr>
        <w:pStyle w:val="20"/>
      </w:pPr>
      <w:r>
        <w:t>Шульпин М.И., Мищенко В.А., Аянот П.К.</w:t>
      </w:r>
      <w:r>
        <w:tab/>
      </w:r>
      <w:r>
        <w:fldChar w:fldCharType="begin"/>
      </w:r>
      <w:r>
        <w:instrText xml:space="preserve"> PAGEREF _Toc11937993 \h </w:instrText>
      </w:r>
      <w:r>
        <w:fldChar w:fldCharType="separate"/>
      </w:r>
      <w:r w:rsidR="00562255">
        <w:t>648</w:t>
      </w:r>
      <w:r>
        <w:fldChar w:fldCharType="end"/>
      </w:r>
    </w:p>
    <w:p w:rsidR="00D6523B" w:rsidRDefault="00D6523B">
      <w:pPr>
        <w:pStyle w:val="10"/>
        <w:rPr>
          <w:spacing w:val="0"/>
        </w:rPr>
      </w:pPr>
    </w:p>
    <w:p w:rsidR="00F4654E" w:rsidRDefault="00F4654E">
      <w:pPr>
        <w:pStyle w:val="10"/>
        <w:rPr>
          <w:spacing w:val="0"/>
        </w:rPr>
      </w:pPr>
      <w:r>
        <w:rPr>
          <w:spacing w:val="0"/>
        </w:rPr>
        <w:lastRenderedPageBreak/>
        <w:t>Тяжелые металлы и их роль в загрязнении объектов животноводства</w:t>
      </w:r>
    </w:p>
    <w:p w:rsidR="00F4654E" w:rsidRDefault="00F4654E" w:rsidP="00562255">
      <w:pPr>
        <w:pStyle w:val="20"/>
      </w:pPr>
      <w:r>
        <w:t>Щедров И.Н., Жуков И.В., Дедяев В.И., Василенко В.В.</w:t>
      </w:r>
      <w:r>
        <w:tab/>
      </w:r>
      <w:r>
        <w:fldChar w:fldCharType="begin"/>
      </w:r>
      <w:r>
        <w:instrText xml:space="preserve"> PAGEREF _Toc11937995 \h </w:instrText>
      </w:r>
      <w:r>
        <w:fldChar w:fldCharType="separate"/>
      </w:r>
      <w:r w:rsidR="00562255">
        <w:t>650</w:t>
      </w:r>
      <w:r>
        <w:fldChar w:fldCharType="end"/>
      </w:r>
    </w:p>
    <w:p w:rsidR="00F4654E" w:rsidRDefault="00F4654E">
      <w:pPr>
        <w:pStyle w:val="10"/>
        <w:rPr>
          <w:spacing w:val="0"/>
        </w:rPr>
      </w:pPr>
      <w:r>
        <w:rPr>
          <w:spacing w:val="0"/>
        </w:rPr>
        <w:t xml:space="preserve">К  использованию аллилсата при гипотонии рубца у  молодняка </w:t>
      </w:r>
      <w:r>
        <w:rPr>
          <w:noProof w:val="0"/>
          <w:spacing w:val="0"/>
        </w:rPr>
        <w:br/>
      </w:r>
      <w:r>
        <w:rPr>
          <w:spacing w:val="0"/>
        </w:rPr>
        <w:t>крупного рогатого скота</w:t>
      </w:r>
    </w:p>
    <w:p w:rsidR="00F4654E" w:rsidRDefault="00F4654E" w:rsidP="00562255">
      <w:pPr>
        <w:pStyle w:val="20"/>
      </w:pPr>
      <w:r>
        <w:t>Шураева И.Ю.</w:t>
      </w:r>
      <w:r>
        <w:tab/>
      </w:r>
      <w:r>
        <w:fldChar w:fldCharType="begin"/>
      </w:r>
      <w:r>
        <w:instrText xml:space="preserve"> PAGEREF _Toc11937997 \h </w:instrText>
      </w:r>
      <w:r>
        <w:fldChar w:fldCharType="separate"/>
      </w:r>
      <w:r w:rsidR="00562255">
        <w:t>652</w:t>
      </w:r>
      <w:r>
        <w:fldChar w:fldCharType="end"/>
      </w:r>
    </w:p>
    <w:p w:rsidR="00F4654E" w:rsidRDefault="00F4654E">
      <w:pPr>
        <w:pStyle w:val="10"/>
        <w:rPr>
          <w:spacing w:val="0"/>
        </w:rPr>
      </w:pPr>
      <w:r>
        <w:rPr>
          <w:spacing w:val="0"/>
        </w:rPr>
        <w:t xml:space="preserve">Использование спиртовой настойки лука при гипотонии и атонии рубца </w:t>
      </w:r>
      <w:r>
        <w:rPr>
          <w:noProof w:val="0"/>
          <w:spacing w:val="0"/>
        </w:rPr>
        <w:br/>
      </w:r>
      <w:r>
        <w:rPr>
          <w:spacing w:val="0"/>
        </w:rPr>
        <w:t>у молодняка  крупного рогатого скота</w:t>
      </w:r>
    </w:p>
    <w:p w:rsidR="00F4654E" w:rsidRDefault="00F4654E" w:rsidP="00562255">
      <w:pPr>
        <w:pStyle w:val="20"/>
      </w:pPr>
      <w:r>
        <w:t>Шураева И.Ю.</w:t>
      </w:r>
      <w:r>
        <w:tab/>
      </w:r>
      <w:r>
        <w:fldChar w:fldCharType="begin"/>
      </w:r>
      <w:r>
        <w:instrText xml:space="preserve"> PAGEREF _Toc11937999 \h </w:instrText>
      </w:r>
      <w:r>
        <w:fldChar w:fldCharType="separate"/>
      </w:r>
      <w:r w:rsidR="00562255">
        <w:t>653</w:t>
      </w:r>
      <w:r>
        <w:fldChar w:fldCharType="end"/>
      </w:r>
    </w:p>
    <w:p w:rsidR="00F4654E" w:rsidRDefault="00F4654E">
      <w:pPr>
        <w:pStyle w:val="10"/>
        <w:rPr>
          <w:spacing w:val="0"/>
        </w:rPr>
      </w:pPr>
      <w:r>
        <w:rPr>
          <w:spacing w:val="0"/>
        </w:rPr>
        <w:t>СМЕШАННЫЕ ИНФЕКЦИИ ТЕЛЯТ</w:t>
      </w:r>
    </w:p>
    <w:p w:rsidR="00F4654E" w:rsidRDefault="00F4654E" w:rsidP="00562255">
      <w:pPr>
        <w:pStyle w:val="20"/>
      </w:pPr>
      <w:r>
        <w:t>Эльмурадов Б.А.</w:t>
      </w:r>
      <w:r>
        <w:tab/>
      </w:r>
      <w:r>
        <w:fldChar w:fldCharType="begin"/>
      </w:r>
      <w:r>
        <w:instrText xml:space="preserve"> PAGEREF _Toc11938001 \h </w:instrText>
      </w:r>
      <w:r>
        <w:fldChar w:fldCharType="separate"/>
      </w:r>
      <w:r w:rsidR="00562255">
        <w:t>654</w:t>
      </w:r>
      <w:r>
        <w:fldChar w:fldCharType="end"/>
      </w:r>
    </w:p>
    <w:p w:rsidR="00F4654E" w:rsidRDefault="00F4654E">
      <w:pPr>
        <w:pStyle w:val="10"/>
        <w:rPr>
          <w:spacing w:val="0"/>
        </w:rPr>
      </w:pPr>
      <w:r>
        <w:rPr>
          <w:snapToGrid w:val="0"/>
          <w:spacing w:val="0"/>
        </w:rPr>
        <w:t>РОЛЬ БИОЛОГИЧЕСКИХ И ФИЗИКО-ХИМИЧЕСКИХ ФАКТОРОВ В ВОЗНИКНОВЕНИИ ВТОРИЧНОГО ИММУНОДЕФИЦИТА У ЖИВОТНЫХ</w:t>
      </w:r>
    </w:p>
    <w:p w:rsidR="00F4654E" w:rsidRDefault="00F4654E" w:rsidP="00562255">
      <w:pPr>
        <w:pStyle w:val="20"/>
      </w:pPr>
      <w:r>
        <w:rPr>
          <w:snapToGrid w:val="0"/>
        </w:rPr>
        <w:t>Юсупов Р.X.</w:t>
      </w:r>
      <w:r>
        <w:tab/>
      </w:r>
      <w:r>
        <w:fldChar w:fldCharType="begin"/>
      </w:r>
      <w:r>
        <w:instrText xml:space="preserve"> PAGEREF _Toc11938003 \h </w:instrText>
      </w:r>
      <w:r>
        <w:fldChar w:fldCharType="separate"/>
      </w:r>
      <w:r w:rsidR="00562255">
        <w:t>656</w:t>
      </w:r>
      <w:r>
        <w:fldChar w:fldCharType="end"/>
      </w:r>
    </w:p>
    <w:p w:rsidR="00F4654E" w:rsidRDefault="00F4654E">
      <w:pPr>
        <w:pStyle w:val="10"/>
        <w:rPr>
          <w:spacing w:val="0"/>
        </w:rPr>
      </w:pPr>
      <w:r>
        <w:rPr>
          <w:spacing w:val="0"/>
        </w:rPr>
        <w:t xml:space="preserve">Влияние наружного вибромассажа на физиологические показатели </w:t>
      </w:r>
      <w:r w:rsidR="00D6523B">
        <w:rPr>
          <w:spacing w:val="0"/>
        </w:rPr>
        <w:br/>
      </w:r>
      <w:r>
        <w:rPr>
          <w:spacing w:val="0"/>
        </w:rPr>
        <w:t>коров</w:t>
      </w:r>
    </w:p>
    <w:p w:rsidR="00F4654E" w:rsidRDefault="00F4654E" w:rsidP="00562255">
      <w:pPr>
        <w:pStyle w:val="20"/>
      </w:pPr>
      <w:r>
        <w:t>Юшков Ю. Г.</w:t>
      </w:r>
      <w:r>
        <w:tab/>
      </w:r>
      <w:r>
        <w:fldChar w:fldCharType="begin"/>
      </w:r>
      <w:r>
        <w:instrText xml:space="preserve"> PAGEREF _Toc11938005 \h </w:instrText>
      </w:r>
      <w:r>
        <w:fldChar w:fldCharType="separate"/>
      </w:r>
      <w:r w:rsidR="00562255">
        <w:t>657</w:t>
      </w:r>
      <w:r>
        <w:fldChar w:fldCharType="end"/>
      </w:r>
    </w:p>
    <w:p w:rsidR="00F4654E" w:rsidRDefault="00F4654E">
      <w:pPr>
        <w:pStyle w:val="10"/>
        <w:rPr>
          <w:spacing w:val="0"/>
        </w:rPr>
      </w:pPr>
      <w:r>
        <w:rPr>
          <w:spacing w:val="0"/>
        </w:rPr>
        <w:t>Изучение токсичности аурола – адаптогена нового поколения</w:t>
      </w:r>
    </w:p>
    <w:p w:rsidR="00F4654E" w:rsidRDefault="00F4654E" w:rsidP="00562255">
      <w:pPr>
        <w:pStyle w:val="20"/>
      </w:pPr>
      <w:r>
        <w:t>Юшков Ю.Г., Донченко О.А., Панова Н.Е., Брыкина Л.И.</w:t>
      </w:r>
      <w:r>
        <w:tab/>
      </w:r>
      <w:r>
        <w:fldChar w:fldCharType="begin"/>
      </w:r>
      <w:r>
        <w:instrText xml:space="preserve"> PAGEREF _Toc11938007 \h </w:instrText>
      </w:r>
      <w:r>
        <w:fldChar w:fldCharType="separate"/>
      </w:r>
      <w:r w:rsidR="00562255">
        <w:t>660</w:t>
      </w:r>
      <w:r>
        <w:fldChar w:fldCharType="end"/>
      </w:r>
    </w:p>
    <w:p w:rsidR="00F4654E" w:rsidRDefault="00F4654E">
      <w:pPr>
        <w:pStyle w:val="10"/>
        <w:rPr>
          <w:spacing w:val="0"/>
        </w:rPr>
      </w:pPr>
      <w:r>
        <w:rPr>
          <w:spacing w:val="0"/>
        </w:rPr>
        <w:t>ПАТОМОРФОЛОГИЧЕСКИЕ ИЗМЕНЕНИЯ ВО ВНУТРЕННИХ ОРГАНАХ ТЕЛЯТ ПРИ ЭКСПЕРИМЕНТАЛЬНОМ ЦИНОГЛОССОТОКСИКОЗЕ</w:t>
      </w:r>
    </w:p>
    <w:p w:rsidR="00F4654E" w:rsidRDefault="00F4654E" w:rsidP="00562255">
      <w:pPr>
        <w:pStyle w:val="20"/>
      </w:pPr>
      <w:r>
        <w:t>Яковлева Е.Г</w:t>
      </w:r>
      <w:r>
        <w:tab/>
      </w:r>
      <w:r>
        <w:fldChar w:fldCharType="begin"/>
      </w:r>
      <w:r>
        <w:instrText xml:space="preserve"> PAGEREF _Toc11938009 \h </w:instrText>
      </w:r>
      <w:r>
        <w:fldChar w:fldCharType="separate"/>
      </w:r>
      <w:r w:rsidR="00562255">
        <w:t>662</w:t>
      </w:r>
      <w:r>
        <w:fldChar w:fldCharType="end"/>
      </w:r>
    </w:p>
    <w:p w:rsidR="00F4654E" w:rsidRDefault="00F4654E">
      <w:pPr>
        <w:pStyle w:val="10"/>
        <w:rPr>
          <w:spacing w:val="0"/>
        </w:rPr>
      </w:pPr>
      <w:r>
        <w:rPr>
          <w:spacing w:val="0"/>
        </w:rPr>
        <w:t xml:space="preserve">ПЛАНИРОВАНИЕ ПРОТИВОЭПИЗООТИЧЕСКИХ МЕРОПРИЯТИЙ С ИСПОЛЬЗОВАНИЕМ </w:t>
      </w:r>
      <w:r>
        <w:rPr>
          <w:noProof w:val="0"/>
          <w:spacing w:val="0"/>
        </w:rPr>
        <w:br/>
      </w:r>
      <w:r>
        <w:rPr>
          <w:spacing w:val="0"/>
        </w:rPr>
        <w:t>НОВЫХ ИНФОРМАЦИОННЫХ ТЕХНОЛОГИЙ</w:t>
      </w:r>
    </w:p>
    <w:p w:rsidR="00F4654E" w:rsidRDefault="00F4654E" w:rsidP="00562255">
      <w:pPr>
        <w:pStyle w:val="20"/>
      </w:pPr>
      <w:r>
        <w:t>Яровой П. Н., Кузьмин Г. Н.</w:t>
      </w:r>
      <w:r>
        <w:tab/>
      </w:r>
      <w:r>
        <w:fldChar w:fldCharType="begin"/>
      </w:r>
      <w:r>
        <w:instrText xml:space="preserve"> PAGEREF _Toc11938011 \h </w:instrText>
      </w:r>
      <w:r>
        <w:fldChar w:fldCharType="separate"/>
      </w:r>
      <w:r w:rsidR="00562255">
        <w:t>664</w:t>
      </w:r>
      <w:r>
        <w:fldChar w:fldCharType="end"/>
      </w:r>
    </w:p>
    <w:p w:rsidR="00F4654E" w:rsidRDefault="00F4654E">
      <w:pPr>
        <w:pStyle w:val="10"/>
        <w:rPr>
          <w:spacing w:val="0"/>
        </w:rPr>
      </w:pPr>
      <w:r>
        <w:rPr>
          <w:spacing w:val="0"/>
        </w:rPr>
        <w:t>ВОПРОСЫ ФАРМАКОТЕРАПИИ ПСЕВДОМОНОЗА СВИНЕЙ</w:t>
      </w:r>
    </w:p>
    <w:p w:rsidR="00F4654E" w:rsidRDefault="00F4654E" w:rsidP="00562255">
      <w:pPr>
        <w:pStyle w:val="20"/>
      </w:pPr>
      <w:r>
        <w:t>Пруцаков С.В., Васильев А.К., Болоцкий И.А., Семенцов В.И.,</w:t>
      </w:r>
      <w:r>
        <w:rPr>
          <w:noProof w:val="0"/>
        </w:rPr>
        <w:t xml:space="preserve"> </w:t>
      </w:r>
      <w:r>
        <w:rPr>
          <w:noProof w:val="0"/>
        </w:rPr>
        <w:br/>
      </w:r>
      <w:r>
        <w:t>Хурай В.И., Молчан С.К.</w:t>
      </w:r>
      <w:r>
        <w:tab/>
      </w:r>
      <w:r>
        <w:fldChar w:fldCharType="begin"/>
      </w:r>
      <w:r>
        <w:instrText xml:space="preserve"> PAGEREF _Toc11938013 \h </w:instrText>
      </w:r>
      <w:r>
        <w:fldChar w:fldCharType="separate"/>
      </w:r>
      <w:r w:rsidR="00562255">
        <w:t>666</w:t>
      </w:r>
      <w:r>
        <w:fldChar w:fldCharType="end"/>
      </w:r>
    </w:p>
    <w:p w:rsidR="00F4654E" w:rsidRDefault="00F4654E">
      <w:pPr>
        <w:pStyle w:val="10"/>
        <w:rPr>
          <w:spacing w:val="0"/>
        </w:rPr>
      </w:pPr>
      <w:r>
        <w:rPr>
          <w:spacing w:val="0"/>
        </w:rPr>
        <w:t>ЭФФЕКТИВНОСТЬ МОРЕНИТА ПРИ ГИПОТРОФИИ ПОРОСЯТ</w:t>
      </w:r>
    </w:p>
    <w:p w:rsidR="00F4654E" w:rsidRDefault="00F4654E" w:rsidP="00562255">
      <w:pPr>
        <w:pStyle w:val="20"/>
      </w:pPr>
      <w:r>
        <w:t>Семененко М.П.</w:t>
      </w:r>
      <w:r>
        <w:tab/>
      </w:r>
      <w:r>
        <w:fldChar w:fldCharType="begin"/>
      </w:r>
      <w:r>
        <w:instrText xml:space="preserve"> PAGEREF _Toc11938015 \h </w:instrText>
      </w:r>
      <w:r>
        <w:fldChar w:fldCharType="separate"/>
      </w:r>
      <w:r w:rsidR="00562255">
        <w:t>667</w:t>
      </w:r>
      <w:r>
        <w:fldChar w:fldCharType="end"/>
      </w:r>
    </w:p>
    <w:p w:rsidR="00F4654E" w:rsidRDefault="00F4654E">
      <w:pPr>
        <w:pStyle w:val="10"/>
        <w:rPr>
          <w:spacing w:val="0"/>
        </w:rPr>
      </w:pPr>
      <w:r>
        <w:rPr>
          <w:spacing w:val="0"/>
        </w:rPr>
        <w:t>Задачи и проблемы ветеринарной фармации в России</w:t>
      </w:r>
    </w:p>
    <w:p w:rsidR="00F4654E" w:rsidRDefault="00F4654E" w:rsidP="00562255">
      <w:pPr>
        <w:pStyle w:val="20"/>
      </w:pPr>
      <w:r>
        <w:t>Трошин Н.А., Трошин А.Н.</w:t>
      </w:r>
      <w:r>
        <w:tab/>
      </w:r>
      <w:r>
        <w:fldChar w:fldCharType="begin"/>
      </w:r>
      <w:r>
        <w:instrText xml:space="preserve"> PAGEREF _Toc11938017 \h </w:instrText>
      </w:r>
      <w:r>
        <w:fldChar w:fldCharType="separate"/>
      </w:r>
      <w:r w:rsidR="00562255">
        <w:t>669</w:t>
      </w:r>
      <w:r>
        <w:fldChar w:fldCharType="end"/>
      </w:r>
    </w:p>
    <w:p w:rsidR="00F4654E" w:rsidRDefault="00F4654E">
      <w:pPr>
        <w:pStyle w:val="10"/>
        <w:rPr>
          <w:spacing w:val="0"/>
        </w:rPr>
      </w:pPr>
      <w:r>
        <w:rPr>
          <w:spacing w:val="0"/>
        </w:rPr>
        <w:t xml:space="preserve">Изучение раздражающего действия нового противомаститного </w:t>
      </w:r>
      <w:r>
        <w:rPr>
          <w:noProof w:val="0"/>
          <w:spacing w:val="0"/>
        </w:rPr>
        <w:br/>
      </w:r>
      <w:r>
        <w:rPr>
          <w:spacing w:val="0"/>
        </w:rPr>
        <w:t>препарата уберцид</w:t>
      </w:r>
    </w:p>
    <w:p w:rsidR="00F4654E" w:rsidRDefault="00F4654E" w:rsidP="00562255">
      <w:pPr>
        <w:pStyle w:val="20"/>
      </w:pPr>
      <w:r>
        <w:t>Трошин А.Н.</w:t>
      </w:r>
      <w:r>
        <w:tab/>
      </w:r>
      <w:r>
        <w:fldChar w:fldCharType="begin"/>
      </w:r>
      <w:r>
        <w:instrText xml:space="preserve"> PAGEREF _Toc11938019 \h </w:instrText>
      </w:r>
      <w:r>
        <w:fldChar w:fldCharType="separate"/>
      </w:r>
      <w:r w:rsidR="00562255">
        <w:t>670</w:t>
      </w:r>
      <w:r>
        <w:fldChar w:fldCharType="end"/>
      </w:r>
    </w:p>
    <w:p w:rsidR="00F4654E" w:rsidRDefault="00F4654E">
      <w:pPr>
        <w:pStyle w:val="10"/>
        <w:rPr>
          <w:spacing w:val="0"/>
        </w:rPr>
      </w:pPr>
      <w:r>
        <w:rPr>
          <w:spacing w:val="0"/>
        </w:rPr>
        <w:t xml:space="preserve">Лечебно-профилактические свойства противомаститного </w:t>
      </w:r>
      <w:r>
        <w:rPr>
          <w:noProof w:val="0"/>
          <w:spacing w:val="0"/>
        </w:rPr>
        <w:br/>
      </w:r>
      <w:r>
        <w:rPr>
          <w:spacing w:val="0"/>
        </w:rPr>
        <w:t>препарата уберцид</w:t>
      </w:r>
    </w:p>
    <w:p w:rsidR="00F4654E" w:rsidRDefault="00F4654E" w:rsidP="00562255">
      <w:pPr>
        <w:pStyle w:val="20"/>
      </w:pPr>
      <w:r>
        <w:t>Трошин А.Н.</w:t>
      </w:r>
      <w:r>
        <w:tab/>
      </w:r>
      <w:r>
        <w:fldChar w:fldCharType="begin"/>
      </w:r>
      <w:r>
        <w:instrText xml:space="preserve"> PAGEREF _Toc11938021 \h </w:instrText>
      </w:r>
      <w:r>
        <w:fldChar w:fldCharType="separate"/>
      </w:r>
      <w:r w:rsidR="00562255">
        <w:t>671</w:t>
      </w:r>
      <w:r>
        <w:fldChar w:fldCharType="end"/>
      </w:r>
    </w:p>
    <w:p w:rsidR="00F4654E" w:rsidRDefault="00F4654E">
      <w:pPr>
        <w:pStyle w:val="10"/>
        <w:rPr>
          <w:spacing w:val="0"/>
        </w:rPr>
      </w:pPr>
      <w:r>
        <w:rPr>
          <w:spacing w:val="0"/>
        </w:rPr>
        <w:t>СИСТЕМА МЕРОПРИЯТИЙ ПО ДИАГНОСТИКЕ, ПРЕДУПРЕЖДЕНИЮ И ЛЕЧЕНИЮ РЕСПИРАТОРНЫХ БОЛЕЗНЕЙ ТЕЛЯТ</w:t>
      </w:r>
    </w:p>
    <w:p w:rsidR="00F4654E" w:rsidRDefault="00F4654E" w:rsidP="00562255">
      <w:pPr>
        <w:pStyle w:val="20"/>
      </w:pPr>
      <w:r>
        <w:t>Шипицын А.Г.</w:t>
      </w:r>
      <w:r>
        <w:tab/>
      </w:r>
      <w:r>
        <w:fldChar w:fldCharType="begin"/>
      </w:r>
      <w:r>
        <w:instrText xml:space="preserve"> PAGEREF _Toc11938023 \h </w:instrText>
      </w:r>
      <w:r>
        <w:fldChar w:fldCharType="separate"/>
      </w:r>
      <w:r w:rsidR="00562255">
        <w:t>672</w:t>
      </w:r>
      <w:r>
        <w:fldChar w:fldCharType="end"/>
      </w:r>
    </w:p>
    <w:p w:rsidR="00F4654E" w:rsidRDefault="00F4654E">
      <w:pPr>
        <w:pStyle w:val="10"/>
        <w:rPr>
          <w:spacing w:val="0"/>
        </w:rPr>
      </w:pPr>
      <w:r>
        <w:rPr>
          <w:spacing w:val="0"/>
        </w:rPr>
        <w:t>ДИАГНОСТИКА БРОНХОПНЕВМОНИИ ТЕЛЯТ</w:t>
      </w:r>
    </w:p>
    <w:p w:rsidR="00F4654E" w:rsidRDefault="00F4654E" w:rsidP="00562255">
      <w:pPr>
        <w:pStyle w:val="20"/>
      </w:pPr>
      <w:r>
        <w:t>Шипицын А.Г., Басова Н.Ю., Кучерявенко А.В.</w:t>
      </w:r>
      <w:r>
        <w:tab/>
      </w:r>
      <w:r>
        <w:fldChar w:fldCharType="begin"/>
      </w:r>
      <w:r>
        <w:instrText xml:space="preserve"> PAGEREF _Toc11938025 \h </w:instrText>
      </w:r>
      <w:r>
        <w:fldChar w:fldCharType="separate"/>
      </w:r>
      <w:r w:rsidR="00562255">
        <w:t>673</w:t>
      </w:r>
      <w:r>
        <w:fldChar w:fldCharType="end"/>
      </w:r>
    </w:p>
    <w:p w:rsidR="00F4654E" w:rsidRDefault="00F4654E">
      <w:pPr>
        <w:pStyle w:val="10"/>
        <w:rPr>
          <w:spacing w:val="0"/>
        </w:rPr>
      </w:pPr>
      <w:r>
        <w:rPr>
          <w:spacing w:val="0"/>
        </w:rPr>
        <w:t>РОЛЬ МИКРОБНОГО ФАКТОРА В ВОЗНИКНОВЕНИИ РЕСПИРАТОРНЫХ</w:t>
      </w:r>
      <w:r>
        <w:rPr>
          <w:spacing w:val="0"/>
        </w:rPr>
        <w:br/>
        <w:t>БОЛЕЗНЕЙ ТЕЛЯТ</w:t>
      </w:r>
    </w:p>
    <w:p w:rsidR="00F4654E" w:rsidRDefault="00F4654E" w:rsidP="00562255">
      <w:pPr>
        <w:pStyle w:val="20"/>
      </w:pPr>
      <w:r>
        <w:t>Шипицын А.Г., Басова Н.Ю.</w:t>
      </w:r>
      <w:r>
        <w:tab/>
      </w:r>
      <w:r>
        <w:fldChar w:fldCharType="begin"/>
      </w:r>
      <w:r>
        <w:instrText xml:space="preserve"> PAGEREF _Toc11938027 \h </w:instrText>
      </w:r>
      <w:r>
        <w:fldChar w:fldCharType="separate"/>
      </w:r>
      <w:r w:rsidR="00562255">
        <w:t>674</w:t>
      </w:r>
      <w:r>
        <w:fldChar w:fldCharType="end"/>
      </w:r>
    </w:p>
    <w:p w:rsidR="00F4654E" w:rsidRDefault="00F4654E">
      <w:pPr>
        <w:pStyle w:val="10"/>
        <w:rPr>
          <w:spacing w:val="0"/>
        </w:rPr>
      </w:pPr>
      <w:r>
        <w:rPr>
          <w:spacing w:val="0"/>
        </w:rPr>
        <w:t xml:space="preserve">ПРОФИЛАКТИКА И ЛЕЧЕНИЕ ТОКСИЧЕСКОЙ ДИСТРОФИИ  ПЕЧЕНИ У СВИНЕЙ ПРИ ИСПОЛЬЗОВАНИИ СЕЛЕНСОДЕРЖАЩЕГО ПРЕПАРАТА ПРОЛОНГИРОВАННОГО </w:t>
      </w:r>
      <w:r>
        <w:rPr>
          <w:noProof w:val="0"/>
          <w:spacing w:val="0"/>
        </w:rPr>
        <w:br/>
      </w:r>
      <w:r>
        <w:rPr>
          <w:spacing w:val="0"/>
        </w:rPr>
        <w:t>ДЕЙСТВИЯ АНТАВИН</w:t>
      </w:r>
    </w:p>
    <w:p w:rsidR="00F4654E" w:rsidRDefault="00F4654E" w:rsidP="00562255">
      <w:pPr>
        <w:pStyle w:val="20"/>
      </w:pPr>
      <w:r>
        <w:t>Якимов Г.В.</w:t>
      </w:r>
      <w:r>
        <w:tab/>
      </w:r>
      <w:r>
        <w:fldChar w:fldCharType="begin"/>
      </w:r>
      <w:r>
        <w:instrText xml:space="preserve"> PAGEREF _Toc11938029 \h </w:instrText>
      </w:r>
      <w:r>
        <w:fldChar w:fldCharType="separate"/>
      </w:r>
      <w:r w:rsidR="00562255">
        <w:t>676</w:t>
      </w:r>
      <w:r>
        <w:fldChar w:fldCharType="end"/>
      </w:r>
    </w:p>
    <w:p w:rsidR="00F4654E" w:rsidRDefault="00F4654E">
      <w:pPr>
        <w:pStyle w:val="10"/>
        <w:rPr>
          <w:spacing w:val="0"/>
        </w:rPr>
      </w:pPr>
      <w:r>
        <w:rPr>
          <w:spacing w:val="0"/>
        </w:rPr>
        <w:t>ВЛИЯНИЕ ВИТАМИННО-МИНЕРАЛЬНЫХ И ГОРМОНАЛЬНЫХ ПРЕПАРАТОВ НА ВОССТАНОВЛЕНИЕ РЕПРОДУКТИВНОЙ ФУНКЦИИ КОРОВ ПОСЛЕ РОДОВ В УСЛОВИЯХ ВЫСОКОГОРЬЯ ТАДЖИКИСТАНА</w:t>
      </w:r>
    </w:p>
    <w:p w:rsidR="00F4654E" w:rsidRDefault="00F4654E" w:rsidP="00562255">
      <w:pPr>
        <w:pStyle w:val="20"/>
      </w:pPr>
      <w:r>
        <w:t>Асоев П., Ниятбеков А., Юсупов Х.Ю.</w:t>
      </w:r>
      <w:r>
        <w:tab/>
      </w:r>
      <w:r>
        <w:fldChar w:fldCharType="begin"/>
      </w:r>
      <w:r>
        <w:instrText xml:space="preserve"> PAGEREF _Toc11938031 \h </w:instrText>
      </w:r>
      <w:r>
        <w:fldChar w:fldCharType="separate"/>
      </w:r>
      <w:r w:rsidR="00562255">
        <w:t>677</w:t>
      </w:r>
      <w:r>
        <w:fldChar w:fldCharType="end"/>
      </w:r>
    </w:p>
    <w:p w:rsidR="00F4654E" w:rsidRDefault="00F4654E">
      <w:pPr>
        <w:pStyle w:val="10"/>
        <w:rPr>
          <w:spacing w:val="0"/>
        </w:rPr>
      </w:pPr>
      <w:r>
        <w:rPr>
          <w:spacing w:val="0"/>
        </w:rPr>
        <w:t>ИКСОДОВЫЕ КЛЕЩИ ТЕЛЯТ И ЯГНЯТ И БОРЬБА С НИМИ В ТАДЖИКИСТАНЕ</w:t>
      </w:r>
    </w:p>
    <w:p w:rsidR="00F4654E" w:rsidRDefault="00F4654E" w:rsidP="00562255">
      <w:pPr>
        <w:pStyle w:val="20"/>
      </w:pPr>
      <w:r>
        <w:t>Бадалов Э.Т., Джумаев У.Р.</w:t>
      </w:r>
      <w:r>
        <w:tab/>
      </w:r>
      <w:r>
        <w:fldChar w:fldCharType="begin"/>
      </w:r>
      <w:r>
        <w:instrText xml:space="preserve"> PAGEREF _Toc11938033 \h </w:instrText>
      </w:r>
      <w:r>
        <w:fldChar w:fldCharType="separate"/>
      </w:r>
      <w:r w:rsidR="00562255">
        <w:t>678</w:t>
      </w:r>
      <w:r>
        <w:fldChar w:fldCharType="end"/>
      </w:r>
    </w:p>
    <w:p w:rsidR="00F4654E" w:rsidRDefault="00F4654E">
      <w:pPr>
        <w:pStyle w:val="10"/>
        <w:rPr>
          <w:spacing w:val="0"/>
        </w:rPr>
      </w:pPr>
      <w:r>
        <w:rPr>
          <w:spacing w:val="0"/>
        </w:rPr>
        <w:lastRenderedPageBreak/>
        <w:t>ОСОБЕННОСТИ ФОРМИРОВАНИЯ ИММУНИТЕТА  И ФАКТОРЫ ВЛИЯЮЩИЕ НА ЭТОТ ПРОЦЕСС У ИММУНИЗИРОВАННОГО ПРОТИВОТЕЙЛЕРИОЗНОЙ ВАКЦИНОЙ КРУПНОГО РОГАТОГО СКОТА</w:t>
      </w:r>
    </w:p>
    <w:p w:rsidR="00F4654E" w:rsidRDefault="00F4654E" w:rsidP="00562255">
      <w:pPr>
        <w:pStyle w:val="20"/>
      </w:pPr>
      <w:r>
        <w:t>Нораев Р.Х., Норов Ш.Х., Гулов А.Х.</w:t>
      </w:r>
      <w:r>
        <w:tab/>
      </w:r>
      <w:r>
        <w:fldChar w:fldCharType="begin"/>
      </w:r>
      <w:r>
        <w:instrText xml:space="preserve"> PAGEREF _Toc11938035 \h </w:instrText>
      </w:r>
      <w:r>
        <w:fldChar w:fldCharType="separate"/>
      </w:r>
      <w:r w:rsidR="00562255">
        <w:t>679</w:t>
      </w:r>
      <w:r>
        <w:fldChar w:fldCharType="end"/>
      </w:r>
    </w:p>
    <w:p w:rsidR="00F4654E" w:rsidRDefault="00F4654E">
      <w:pPr>
        <w:pStyle w:val="10"/>
        <w:rPr>
          <w:spacing w:val="0"/>
        </w:rPr>
      </w:pPr>
      <w:r>
        <w:rPr>
          <w:spacing w:val="0"/>
        </w:rPr>
        <w:t>ОСТРАЯ ТОКСИЧНОСТЬ ПРОИЗВОДНЫХ ТИАДИАЗОЛ-ПИРИМИДИНА</w:t>
      </w:r>
    </w:p>
    <w:p w:rsidR="00F4654E" w:rsidRDefault="00F4654E" w:rsidP="00562255">
      <w:pPr>
        <w:pStyle w:val="20"/>
      </w:pPr>
      <w:r>
        <w:t>Салимов Т.М., Назаров Ш., Сатторов И.Т., Куканиев М.А.</w:t>
      </w:r>
      <w:r>
        <w:tab/>
      </w:r>
      <w:r>
        <w:fldChar w:fldCharType="begin"/>
      </w:r>
      <w:r>
        <w:instrText xml:space="preserve"> PAGEREF _Toc11938037 \h </w:instrText>
      </w:r>
      <w:r>
        <w:fldChar w:fldCharType="separate"/>
      </w:r>
      <w:r w:rsidR="00562255">
        <w:t>681</w:t>
      </w:r>
      <w:r>
        <w:fldChar w:fldCharType="end"/>
      </w:r>
    </w:p>
    <w:p w:rsidR="00F4654E" w:rsidRDefault="00F4654E">
      <w:pPr>
        <w:pStyle w:val="10"/>
        <w:rPr>
          <w:spacing w:val="0"/>
        </w:rPr>
      </w:pPr>
      <w:r>
        <w:rPr>
          <w:spacing w:val="0"/>
        </w:rPr>
        <w:t>ЭФФЕКТИВНОСТЬ ВИТАГИНА-1 ПРИ ЭНДОМЕТРИТЕ У КОРОВ</w:t>
      </w:r>
    </w:p>
    <w:p w:rsidR="00F4654E" w:rsidRDefault="00F4654E" w:rsidP="00562255">
      <w:pPr>
        <w:pStyle w:val="20"/>
      </w:pPr>
      <w:r>
        <w:t xml:space="preserve">Сатторов И.Т., Мирзоахмедов Ш.Р., Турдиев Ш.А.,  Мухамедов Н.Д., </w:t>
      </w:r>
      <w:r>
        <w:rPr>
          <w:noProof w:val="0"/>
        </w:rPr>
        <w:br/>
      </w:r>
      <w:r>
        <w:t>Асоев П., Сатторов Н.Р.</w:t>
      </w:r>
      <w:r>
        <w:tab/>
      </w:r>
      <w:r>
        <w:fldChar w:fldCharType="begin"/>
      </w:r>
      <w:r>
        <w:instrText xml:space="preserve"> PAGEREF _Toc11938039 \h </w:instrText>
      </w:r>
      <w:r>
        <w:fldChar w:fldCharType="separate"/>
      </w:r>
      <w:r w:rsidR="00562255">
        <w:t>681</w:t>
      </w:r>
      <w:r>
        <w:fldChar w:fldCharType="end"/>
      </w:r>
    </w:p>
    <w:p w:rsidR="00F4654E" w:rsidRDefault="00F4654E">
      <w:pPr>
        <w:pStyle w:val="10"/>
        <w:rPr>
          <w:spacing w:val="0"/>
        </w:rPr>
      </w:pPr>
      <w:r>
        <w:rPr>
          <w:spacing w:val="0"/>
        </w:rPr>
        <w:t>ВОЗМОЖНОСТЬ ПРИМЕНЕНИЯ КОМПЛЕКСНОЙ ИММУНИЗАЦИИ ПРОТИВ БРУЦЕЛЛЕЗА, САЛЬМОНЕЛЛЕЗА И ПАСТЕРЕЛЛЕЗА В ЭКСПЕРИМЕНТАЛЬНЫХ УСЛОВИЯХ</w:t>
      </w:r>
    </w:p>
    <w:p w:rsidR="00F4654E" w:rsidRDefault="00F4654E" w:rsidP="00562255">
      <w:pPr>
        <w:pStyle w:val="20"/>
      </w:pPr>
      <w:r>
        <w:t>Турдиев Ш.А., Абдуллоев У.А., Идиев К.У.</w:t>
      </w:r>
      <w:r>
        <w:tab/>
      </w:r>
      <w:r>
        <w:fldChar w:fldCharType="begin"/>
      </w:r>
      <w:r>
        <w:instrText xml:space="preserve"> PAGEREF _Toc11938041 \h </w:instrText>
      </w:r>
      <w:r>
        <w:fldChar w:fldCharType="separate"/>
      </w:r>
      <w:r w:rsidR="00562255">
        <w:t>682</w:t>
      </w:r>
      <w:r>
        <w:fldChar w:fldCharType="end"/>
      </w:r>
    </w:p>
    <w:p w:rsidR="00F4654E" w:rsidRDefault="00F4654E">
      <w:pPr>
        <w:pStyle w:val="10"/>
        <w:rPr>
          <w:spacing w:val="0"/>
        </w:rPr>
      </w:pPr>
      <w:r>
        <w:rPr>
          <w:spacing w:val="0"/>
        </w:rPr>
        <w:t>БАКТЕРИЦИДНОЕ ДЕЙСТВИЕ ПРЕПАРАТОВ ДС-1100 И ШОДМОНА НА ВОЗБУДИТЕЛЕЙ БАКТЕРИАЛЬНЫХ БОЛЕЗНЕЙ ПТИЦ</w:t>
      </w:r>
    </w:p>
    <w:p w:rsidR="00F4654E" w:rsidRDefault="00F4654E" w:rsidP="00562255">
      <w:pPr>
        <w:pStyle w:val="20"/>
      </w:pPr>
      <w:r>
        <w:t>Шайхов М.Х., Салимов Т.М., Сатторов И.Т.</w:t>
      </w:r>
      <w:r>
        <w:tab/>
      </w:r>
      <w:r>
        <w:fldChar w:fldCharType="begin"/>
      </w:r>
      <w:r>
        <w:instrText xml:space="preserve"> PAGEREF _Toc11938043 \h </w:instrText>
      </w:r>
      <w:r>
        <w:fldChar w:fldCharType="separate"/>
      </w:r>
      <w:r w:rsidR="00562255">
        <w:t>683</w:t>
      </w:r>
      <w:r>
        <w:fldChar w:fldCharType="end"/>
      </w:r>
    </w:p>
    <w:p w:rsidR="00F4654E" w:rsidRDefault="00F4654E">
      <w:pPr>
        <w:pStyle w:val="10"/>
        <w:rPr>
          <w:spacing w:val="0"/>
        </w:rPr>
      </w:pPr>
      <w:r>
        <w:rPr>
          <w:spacing w:val="0"/>
        </w:rPr>
        <w:t>Об организации Всесоюзного научно-исследовательского института незаразных болезней животных (ныне ВНИВИПФ</w:t>
      </w:r>
      <w:r>
        <w:rPr>
          <w:noProof w:val="0"/>
          <w:spacing w:val="0"/>
        </w:rPr>
        <w:t>и</w:t>
      </w:r>
      <w:r>
        <w:rPr>
          <w:spacing w:val="0"/>
        </w:rPr>
        <w:t xml:space="preserve">Т) </w:t>
      </w:r>
    </w:p>
    <w:p w:rsidR="00F4654E" w:rsidRDefault="00F4654E" w:rsidP="00562255">
      <w:pPr>
        <w:pStyle w:val="20"/>
      </w:pPr>
      <w:r>
        <w:t>Кондрахин И.П.</w:t>
      </w:r>
      <w:r>
        <w:tab/>
      </w:r>
      <w:r>
        <w:fldChar w:fldCharType="begin"/>
      </w:r>
      <w:r>
        <w:instrText xml:space="preserve"> PAGEREF _Toc11938045 \h </w:instrText>
      </w:r>
      <w:r>
        <w:fldChar w:fldCharType="separate"/>
      </w:r>
      <w:r w:rsidR="00562255">
        <w:t>684</w:t>
      </w:r>
      <w:r>
        <w:fldChar w:fldCharType="end"/>
      </w:r>
    </w:p>
    <w:p w:rsidR="00F4654E" w:rsidRDefault="00F4654E">
      <w:pPr>
        <w:pStyle w:val="a6"/>
        <w:ind w:firstLine="0"/>
        <w:jc w:val="left"/>
        <w:rPr>
          <w:rFonts w:ascii="Arial" w:hAnsi="Arial"/>
          <w:sz w:val="20"/>
        </w:rPr>
      </w:pPr>
      <w:r>
        <w:fldChar w:fldCharType="end"/>
      </w:r>
      <w:r>
        <w:fldChar w:fldCharType="begin"/>
      </w:r>
      <w:r>
        <w:instrText xml:space="preserve"> TOC \o "1-2" </w:instrText>
      </w:r>
      <w:r>
        <w:fldChar w:fldCharType="separate"/>
      </w:r>
      <w:r>
        <w:rPr>
          <w:rFonts w:ascii="Arial" w:hAnsi="Arial"/>
          <w:sz w:val="20"/>
        </w:rPr>
        <w:t>АНТИМИКРОБНАЯ</w:t>
      </w:r>
      <w:r>
        <w:t xml:space="preserve"> </w:t>
      </w:r>
      <w:r>
        <w:rPr>
          <w:rFonts w:ascii="Arial" w:hAnsi="Arial"/>
          <w:sz w:val="20"/>
        </w:rPr>
        <w:t>АКТИВНОСТЬ И КЛИНИЧЕСКАЯ</w:t>
      </w:r>
      <w:r>
        <w:t xml:space="preserve"> </w:t>
      </w:r>
      <w:r>
        <w:rPr>
          <w:rFonts w:ascii="Arial" w:hAnsi="Arial"/>
          <w:sz w:val="20"/>
        </w:rPr>
        <w:t>ЭФФЕКТИВНОСТЬ ЛЕВОЭРИТРОЦИКЛИНА НЕО</w:t>
      </w:r>
    </w:p>
    <w:p w:rsidR="00F4654E" w:rsidRDefault="00F4654E" w:rsidP="00562255">
      <w:pPr>
        <w:pStyle w:val="20"/>
        <w:rPr>
          <w:noProof w:val="0"/>
        </w:rPr>
      </w:pPr>
      <w:r>
        <w:t>Шабунин С.В.</w:t>
      </w:r>
      <w:r>
        <w:rPr>
          <w:noProof w:val="0"/>
        </w:rPr>
        <w:tab/>
      </w:r>
      <w:r w:rsidR="00E05280">
        <w:rPr>
          <w:noProof w:val="0"/>
        </w:rPr>
        <w:t>691</w:t>
      </w:r>
    </w:p>
    <w:p w:rsidR="00F4654E" w:rsidRDefault="00F4654E">
      <w:pPr>
        <w:pStyle w:val="10"/>
        <w:rPr>
          <w:spacing w:val="0"/>
        </w:rPr>
      </w:pPr>
      <w:r>
        <w:rPr>
          <w:spacing w:val="0"/>
        </w:rPr>
        <w:t xml:space="preserve">ИЗУЧЕНИЕ ФАРМАКОКИНЕТИКИ АНТИБАКТЕРИАЛЬНОГО ПРЕПАРАТА </w:t>
      </w:r>
      <w:r>
        <w:rPr>
          <w:noProof w:val="0"/>
          <w:spacing w:val="0"/>
        </w:rPr>
        <w:br/>
      </w:r>
      <w:r>
        <w:rPr>
          <w:spacing w:val="0"/>
        </w:rPr>
        <w:t>ЛЕВОЭРИТРОЦИКЛИН НЕО</w:t>
      </w:r>
    </w:p>
    <w:p w:rsidR="00F4654E" w:rsidRDefault="00F4654E" w:rsidP="00562255">
      <w:pPr>
        <w:pStyle w:val="20"/>
        <w:rPr>
          <w:noProof w:val="0"/>
        </w:rPr>
      </w:pPr>
      <w:r>
        <w:t>Шабунин С.В. , Востроилова Г.А.</w:t>
      </w:r>
      <w:r>
        <w:tab/>
      </w:r>
      <w:r w:rsidR="00E05280">
        <w:t>693</w:t>
      </w:r>
    </w:p>
    <w:p w:rsidR="00F4654E" w:rsidRDefault="00F4654E">
      <w:pPr>
        <w:pStyle w:val="10"/>
        <w:rPr>
          <w:spacing w:val="0"/>
        </w:rPr>
      </w:pPr>
      <w:r>
        <w:rPr>
          <w:spacing w:val="0"/>
        </w:rPr>
        <w:t>ИЗУЧЕНИЕ ТоксическиХ свойств ПРЕПАРАТА левоэритроциклин нео</w:t>
      </w:r>
    </w:p>
    <w:p w:rsidR="00F4654E" w:rsidRDefault="00F4654E" w:rsidP="00562255">
      <w:pPr>
        <w:pStyle w:val="20"/>
        <w:rPr>
          <w:noProof w:val="0"/>
        </w:rPr>
      </w:pPr>
      <w:r>
        <w:t>Шабунин С.В., Жаркой Б.Л.</w:t>
      </w:r>
      <w:r>
        <w:rPr>
          <w:noProof w:val="0"/>
        </w:rPr>
        <w:t xml:space="preserve"> </w:t>
      </w:r>
      <w:r>
        <w:tab/>
      </w:r>
      <w:r w:rsidR="00E05280">
        <w:t>695</w:t>
      </w:r>
    </w:p>
    <w:p w:rsidR="00F4654E" w:rsidRDefault="00F4654E">
      <w:pPr>
        <w:pStyle w:val="10"/>
        <w:rPr>
          <w:spacing w:val="0"/>
        </w:rPr>
      </w:pPr>
      <w:r>
        <w:rPr>
          <w:spacing w:val="0"/>
        </w:rPr>
        <w:t xml:space="preserve">ИЗУЧЕНИЕ ОБЩЕТОКСИЧЕСКОГО И РАЗДРАЖАЮЩЕГО ДЕЙСТВИЯ </w:t>
      </w:r>
      <w:r>
        <w:rPr>
          <w:noProof w:val="0"/>
          <w:spacing w:val="0"/>
        </w:rPr>
        <w:br/>
      </w:r>
      <w:r>
        <w:rPr>
          <w:spacing w:val="0"/>
        </w:rPr>
        <w:t>ПРОТИВОМАСТИТНОГО ПРЕПАРАТА ЭРОКСИМАСТ</w:t>
      </w:r>
    </w:p>
    <w:p w:rsidR="00F4654E" w:rsidRDefault="00F4654E" w:rsidP="00562255">
      <w:pPr>
        <w:pStyle w:val="20"/>
        <w:rPr>
          <w:noProof w:val="0"/>
        </w:rPr>
      </w:pPr>
      <w:r>
        <w:t>Шабунин С.В., Епифанова Е.Э.</w:t>
      </w:r>
      <w:r>
        <w:tab/>
      </w:r>
      <w:r w:rsidR="00E05280">
        <w:t>698</w:t>
      </w:r>
    </w:p>
    <w:p w:rsidR="00F4654E" w:rsidRDefault="00F4654E">
      <w:pPr>
        <w:pStyle w:val="10"/>
        <w:rPr>
          <w:spacing w:val="0"/>
        </w:rPr>
      </w:pPr>
      <w:r>
        <w:rPr>
          <w:spacing w:val="0"/>
        </w:rPr>
        <w:t>ВЛИЯНИЕ ТИМОГЕНА НА ИММУНОЛОГИЧЕСКУЮ РЕАКТИВНОСТЬ БЕЛЫХ МЫШЕЙ ПРИ СКАРМЛИВАНИИ ПРЕДЕЛЬНО ДОПУСТИМОЙ КОНЦЕНТРАЦИИ (ПДК) КАЛИЯ НИТРАТА</w:t>
      </w:r>
    </w:p>
    <w:p w:rsidR="00F4654E" w:rsidRDefault="00F4654E" w:rsidP="00562255">
      <w:pPr>
        <w:pStyle w:val="20"/>
        <w:rPr>
          <w:noProof w:val="0"/>
        </w:rPr>
      </w:pPr>
      <w:r>
        <w:t>Артемов Б.Т., Куцеволова С.В.</w:t>
      </w:r>
      <w:r>
        <w:tab/>
      </w:r>
      <w:r w:rsidR="00E05280">
        <w:t>700</w:t>
      </w:r>
    </w:p>
    <w:p w:rsidR="00F4654E" w:rsidRDefault="00F4654E">
      <w:pPr>
        <w:pStyle w:val="10"/>
        <w:rPr>
          <w:spacing w:val="0"/>
        </w:rPr>
      </w:pPr>
      <w:r>
        <w:rPr>
          <w:spacing w:val="0"/>
        </w:rPr>
        <w:t>Влияние тимогена на иммунологическую реактивность коров</w:t>
      </w:r>
    </w:p>
    <w:p w:rsidR="00F4654E" w:rsidRDefault="00F4654E" w:rsidP="00562255">
      <w:pPr>
        <w:pStyle w:val="20"/>
        <w:rPr>
          <w:noProof w:val="0"/>
        </w:rPr>
      </w:pPr>
      <w:r>
        <w:t xml:space="preserve">Артемов Б.Т., Манжурина О.А., Семичев А., Куцеволова С.В. </w:t>
      </w:r>
      <w:r>
        <w:tab/>
      </w:r>
      <w:r>
        <w:rPr>
          <w:noProof w:val="0"/>
        </w:rPr>
        <w:t>7</w:t>
      </w:r>
      <w:r w:rsidR="00E05280">
        <w:rPr>
          <w:noProof w:val="0"/>
        </w:rPr>
        <w:t>01</w:t>
      </w:r>
    </w:p>
    <w:p w:rsidR="00F4654E" w:rsidRDefault="00F4654E">
      <w:pPr>
        <w:pStyle w:val="10"/>
        <w:rPr>
          <w:spacing w:val="0"/>
        </w:rPr>
      </w:pPr>
      <w:r>
        <w:rPr>
          <w:spacing w:val="0"/>
        </w:rPr>
        <w:t>ВЛИЯНИЕ ПРЕПАРАТА КАРОЛИН НА ВОСПРОИЗВОДИТЕЛЬНУЮ ФУНКЦИЮ СЕЛЬСКОХОЗЯЙСТВЕННЫХ ЖИВОТНЫХ</w:t>
      </w:r>
    </w:p>
    <w:p w:rsidR="00F4654E" w:rsidRDefault="00F4654E" w:rsidP="00562255">
      <w:pPr>
        <w:pStyle w:val="20"/>
        <w:rPr>
          <w:noProof w:val="0"/>
        </w:rPr>
      </w:pPr>
      <w:r>
        <w:t>Кудинова С.П., Антипов В.А., Турченко А.Н., Казарян Р.В.</w:t>
      </w:r>
      <w:r>
        <w:tab/>
      </w:r>
      <w:r>
        <w:rPr>
          <w:noProof w:val="0"/>
        </w:rPr>
        <w:t>7</w:t>
      </w:r>
      <w:r w:rsidR="00E05280">
        <w:rPr>
          <w:noProof w:val="0"/>
        </w:rPr>
        <w:t>03</w:t>
      </w:r>
    </w:p>
    <w:p w:rsidR="00F4654E" w:rsidRDefault="00F4654E" w:rsidP="00D6523B">
      <w:pPr>
        <w:pStyle w:val="1"/>
        <w:spacing w:before="0" w:after="0"/>
        <w:jc w:val="left"/>
        <w:rPr>
          <w:rFonts w:ascii="Arial" w:hAnsi="Arial"/>
          <w:b w:val="0"/>
          <w:sz w:val="20"/>
        </w:rPr>
      </w:pPr>
      <w:r>
        <w:fldChar w:fldCharType="end"/>
      </w:r>
      <w:r>
        <w:rPr>
          <w:rFonts w:ascii="Arial" w:hAnsi="Arial"/>
          <w:b w:val="0"/>
          <w:sz w:val="20"/>
        </w:rPr>
        <w:t>Эколого-медико-биологическая оценка перспектив организации производства тилозина  в г. Ельце Липецкой области</w:t>
      </w:r>
    </w:p>
    <w:p w:rsidR="00F4654E" w:rsidRDefault="00F4654E" w:rsidP="00562255">
      <w:pPr>
        <w:pStyle w:val="20"/>
        <w:rPr>
          <w:noProof w:val="0"/>
        </w:rPr>
      </w:pPr>
      <w:r>
        <w:t>Моргунова Л.М.,Аргунов М.Н., Бузлама В.С..</w:t>
      </w:r>
      <w:r>
        <w:tab/>
      </w:r>
      <w:r>
        <w:rPr>
          <w:noProof w:val="0"/>
        </w:rPr>
        <w:t>7</w:t>
      </w:r>
      <w:r w:rsidR="00E05280">
        <w:rPr>
          <w:noProof w:val="0"/>
        </w:rPr>
        <w:t>05</w:t>
      </w:r>
    </w:p>
    <w:p w:rsidR="00F4654E" w:rsidRDefault="00F4654E">
      <w:pPr>
        <w:pStyle w:val="2"/>
        <w:jc w:val="left"/>
      </w:pPr>
    </w:p>
    <w:p w:rsidR="00F4654E" w:rsidRDefault="00F4654E">
      <w:pPr>
        <w:ind w:firstLine="567"/>
        <w:jc w:val="center"/>
        <w:rPr>
          <w:b/>
        </w:rPr>
      </w:pPr>
    </w:p>
    <w:p w:rsidR="00F4654E" w:rsidRDefault="00F4654E">
      <w:pPr>
        <w:pStyle w:val="a6"/>
        <w:ind w:firstLine="0"/>
        <w:jc w:val="left"/>
        <w:rPr>
          <w:b/>
          <w:caps/>
        </w:rPr>
      </w:pPr>
    </w:p>
    <w:sectPr w:rsidR="00F4654E" w:rsidSect="00A11B7B">
      <w:footerReference w:type="default" r:id="rId13"/>
      <w:pgSz w:w="11906" w:h="16838" w:code="9"/>
      <w:pgMar w:top="1134" w:right="1134" w:bottom="1134" w:left="1701" w:header="0" w:footer="1418" w:gutter="0"/>
      <w:pgNumType w:start="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EEB" w:rsidRDefault="00F67EEB">
      <w:r>
        <w:separator/>
      </w:r>
    </w:p>
  </w:endnote>
  <w:endnote w:type="continuationSeparator" w:id="0">
    <w:p w:rsidR="00F67EEB" w:rsidRDefault="00F67E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6905" w:name="_Toc10115262"/>
  <w:p w:rsidR="00F21686" w:rsidRDefault="00F21686">
    <w:pPr>
      <w:pStyle w:val="aa"/>
      <w:framePr w:wrap="auto" w:vAnchor="text" w:hAnchor="margin" w:xAlign="center" w:y="1"/>
      <w:ind w:right="-22"/>
      <w:jc w:val="center"/>
      <w:rPr>
        <w:rStyle w:val="ab"/>
        <w:sz w:val="24"/>
      </w:rPr>
    </w:pPr>
    <w:r>
      <w:rPr>
        <w:rStyle w:val="ab"/>
        <w:sz w:val="24"/>
      </w:rPr>
      <w:fldChar w:fldCharType="begin"/>
    </w:r>
    <w:r>
      <w:rPr>
        <w:rStyle w:val="ab"/>
        <w:sz w:val="24"/>
      </w:rPr>
      <w:instrText xml:space="preserve">PAGE  </w:instrText>
    </w:r>
    <w:r>
      <w:rPr>
        <w:rStyle w:val="ab"/>
        <w:sz w:val="24"/>
      </w:rPr>
      <w:fldChar w:fldCharType="separate"/>
    </w:r>
    <w:r w:rsidR="00C344B2">
      <w:rPr>
        <w:rStyle w:val="ab"/>
        <w:noProof/>
        <w:sz w:val="24"/>
      </w:rPr>
      <w:t>723</w:t>
    </w:r>
    <w:r>
      <w:rPr>
        <w:rStyle w:val="ab"/>
        <w:sz w:val="24"/>
      </w:rPr>
      <w:fldChar w:fldCharType="end"/>
    </w:r>
  </w:p>
  <w:p w:rsidR="00F21686" w:rsidRDefault="00F21686">
    <w:pPr>
      <w:framePr w:wrap="auto" w:vAnchor="text" w:hAnchor="margin" w:xAlign="right" w:y="1"/>
      <w:jc w:val="center"/>
      <w:rPr>
        <w:sz w:val="24"/>
      </w:rPr>
    </w:pPr>
  </w:p>
  <w:bookmarkEnd w:id="6905"/>
  <w:p w:rsidR="00F21686" w:rsidRDefault="00F2168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EEB" w:rsidRDefault="00F67EEB">
      <w:r>
        <w:separator/>
      </w:r>
    </w:p>
  </w:footnote>
  <w:footnote w:type="continuationSeparator" w:id="0">
    <w:p w:rsidR="00F67EEB" w:rsidRDefault="00F67E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230486A"/>
    <w:lvl w:ilvl="0">
      <w:start w:val="1"/>
      <w:numFmt w:val="decimal"/>
      <w:lvlText w:val="%1."/>
      <w:lvlJc w:val="left"/>
      <w:pPr>
        <w:tabs>
          <w:tab w:val="num" w:pos="1492"/>
        </w:tabs>
        <w:ind w:left="1492" w:hanging="360"/>
      </w:pPr>
    </w:lvl>
  </w:abstractNum>
  <w:abstractNum w:abstractNumId="1">
    <w:nsid w:val="FFFFFF7D"/>
    <w:multiLevelType w:val="singleLevel"/>
    <w:tmpl w:val="F312A814"/>
    <w:lvl w:ilvl="0">
      <w:start w:val="1"/>
      <w:numFmt w:val="decimal"/>
      <w:lvlText w:val="%1."/>
      <w:lvlJc w:val="left"/>
      <w:pPr>
        <w:tabs>
          <w:tab w:val="num" w:pos="1209"/>
        </w:tabs>
        <w:ind w:left="1209" w:hanging="360"/>
      </w:pPr>
    </w:lvl>
  </w:abstractNum>
  <w:abstractNum w:abstractNumId="2">
    <w:nsid w:val="FFFFFF7E"/>
    <w:multiLevelType w:val="singleLevel"/>
    <w:tmpl w:val="E0803D64"/>
    <w:lvl w:ilvl="0">
      <w:start w:val="1"/>
      <w:numFmt w:val="decimal"/>
      <w:lvlText w:val="%1."/>
      <w:lvlJc w:val="left"/>
      <w:pPr>
        <w:tabs>
          <w:tab w:val="num" w:pos="926"/>
        </w:tabs>
        <w:ind w:left="926" w:hanging="360"/>
      </w:pPr>
    </w:lvl>
  </w:abstractNum>
  <w:abstractNum w:abstractNumId="3">
    <w:nsid w:val="FFFFFF7F"/>
    <w:multiLevelType w:val="singleLevel"/>
    <w:tmpl w:val="7EBED146"/>
    <w:lvl w:ilvl="0">
      <w:start w:val="1"/>
      <w:numFmt w:val="decimal"/>
      <w:lvlText w:val="%1."/>
      <w:lvlJc w:val="left"/>
      <w:pPr>
        <w:tabs>
          <w:tab w:val="num" w:pos="643"/>
        </w:tabs>
        <w:ind w:left="643" w:hanging="360"/>
      </w:pPr>
    </w:lvl>
  </w:abstractNum>
  <w:abstractNum w:abstractNumId="4">
    <w:nsid w:val="FFFFFF80"/>
    <w:multiLevelType w:val="singleLevel"/>
    <w:tmpl w:val="B326332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8E248770"/>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C14651A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D0EA3A3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06F09EFE"/>
    <w:lvl w:ilvl="0">
      <w:start w:val="1"/>
      <w:numFmt w:val="decimal"/>
      <w:lvlText w:val="%1."/>
      <w:lvlJc w:val="left"/>
      <w:pPr>
        <w:tabs>
          <w:tab w:val="num" w:pos="360"/>
        </w:tabs>
        <w:ind w:left="360" w:hanging="360"/>
      </w:pPr>
    </w:lvl>
  </w:abstractNum>
  <w:abstractNum w:abstractNumId="9">
    <w:nsid w:val="FFFFFF89"/>
    <w:multiLevelType w:val="singleLevel"/>
    <w:tmpl w:val="AA1EF5EA"/>
    <w:lvl w:ilvl="0">
      <w:start w:val="1"/>
      <w:numFmt w:val="bullet"/>
      <w:lvlText w:val=""/>
      <w:lvlJc w:val="left"/>
      <w:pPr>
        <w:tabs>
          <w:tab w:val="num" w:pos="360"/>
        </w:tabs>
        <w:ind w:left="360" w:hanging="360"/>
      </w:pPr>
      <w:rPr>
        <w:rFonts w:ascii="Symbol" w:hAnsi="Symbol" w:cs="Symbol" w:hint="default"/>
      </w:rPr>
    </w:lvl>
  </w:abstractNum>
  <w:abstractNum w:abstractNumId="10">
    <w:nsid w:val="016828CF"/>
    <w:multiLevelType w:val="singleLevel"/>
    <w:tmpl w:val="AC6C408E"/>
    <w:lvl w:ilvl="0">
      <w:start w:val="6"/>
      <w:numFmt w:val="bullet"/>
      <w:lvlText w:val="-"/>
      <w:lvlJc w:val="left"/>
      <w:pPr>
        <w:tabs>
          <w:tab w:val="num" w:pos="1320"/>
        </w:tabs>
        <w:ind w:left="1320" w:hanging="600"/>
      </w:pPr>
      <w:rPr>
        <w:rFonts w:hint="default"/>
      </w:rPr>
    </w:lvl>
  </w:abstractNum>
  <w:abstractNum w:abstractNumId="11">
    <w:nsid w:val="023547A2"/>
    <w:multiLevelType w:val="singleLevel"/>
    <w:tmpl w:val="1CA8DB3A"/>
    <w:lvl w:ilvl="0">
      <w:start w:val="1"/>
      <w:numFmt w:val="decimal"/>
      <w:lvlText w:val="%1. "/>
      <w:legacy w:legacy="1" w:legacySpace="0" w:legacyIndent="283"/>
      <w:lvlJc w:val="left"/>
      <w:pPr>
        <w:ind w:left="731" w:hanging="283"/>
      </w:pPr>
      <w:rPr>
        <w:rFonts w:ascii="Times New Roman" w:hAnsi="Times New Roman" w:cs="Times New Roman" w:hint="default"/>
        <w:b w:val="0"/>
        <w:bCs w:val="0"/>
        <w:i w:val="0"/>
        <w:iCs w:val="0"/>
        <w:sz w:val="20"/>
        <w:szCs w:val="20"/>
        <w:u w:val="none"/>
      </w:rPr>
    </w:lvl>
  </w:abstractNum>
  <w:abstractNum w:abstractNumId="12">
    <w:nsid w:val="0A494BE0"/>
    <w:multiLevelType w:val="singleLevel"/>
    <w:tmpl w:val="AC6C408E"/>
    <w:lvl w:ilvl="0">
      <w:start w:val="6"/>
      <w:numFmt w:val="bullet"/>
      <w:lvlText w:val="-"/>
      <w:lvlJc w:val="left"/>
      <w:pPr>
        <w:tabs>
          <w:tab w:val="num" w:pos="1320"/>
        </w:tabs>
        <w:ind w:left="1320" w:hanging="600"/>
      </w:pPr>
      <w:rPr>
        <w:rFonts w:hint="default"/>
      </w:rPr>
    </w:lvl>
  </w:abstractNum>
  <w:abstractNum w:abstractNumId="13">
    <w:nsid w:val="0B4873DA"/>
    <w:multiLevelType w:val="singleLevel"/>
    <w:tmpl w:val="AC6C408E"/>
    <w:lvl w:ilvl="0">
      <w:start w:val="6"/>
      <w:numFmt w:val="bullet"/>
      <w:lvlText w:val="-"/>
      <w:lvlJc w:val="left"/>
      <w:pPr>
        <w:tabs>
          <w:tab w:val="num" w:pos="1320"/>
        </w:tabs>
        <w:ind w:left="1320" w:hanging="600"/>
      </w:pPr>
      <w:rPr>
        <w:rFonts w:hint="default"/>
      </w:rPr>
    </w:lvl>
  </w:abstractNum>
  <w:abstractNum w:abstractNumId="14">
    <w:nsid w:val="0D256DB7"/>
    <w:multiLevelType w:val="multilevel"/>
    <w:tmpl w:val="2690E576"/>
    <w:lvl w:ilvl="0">
      <w:numFmt w:val="bullet"/>
      <w:lvlText w:val="-"/>
      <w:lvlJc w:val="left"/>
      <w:pPr>
        <w:tabs>
          <w:tab w:val="num" w:pos="1040"/>
        </w:tabs>
        <w:ind w:left="1021" w:hanging="341"/>
      </w:pPr>
      <w:rPr>
        <w:rFonts w:ascii="Times New Roman" w:eastAsia="Times New Roman" w:hAnsi="Times New Roman" w:hint="default"/>
      </w:rPr>
    </w:lvl>
    <w:lvl w:ilvl="1">
      <w:start w:val="1"/>
      <w:numFmt w:val="bullet"/>
      <w:lvlText w:val="o"/>
      <w:lvlJc w:val="left"/>
      <w:pPr>
        <w:tabs>
          <w:tab w:val="num" w:pos="1760"/>
        </w:tabs>
        <w:ind w:left="1760" w:hanging="360"/>
      </w:pPr>
      <w:rPr>
        <w:rFonts w:ascii="Courier New" w:hAnsi="Courier New" w:cs="Courier New" w:hint="default"/>
      </w:rPr>
    </w:lvl>
    <w:lvl w:ilvl="2">
      <w:start w:val="1"/>
      <w:numFmt w:val="bullet"/>
      <w:lvlText w:val=""/>
      <w:lvlJc w:val="left"/>
      <w:pPr>
        <w:tabs>
          <w:tab w:val="num" w:pos="2480"/>
        </w:tabs>
        <w:ind w:left="2480" w:hanging="360"/>
      </w:pPr>
      <w:rPr>
        <w:rFonts w:ascii="Wingdings" w:hAnsi="Wingdings" w:cs="Wingdings" w:hint="default"/>
      </w:rPr>
    </w:lvl>
    <w:lvl w:ilvl="3">
      <w:start w:val="1"/>
      <w:numFmt w:val="bullet"/>
      <w:lvlText w:val=""/>
      <w:lvlJc w:val="left"/>
      <w:pPr>
        <w:tabs>
          <w:tab w:val="num" w:pos="3200"/>
        </w:tabs>
        <w:ind w:left="3200" w:hanging="360"/>
      </w:pPr>
      <w:rPr>
        <w:rFonts w:ascii="Symbol" w:hAnsi="Symbol" w:cs="Symbol" w:hint="default"/>
      </w:rPr>
    </w:lvl>
    <w:lvl w:ilvl="4">
      <w:start w:val="1"/>
      <w:numFmt w:val="bullet"/>
      <w:lvlText w:val="o"/>
      <w:lvlJc w:val="left"/>
      <w:pPr>
        <w:tabs>
          <w:tab w:val="num" w:pos="3920"/>
        </w:tabs>
        <w:ind w:left="3920" w:hanging="360"/>
      </w:pPr>
      <w:rPr>
        <w:rFonts w:ascii="Courier New" w:hAnsi="Courier New" w:cs="Courier New" w:hint="default"/>
      </w:rPr>
    </w:lvl>
    <w:lvl w:ilvl="5">
      <w:start w:val="1"/>
      <w:numFmt w:val="bullet"/>
      <w:lvlText w:val=""/>
      <w:lvlJc w:val="left"/>
      <w:pPr>
        <w:tabs>
          <w:tab w:val="num" w:pos="4640"/>
        </w:tabs>
        <w:ind w:left="4640" w:hanging="360"/>
      </w:pPr>
      <w:rPr>
        <w:rFonts w:ascii="Wingdings" w:hAnsi="Wingdings" w:cs="Wingdings" w:hint="default"/>
      </w:rPr>
    </w:lvl>
    <w:lvl w:ilvl="6">
      <w:start w:val="1"/>
      <w:numFmt w:val="bullet"/>
      <w:lvlText w:val=""/>
      <w:lvlJc w:val="left"/>
      <w:pPr>
        <w:tabs>
          <w:tab w:val="num" w:pos="5360"/>
        </w:tabs>
        <w:ind w:left="5360" w:hanging="360"/>
      </w:pPr>
      <w:rPr>
        <w:rFonts w:ascii="Symbol" w:hAnsi="Symbol" w:cs="Symbol" w:hint="default"/>
      </w:rPr>
    </w:lvl>
    <w:lvl w:ilvl="7">
      <w:start w:val="1"/>
      <w:numFmt w:val="bullet"/>
      <w:lvlText w:val="o"/>
      <w:lvlJc w:val="left"/>
      <w:pPr>
        <w:tabs>
          <w:tab w:val="num" w:pos="6080"/>
        </w:tabs>
        <w:ind w:left="6080" w:hanging="360"/>
      </w:pPr>
      <w:rPr>
        <w:rFonts w:ascii="Courier New" w:hAnsi="Courier New" w:cs="Courier New" w:hint="default"/>
      </w:rPr>
    </w:lvl>
    <w:lvl w:ilvl="8">
      <w:start w:val="1"/>
      <w:numFmt w:val="bullet"/>
      <w:lvlText w:val=""/>
      <w:lvlJc w:val="left"/>
      <w:pPr>
        <w:tabs>
          <w:tab w:val="num" w:pos="6800"/>
        </w:tabs>
        <w:ind w:left="6800" w:hanging="360"/>
      </w:pPr>
      <w:rPr>
        <w:rFonts w:ascii="Wingdings" w:hAnsi="Wingdings" w:cs="Wingdings" w:hint="default"/>
      </w:rPr>
    </w:lvl>
  </w:abstractNum>
  <w:abstractNum w:abstractNumId="15">
    <w:nsid w:val="153E12BE"/>
    <w:multiLevelType w:val="multilevel"/>
    <w:tmpl w:val="102253DE"/>
    <w:lvl w:ilvl="0">
      <w:numFmt w:val="bullet"/>
      <w:lvlText w:val="-"/>
      <w:lvlJc w:val="left"/>
      <w:pPr>
        <w:tabs>
          <w:tab w:val="num" w:pos="1280"/>
        </w:tabs>
        <w:ind w:left="1280" w:hanging="735"/>
      </w:pPr>
      <w:rPr>
        <w:rFonts w:ascii="Times New Roman" w:eastAsia="Times New Roman" w:hAnsi="Times New Roman" w:hint="default"/>
      </w:rPr>
    </w:lvl>
    <w:lvl w:ilvl="1">
      <w:start w:val="1"/>
      <w:numFmt w:val="bullet"/>
      <w:lvlText w:val="o"/>
      <w:lvlJc w:val="left"/>
      <w:pPr>
        <w:tabs>
          <w:tab w:val="num" w:pos="1625"/>
        </w:tabs>
        <w:ind w:left="1625" w:hanging="360"/>
      </w:pPr>
      <w:rPr>
        <w:rFonts w:ascii="Courier New" w:hAnsi="Courier New" w:cs="Courier New" w:hint="default"/>
      </w:rPr>
    </w:lvl>
    <w:lvl w:ilvl="2">
      <w:start w:val="1"/>
      <w:numFmt w:val="bullet"/>
      <w:lvlText w:val=""/>
      <w:lvlJc w:val="left"/>
      <w:pPr>
        <w:tabs>
          <w:tab w:val="num" w:pos="2345"/>
        </w:tabs>
        <w:ind w:left="2345" w:hanging="360"/>
      </w:pPr>
      <w:rPr>
        <w:rFonts w:ascii="Wingdings" w:hAnsi="Wingdings" w:cs="Wingdings" w:hint="default"/>
      </w:rPr>
    </w:lvl>
    <w:lvl w:ilvl="3">
      <w:start w:val="1"/>
      <w:numFmt w:val="bullet"/>
      <w:lvlText w:val=""/>
      <w:lvlJc w:val="left"/>
      <w:pPr>
        <w:tabs>
          <w:tab w:val="num" w:pos="3065"/>
        </w:tabs>
        <w:ind w:left="3065" w:hanging="360"/>
      </w:pPr>
      <w:rPr>
        <w:rFonts w:ascii="Symbol" w:hAnsi="Symbol" w:cs="Symbol" w:hint="default"/>
      </w:rPr>
    </w:lvl>
    <w:lvl w:ilvl="4">
      <w:start w:val="1"/>
      <w:numFmt w:val="bullet"/>
      <w:lvlText w:val="o"/>
      <w:lvlJc w:val="left"/>
      <w:pPr>
        <w:tabs>
          <w:tab w:val="num" w:pos="3785"/>
        </w:tabs>
        <w:ind w:left="3785" w:hanging="360"/>
      </w:pPr>
      <w:rPr>
        <w:rFonts w:ascii="Courier New" w:hAnsi="Courier New" w:cs="Courier New" w:hint="default"/>
      </w:rPr>
    </w:lvl>
    <w:lvl w:ilvl="5">
      <w:start w:val="1"/>
      <w:numFmt w:val="bullet"/>
      <w:lvlText w:val=""/>
      <w:lvlJc w:val="left"/>
      <w:pPr>
        <w:tabs>
          <w:tab w:val="num" w:pos="4505"/>
        </w:tabs>
        <w:ind w:left="4505" w:hanging="360"/>
      </w:pPr>
      <w:rPr>
        <w:rFonts w:ascii="Wingdings" w:hAnsi="Wingdings" w:cs="Wingdings" w:hint="default"/>
      </w:rPr>
    </w:lvl>
    <w:lvl w:ilvl="6">
      <w:start w:val="1"/>
      <w:numFmt w:val="bullet"/>
      <w:lvlText w:val=""/>
      <w:lvlJc w:val="left"/>
      <w:pPr>
        <w:tabs>
          <w:tab w:val="num" w:pos="5225"/>
        </w:tabs>
        <w:ind w:left="5225" w:hanging="360"/>
      </w:pPr>
      <w:rPr>
        <w:rFonts w:ascii="Symbol" w:hAnsi="Symbol" w:cs="Symbol" w:hint="default"/>
      </w:rPr>
    </w:lvl>
    <w:lvl w:ilvl="7">
      <w:start w:val="1"/>
      <w:numFmt w:val="bullet"/>
      <w:lvlText w:val="o"/>
      <w:lvlJc w:val="left"/>
      <w:pPr>
        <w:tabs>
          <w:tab w:val="num" w:pos="5945"/>
        </w:tabs>
        <w:ind w:left="5945" w:hanging="360"/>
      </w:pPr>
      <w:rPr>
        <w:rFonts w:ascii="Courier New" w:hAnsi="Courier New" w:cs="Courier New" w:hint="default"/>
      </w:rPr>
    </w:lvl>
    <w:lvl w:ilvl="8">
      <w:start w:val="1"/>
      <w:numFmt w:val="bullet"/>
      <w:lvlText w:val=""/>
      <w:lvlJc w:val="left"/>
      <w:pPr>
        <w:tabs>
          <w:tab w:val="num" w:pos="6665"/>
        </w:tabs>
        <w:ind w:left="6665" w:hanging="360"/>
      </w:pPr>
      <w:rPr>
        <w:rFonts w:ascii="Wingdings" w:hAnsi="Wingdings" w:cs="Wingdings" w:hint="default"/>
      </w:rPr>
    </w:lvl>
  </w:abstractNum>
  <w:abstractNum w:abstractNumId="16">
    <w:nsid w:val="1F06634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7">
    <w:nsid w:val="25FF54D0"/>
    <w:multiLevelType w:val="singleLevel"/>
    <w:tmpl w:val="2F08B928"/>
    <w:lvl w:ilvl="0">
      <w:start w:val="1"/>
      <w:numFmt w:val="decimal"/>
      <w:lvlText w:val="%1."/>
      <w:lvlJc w:val="left"/>
      <w:pPr>
        <w:tabs>
          <w:tab w:val="num" w:pos="1211"/>
        </w:tabs>
        <w:ind w:left="1211" w:hanging="360"/>
      </w:pPr>
      <w:rPr>
        <w:rFonts w:hint="default"/>
      </w:rPr>
    </w:lvl>
  </w:abstractNum>
  <w:abstractNum w:abstractNumId="18">
    <w:nsid w:val="2A43015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9">
    <w:nsid w:val="2EA35C64"/>
    <w:multiLevelType w:val="singleLevel"/>
    <w:tmpl w:val="82708B9E"/>
    <w:lvl w:ilvl="0">
      <w:start w:val="1"/>
      <w:numFmt w:val="decimal"/>
      <w:lvlText w:val="%1."/>
      <w:lvlJc w:val="left"/>
      <w:pPr>
        <w:tabs>
          <w:tab w:val="num" w:pos="927"/>
        </w:tabs>
        <w:ind w:left="927" w:hanging="360"/>
      </w:pPr>
      <w:rPr>
        <w:rFonts w:hint="default"/>
      </w:rPr>
    </w:lvl>
  </w:abstractNum>
  <w:abstractNum w:abstractNumId="20">
    <w:nsid w:val="30235CDB"/>
    <w:multiLevelType w:val="singleLevel"/>
    <w:tmpl w:val="187ED796"/>
    <w:lvl w:ilvl="0">
      <w:numFmt w:val="bullet"/>
      <w:lvlText w:val="-"/>
      <w:lvlJc w:val="left"/>
      <w:pPr>
        <w:tabs>
          <w:tab w:val="num" w:pos="360"/>
        </w:tabs>
        <w:ind w:left="360" w:hanging="360"/>
      </w:pPr>
      <w:rPr>
        <w:rFonts w:hint="default"/>
      </w:rPr>
    </w:lvl>
  </w:abstractNum>
  <w:abstractNum w:abstractNumId="21">
    <w:nsid w:val="31D62B23"/>
    <w:multiLevelType w:val="singleLevel"/>
    <w:tmpl w:val="122EDCDA"/>
    <w:lvl w:ilvl="0">
      <w:start w:val="3"/>
      <w:numFmt w:val="bullet"/>
      <w:lvlText w:val="-"/>
      <w:lvlJc w:val="left"/>
      <w:pPr>
        <w:tabs>
          <w:tab w:val="num" w:pos="360"/>
        </w:tabs>
        <w:ind w:left="360" w:hanging="360"/>
      </w:pPr>
      <w:rPr>
        <w:rFonts w:hint="default"/>
      </w:rPr>
    </w:lvl>
  </w:abstractNum>
  <w:abstractNum w:abstractNumId="22">
    <w:nsid w:val="34C52938"/>
    <w:multiLevelType w:val="singleLevel"/>
    <w:tmpl w:val="0419000F"/>
    <w:lvl w:ilvl="0">
      <w:start w:val="1"/>
      <w:numFmt w:val="decimal"/>
      <w:lvlText w:val="%1."/>
      <w:lvlJc w:val="left"/>
      <w:pPr>
        <w:tabs>
          <w:tab w:val="num" w:pos="360"/>
        </w:tabs>
        <w:ind w:left="360" w:hanging="360"/>
      </w:pPr>
    </w:lvl>
  </w:abstractNum>
  <w:abstractNum w:abstractNumId="23">
    <w:nsid w:val="46724EE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4">
    <w:nsid w:val="486622BF"/>
    <w:multiLevelType w:val="singleLevel"/>
    <w:tmpl w:val="AC6C408E"/>
    <w:lvl w:ilvl="0">
      <w:start w:val="6"/>
      <w:numFmt w:val="bullet"/>
      <w:lvlText w:val="-"/>
      <w:lvlJc w:val="left"/>
      <w:pPr>
        <w:tabs>
          <w:tab w:val="num" w:pos="1320"/>
        </w:tabs>
        <w:ind w:left="1320" w:hanging="600"/>
      </w:pPr>
      <w:rPr>
        <w:rFonts w:hint="default"/>
      </w:rPr>
    </w:lvl>
  </w:abstractNum>
  <w:abstractNum w:abstractNumId="25">
    <w:nsid w:val="495743CA"/>
    <w:multiLevelType w:val="singleLevel"/>
    <w:tmpl w:val="A9A25592"/>
    <w:lvl w:ilvl="0">
      <w:start w:val="1"/>
      <w:numFmt w:val="decimal"/>
      <w:lvlText w:val="%1."/>
      <w:legacy w:legacy="1" w:legacySpace="120" w:legacyIndent="360"/>
      <w:lvlJc w:val="left"/>
      <w:pPr>
        <w:ind w:left="1040" w:hanging="360"/>
      </w:pPr>
    </w:lvl>
  </w:abstractNum>
  <w:abstractNum w:abstractNumId="26">
    <w:nsid w:val="5A970C3D"/>
    <w:multiLevelType w:val="multilevel"/>
    <w:tmpl w:val="00B4400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7">
    <w:nsid w:val="5F4C1FAF"/>
    <w:multiLevelType w:val="singleLevel"/>
    <w:tmpl w:val="65F0053A"/>
    <w:lvl w:ilvl="0">
      <w:numFmt w:val="bullet"/>
      <w:lvlText w:val="-"/>
      <w:lvlJc w:val="left"/>
      <w:pPr>
        <w:tabs>
          <w:tab w:val="num" w:pos="1211"/>
        </w:tabs>
        <w:ind w:left="1211" w:hanging="360"/>
      </w:pPr>
      <w:rPr>
        <w:rFonts w:hint="default"/>
      </w:rPr>
    </w:lvl>
  </w:abstractNum>
  <w:abstractNum w:abstractNumId="28">
    <w:nsid w:val="67416393"/>
    <w:multiLevelType w:val="multilevel"/>
    <w:tmpl w:val="2690E576"/>
    <w:lvl w:ilvl="0">
      <w:numFmt w:val="bullet"/>
      <w:lvlText w:val="-"/>
      <w:lvlJc w:val="left"/>
      <w:pPr>
        <w:tabs>
          <w:tab w:val="num" w:pos="1040"/>
        </w:tabs>
        <w:ind w:left="1021" w:hanging="341"/>
      </w:pPr>
      <w:rPr>
        <w:rFonts w:ascii="Times New Roman" w:eastAsia="Times New Roman" w:hAnsi="Times New Roman" w:hint="default"/>
      </w:rPr>
    </w:lvl>
    <w:lvl w:ilvl="1">
      <w:start w:val="1"/>
      <w:numFmt w:val="bullet"/>
      <w:lvlText w:val="o"/>
      <w:lvlJc w:val="left"/>
      <w:pPr>
        <w:tabs>
          <w:tab w:val="num" w:pos="1760"/>
        </w:tabs>
        <w:ind w:left="1760" w:hanging="360"/>
      </w:pPr>
      <w:rPr>
        <w:rFonts w:ascii="Courier New" w:hAnsi="Courier New" w:cs="Courier New" w:hint="default"/>
      </w:rPr>
    </w:lvl>
    <w:lvl w:ilvl="2">
      <w:start w:val="1"/>
      <w:numFmt w:val="bullet"/>
      <w:lvlText w:val=""/>
      <w:lvlJc w:val="left"/>
      <w:pPr>
        <w:tabs>
          <w:tab w:val="num" w:pos="2480"/>
        </w:tabs>
        <w:ind w:left="2480" w:hanging="360"/>
      </w:pPr>
      <w:rPr>
        <w:rFonts w:ascii="Wingdings" w:hAnsi="Wingdings" w:cs="Wingdings" w:hint="default"/>
      </w:rPr>
    </w:lvl>
    <w:lvl w:ilvl="3">
      <w:start w:val="1"/>
      <w:numFmt w:val="bullet"/>
      <w:lvlText w:val=""/>
      <w:lvlJc w:val="left"/>
      <w:pPr>
        <w:tabs>
          <w:tab w:val="num" w:pos="3200"/>
        </w:tabs>
        <w:ind w:left="3200" w:hanging="360"/>
      </w:pPr>
      <w:rPr>
        <w:rFonts w:ascii="Symbol" w:hAnsi="Symbol" w:cs="Symbol" w:hint="default"/>
      </w:rPr>
    </w:lvl>
    <w:lvl w:ilvl="4">
      <w:start w:val="1"/>
      <w:numFmt w:val="bullet"/>
      <w:lvlText w:val="o"/>
      <w:lvlJc w:val="left"/>
      <w:pPr>
        <w:tabs>
          <w:tab w:val="num" w:pos="3920"/>
        </w:tabs>
        <w:ind w:left="3920" w:hanging="360"/>
      </w:pPr>
      <w:rPr>
        <w:rFonts w:ascii="Courier New" w:hAnsi="Courier New" w:cs="Courier New" w:hint="default"/>
      </w:rPr>
    </w:lvl>
    <w:lvl w:ilvl="5">
      <w:start w:val="1"/>
      <w:numFmt w:val="bullet"/>
      <w:lvlText w:val=""/>
      <w:lvlJc w:val="left"/>
      <w:pPr>
        <w:tabs>
          <w:tab w:val="num" w:pos="4640"/>
        </w:tabs>
        <w:ind w:left="4640" w:hanging="360"/>
      </w:pPr>
      <w:rPr>
        <w:rFonts w:ascii="Wingdings" w:hAnsi="Wingdings" w:cs="Wingdings" w:hint="default"/>
      </w:rPr>
    </w:lvl>
    <w:lvl w:ilvl="6">
      <w:start w:val="1"/>
      <w:numFmt w:val="bullet"/>
      <w:lvlText w:val=""/>
      <w:lvlJc w:val="left"/>
      <w:pPr>
        <w:tabs>
          <w:tab w:val="num" w:pos="5360"/>
        </w:tabs>
        <w:ind w:left="5360" w:hanging="360"/>
      </w:pPr>
      <w:rPr>
        <w:rFonts w:ascii="Symbol" w:hAnsi="Symbol" w:cs="Symbol" w:hint="default"/>
      </w:rPr>
    </w:lvl>
    <w:lvl w:ilvl="7">
      <w:start w:val="1"/>
      <w:numFmt w:val="bullet"/>
      <w:lvlText w:val="o"/>
      <w:lvlJc w:val="left"/>
      <w:pPr>
        <w:tabs>
          <w:tab w:val="num" w:pos="6080"/>
        </w:tabs>
        <w:ind w:left="6080" w:hanging="360"/>
      </w:pPr>
      <w:rPr>
        <w:rFonts w:ascii="Courier New" w:hAnsi="Courier New" w:cs="Courier New" w:hint="default"/>
      </w:rPr>
    </w:lvl>
    <w:lvl w:ilvl="8">
      <w:start w:val="1"/>
      <w:numFmt w:val="bullet"/>
      <w:lvlText w:val=""/>
      <w:lvlJc w:val="left"/>
      <w:pPr>
        <w:tabs>
          <w:tab w:val="num" w:pos="6800"/>
        </w:tabs>
        <w:ind w:left="6800" w:hanging="360"/>
      </w:pPr>
      <w:rPr>
        <w:rFonts w:ascii="Wingdings" w:hAnsi="Wingdings" w:cs="Wingdings" w:hint="default"/>
      </w:rPr>
    </w:lvl>
  </w:abstractNum>
  <w:abstractNum w:abstractNumId="29">
    <w:nsid w:val="6A7C7585"/>
    <w:multiLevelType w:val="multilevel"/>
    <w:tmpl w:val="FD008FA0"/>
    <w:lvl w:ilvl="0">
      <w:numFmt w:val="bullet"/>
      <w:lvlText w:val="-"/>
      <w:lvlJc w:val="left"/>
      <w:pPr>
        <w:tabs>
          <w:tab w:val="num" w:pos="905"/>
        </w:tabs>
        <w:ind w:left="905" w:hanging="360"/>
      </w:pPr>
      <w:rPr>
        <w:rFonts w:ascii="Times New Roman" w:eastAsia="Times New Roman" w:hAnsi="Times New Roman" w:hint="default"/>
      </w:rPr>
    </w:lvl>
    <w:lvl w:ilvl="1">
      <w:start w:val="1"/>
      <w:numFmt w:val="bullet"/>
      <w:lvlText w:val="o"/>
      <w:lvlJc w:val="left"/>
      <w:pPr>
        <w:tabs>
          <w:tab w:val="num" w:pos="1625"/>
        </w:tabs>
        <w:ind w:left="1625" w:hanging="360"/>
      </w:pPr>
      <w:rPr>
        <w:rFonts w:ascii="Courier New" w:hAnsi="Courier New" w:cs="Courier New" w:hint="default"/>
      </w:rPr>
    </w:lvl>
    <w:lvl w:ilvl="2">
      <w:start w:val="1"/>
      <w:numFmt w:val="bullet"/>
      <w:lvlText w:val=""/>
      <w:lvlJc w:val="left"/>
      <w:pPr>
        <w:tabs>
          <w:tab w:val="num" w:pos="2345"/>
        </w:tabs>
        <w:ind w:left="2345" w:hanging="360"/>
      </w:pPr>
      <w:rPr>
        <w:rFonts w:ascii="Wingdings" w:hAnsi="Wingdings" w:cs="Wingdings" w:hint="default"/>
      </w:rPr>
    </w:lvl>
    <w:lvl w:ilvl="3">
      <w:start w:val="1"/>
      <w:numFmt w:val="bullet"/>
      <w:lvlText w:val=""/>
      <w:lvlJc w:val="left"/>
      <w:pPr>
        <w:tabs>
          <w:tab w:val="num" w:pos="3065"/>
        </w:tabs>
        <w:ind w:left="3065" w:hanging="360"/>
      </w:pPr>
      <w:rPr>
        <w:rFonts w:ascii="Symbol" w:hAnsi="Symbol" w:cs="Symbol" w:hint="default"/>
      </w:rPr>
    </w:lvl>
    <w:lvl w:ilvl="4">
      <w:start w:val="1"/>
      <w:numFmt w:val="bullet"/>
      <w:lvlText w:val="o"/>
      <w:lvlJc w:val="left"/>
      <w:pPr>
        <w:tabs>
          <w:tab w:val="num" w:pos="3785"/>
        </w:tabs>
        <w:ind w:left="3785" w:hanging="360"/>
      </w:pPr>
      <w:rPr>
        <w:rFonts w:ascii="Courier New" w:hAnsi="Courier New" w:cs="Courier New" w:hint="default"/>
      </w:rPr>
    </w:lvl>
    <w:lvl w:ilvl="5">
      <w:start w:val="1"/>
      <w:numFmt w:val="bullet"/>
      <w:lvlText w:val=""/>
      <w:lvlJc w:val="left"/>
      <w:pPr>
        <w:tabs>
          <w:tab w:val="num" w:pos="4505"/>
        </w:tabs>
        <w:ind w:left="4505" w:hanging="360"/>
      </w:pPr>
      <w:rPr>
        <w:rFonts w:ascii="Wingdings" w:hAnsi="Wingdings" w:cs="Wingdings" w:hint="default"/>
      </w:rPr>
    </w:lvl>
    <w:lvl w:ilvl="6">
      <w:start w:val="1"/>
      <w:numFmt w:val="bullet"/>
      <w:lvlText w:val=""/>
      <w:lvlJc w:val="left"/>
      <w:pPr>
        <w:tabs>
          <w:tab w:val="num" w:pos="5225"/>
        </w:tabs>
        <w:ind w:left="5225" w:hanging="360"/>
      </w:pPr>
      <w:rPr>
        <w:rFonts w:ascii="Symbol" w:hAnsi="Symbol" w:cs="Symbol" w:hint="default"/>
      </w:rPr>
    </w:lvl>
    <w:lvl w:ilvl="7">
      <w:start w:val="1"/>
      <w:numFmt w:val="bullet"/>
      <w:lvlText w:val="o"/>
      <w:lvlJc w:val="left"/>
      <w:pPr>
        <w:tabs>
          <w:tab w:val="num" w:pos="5945"/>
        </w:tabs>
        <w:ind w:left="5945" w:hanging="360"/>
      </w:pPr>
      <w:rPr>
        <w:rFonts w:ascii="Courier New" w:hAnsi="Courier New" w:cs="Courier New" w:hint="default"/>
      </w:rPr>
    </w:lvl>
    <w:lvl w:ilvl="8">
      <w:start w:val="1"/>
      <w:numFmt w:val="bullet"/>
      <w:lvlText w:val=""/>
      <w:lvlJc w:val="left"/>
      <w:pPr>
        <w:tabs>
          <w:tab w:val="num" w:pos="6665"/>
        </w:tabs>
        <w:ind w:left="6665" w:hanging="360"/>
      </w:pPr>
      <w:rPr>
        <w:rFonts w:ascii="Wingdings" w:hAnsi="Wingdings" w:cs="Wingdings" w:hint="default"/>
      </w:rPr>
    </w:lvl>
  </w:abstractNum>
  <w:abstractNum w:abstractNumId="30">
    <w:nsid w:val="6F0975E7"/>
    <w:multiLevelType w:val="singleLevel"/>
    <w:tmpl w:val="CC8EF9A2"/>
    <w:lvl w:ilvl="0">
      <w:start w:val="1"/>
      <w:numFmt w:val="decimal"/>
      <w:lvlText w:val="%1."/>
      <w:lvlJc w:val="left"/>
      <w:pPr>
        <w:tabs>
          <w:tab w:val="num" w:pos="1286"/>
        </w:tabs>
        <w:ind w:left="1286" w:hanging="360"/>
      </w:pPr>
      <w:rPr>
        <w:rFonts w:hint="default"/>
      </w:rPr>
    </w:lvl>
  </w:abstractNum>
  <w:abstractNum w:abstractNumId="31">
    <w:nsid w:val="758C4436"/>
    <w:multiLevelType w:val="multilevel"/>
    <w:tmpl w:val="00B4400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2">
    <w:nsid w:val="75A05C44"/>
    <w:multiLevelType w:val="singleLevel"/>
    <w:tmpl w:val="C9461372"/>
    <w:lvl w:ilvl="0">
      <w:numFmt w:val="bullet"/>
      <w:lvlText w:val="-"/>
      <w:lvlJc w:val="left"/>
      <w:pPr>
        <w:tabs>
          <w:tab w:val="num" w:pos="1080"/>
        </w:tabs>
        <w:ind w:left="1080" w:hanging="360"/>
      </w:pPr>
      <w:rPr>
        <w:rFonts w:hint="default"/>
      </w:rPr>
    </w:lvl>
  </w:abstractNum>
  <w:abstractNum w:abstractNumId="33">
    <w:nsid w:val="78EE185B"/>
    <w:multiLevelType w:val="multilevel"/>
    <w:tmpl w:val="00B4400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4">
    <w:nsid w:val="7D7C48EE"/>
    <w:multiLevelType w:val="singleLevel"/>
    <w:tmpl w:val="0419000F"/>
    <w:lvl w:ilvl="0">
      <w:start w:val="1"/>
      <w:numFmt w:val="decimal"/>
      <w:lvlText w:val="%1."/>
      <w:lvlJc w:val="left"/>
      <w:pPr>
        <w:tabs>
          <w:tab w:val="num" w:pos="360"/>
        </w:tabs>
        <w:ind w:left="360" w:hanging="360"/>
      </w:pPr>
    </w:lvl>
  </w:abstractNum>
  <w:num w:numId="1">
    <w:abstractNumId w:val="34"/>
  </w:num>
  <w:num w:numId="2">
    <w:abstractNumId w:val="31"/>
  </w:num>
  <w:num w:numId="3">
    <w:abstractNumId w:val="26"/>
  </w:num>
  <w:num w:numId="4">
    <w:abstractNumId w:val="3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0"/>
  </w:num>
  <w:num w:numId="16">
    <w:abstractNumId w:val="17"/>
  </w:num>
  <w:num w:numId="17">
    <w:abstractNumId w:val="32"/>
  </w:num>
  <w:num w:numId="18">
    <w:abstractNumId w:val="14"/>
  </w:num>
  <w:num w:numId="19">
    <w:abstractNumId w:val="28"/>
  </w:num>
  <w:num w:numId="20">
    <w:abstractNumId w:val="15"/>
  </w:num>
  <w:num w:numId="21">
    <w:abstractNumId w:val="16"/>
  </w:num>
  <w:num w:numId="22">
    <w:abstractNumId w:val="23"/>
  </w:num>
  <w:num w:numId="23">
    <w:abstractNumId w:val="18"/>
  </w:num>
  <w:num w:numId="24">
    <w:abstractNumId w:val="10"/>
  </w:num>
  <w:num w:numId="25">
    <w:abstractNumId w:val="12"/>
  </w:num>
  <w:num w:numId="26">
    <w:abstractNumId w:val="13"/>
  </w:num>
  <w:num w:numId="27">
    <w:abstractNumId w:val="24"/>
  </w:num>
  <w:num w:numId="28">
    <w:abstractNumId w:val="20"/>
  </w:num>
  <w:num w:numId="29">
    <w:abstractNumId w:val="25"/>
  </w:num>
  <w:num w:numId="30">
    <w:abstractNumId w:val="11"/>
  </w:num>
  <w:num w:numId="31">
    <w:abstractNumId w:val="27"/>
  </w:num>
  <w:num w:numId="32">
    <w:abstractNumId w:val="22"/>
  </w:num>
  <w:num w:numId="33">
    <w:abstractNumId w:val="19"/>
  </w:num>
  <w:num w:numId="34">
    <w:abstractNumId w:val="21"/>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ctiveWritingStyle w:appName="MSWord" w:lang="ru-RU" w:vendorID="1" w:dllVersion="512" w:checkStyle="1"/>
  <w:stylePaneFormatFilter w:val="3F01"/>
  <w:defaultTabStop w:val="720"/>
  <w:autoHyphenation/>
  <w:hyphenationZone w:val="357"/>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rsids>
    <w:rsidRoot w:val="00F4654E"/>
    <w:rsid w:val="0001153D"/>
    <w:rsid w:val="00012E5D"/>
    <w:rsid w:val="000605C3"/>
    <w:rsid w:val="002477DD"/>
    <w:rsid w:val="00251F7C"/>
    <w:rsid w:val="00403C86"/>
    <w:rsid w:val="00414261"/>
    <w:rsid w:val="0047197F"/>
    <w:rsid w:val="004A4978"/>
    <w:rsid w:val="004D0DFB"/>
    <w:rsid w:val="004D29CD"/>
    <w:rsid w:val="005536D4"/>
    <w:rsid w:val="00562255"/>
    <w:rsid w:val="0058470C"/>
    <w:rsid w:val="00607793"/>
    <w:rsid w:val="00640648"/>
    <w:rsid w:val="006840C8"/>
    <w:rsid w:val="006858F9"/>
    <w:rsid w:val="006B6B22"/>
    <w:rsid w:val="00723C7C"/>
    <w:rsid w:val="007717AC"/>
    <w:rsid w:val="007A098E"/>
    <w:rsid w:val="007A6E39"/>
    <w:rsid w:val="008610FE"/>
    <w:rsid w:val="009B7296"/>
    <w:rsid w:val="00A11B7B"/>
    <w:rsid w:val="00B04EAB"/>
    <w:rsid w:val="00B6037B"/>
    <w:rsid w:val="00B904BE"/>
    <w:rsid w:val="00BD55B7"/>
    <w:rsid w:val="00C344B2"/>
    <w:rsid w:val="00D4101F"/>
    <w:rsid w:val="00D6523B"/>
    <w:rsid w:val="00D7004F"/>
    <w:rsid w:val="00D75866"/>
    <w:rsid w:val="00E05280"/>
    <w:rsid w:val="00E0607A"/>
    <w:rsid w:val="00F2072C"/>
    <w:rsid w:val="00F21686"/>
    <w:rsid w:val="00F4654E"/>
    <w:rsid w:val="00F67E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8"/>
      <w:szCs w:val="28"/>
    </w:rPr>
  </w:style>
  <w:style w:type="paragraph" w:styleId="1">
    <w:name w:val="heading 1"/>
    <w:basedOn w:val="a"/>
    <w:next w:val="a"/>
    <w:qFormat/>
    <w:pPr>
      <w:keepNext/>
      <w:spacing w:before="120" w:after="120"/>
      <w:jc w:val="center"/>
      <w:outlineLvl w:val="0"/>
    </w:pPr>
    <w:rPr>
      <w:b/>
      <w:bCs/>
      <w:caps/>
      <w:sz w:val="24"/>
      <w:szCs w:val="24"/>
    </w:rPr>
  </w:style>
  <w:style w:type="paragraph" w:styleId="2">
    <w:name w:val="heading 2"/>
    <w:basedOn w:val="a"/>
    <w:next w:val="a"/>
    <w:qFormat/>
    <w:pPr>
      <w:keepNext/>
      <w:tabs>
        <w:tab w:val="center" w:pos="4677"/>
        <w:tab w:val="right" w:pos="9355"/>
      </w:tabs>
      <w:spacing w:after="120"/>
      <w:jc w:val="center"/>
      <w:outlineLvl w:val="1"/>
    </w:pPr>
    <w:rPr>
      <w:i/>
      <w:iCs/>
    </w:rPr>
  </w:style>
  <w:style w:type="paragraph" w:styleId="3">
    <w:name w:val="heading 3"/>
    <w:basedOn w:val="a"/>
    <w:next w:val="a"/>
    <w:qFormat/>
    <w:pPr>
      <w:keepNext/>
      <w:ind w:firstLine="680"/>
      <w:outlineLvl w:val="2"/>
    </w:pPr>
  </w:style>
  <w:style w:type="paragraph" w:styleId="5">
    <w:name w:val="heading 5"/>
    <w:basedOn w:val="a"/>
    <w:next w:val="a"/>
    <w:qFormat/>
    <w:pPr>
      <w:keepNext/>
      <w:spacing w:line="360" w:lineRule="auto"/>
      <w:ind w:firstLine="709"/>
      <w:outlineLvl w:val="4"/>
    </w:pPr>
  </w:style>
  <w:style w:type="paragraph" w:styleId="6">
    <w:name w:val="heading 6"/>
    <w:basedOn w:val="a"/>
    <w:next w:val="a"/>
    <w:qFormat/>
    <w:pPr>
      <w:keepNext/>
      <w:jc w:val="both"/>
      <w:outlineLvl w:val="5"/>
    </w:pPr>
    <w:rPr>
      <w:b/>
      <w:bCs/>
      <w:cap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spacing w:line="360" w:lineRule="auto"/>
      <w:jc w:val="center"/>
    </w:pPr>
  </w:style>
  <w:style w:type="paragraph" w:customStyle="1" w:styleId="a4">
    <w:name w:val="УДК"/>
    <w:basedOn w:val="a"/>
    <w:pPr>
      <w:spacing w:before="240" w:after="120"/>
    </w:pPr>
    <w:rPr>
      <w:i/>
      <w:iCs/>
      <w:caps/>
      <w:sz w:val="24"/>
      <w:szCs w:val="24"/>
    </w:rPr>
  </w:style>
  <w:style w:type="paragraph" w:styleId="10">
    <w:name w:val="toc 1"/>
    <w:basedOn w:val="a"/>
    <w:next w:val="a"/>
    <w:autoRedefine/>
    <w:semiHidden/>
    <w:pPr>
      <w:tabs>
        <w:tab w:val="right" w:leader="dot" w:pos="9061"/>
      </w:tabs>
    </w:pPr>
    <w:rPr>
      <w:rFonts w:ascii="Arial" w:hAnsi="Arial" w:cs="Arial"/>
      <w:caps/>
      <w:noProof/>
      <w:spacing w:val="-4"/>
      <w:sz w:val="20"/>
      <w:szCs w:val="20"/>
    </w:rPr>
  </w:style>
  <w:style w:type="paragraph" w:styleId="20">
    <w:name w:val="toc 2"/>
    <w:basedOn w:val="a"/>
    <w:next w:val="a"/>
    <w:autoRedefine/>
    <w:semiHidden/>
    <w:rsid w:val="00562255"/>
    <w:pPr>
      <w:tabs>
        <w:tab w:val="right" w:leader="dot" w:pos="9061"/>
      </w:tabs>
      <w:ind w:left="284"/>
    </w:pPr>
    <w:rPr>
      <w:b/>
      <w:bCs/>
      <w:i/>
      <w:iCs/>
      <w:noProof/>
      <w:sz w:val="24"/>
      <w:szCs w:val="24"/>
    </w:rPr>
  </w:style>
  <w:style w:type="paragraph" w:customStyle="1" w:styleId="a5">
    <w:name w:val="Организация"/>
    <w:basedOn w:val="a"/>
    <w:pPr>
      <w:spacing w:after="120"/>
      <w:jc w:val="center"/>
    </w:pPr>
    <w:rPr>
      <w:sz w:val="24"/>
      <w:szCs w:val="24"/>
    </w:rPr>
  </w:style>
  <w:style w:type="paragraph" w:customStyle="1" w:styleId="a6">
    <w:name w:val="Текст статьи"/>
    <w:basedOn w:val="a"/>
    <w:pPr>
      <w:ind w:firstLine="567"/>
      <w:jc w:val="both"/>
    </w:pPr>
  </w:style>
  <w:style w:type="paragraph" w:styleId="a7">
    <w:name w:val="Block Text"/>
    <w:basedOn w:val="a"/>
    <w:pPr>
      <w:widowControl w:val="0"/>
      <w:ind w:left="240" w:right="200"/>
      <w:jc w:val="center"/>
    </w:pPr>
    <w:rPr>
      <w:b/>
      <w:bCs/>
    </w:rPr>
  </w:style>
  <w:style w:type="paragraph" w:styleId="a8">
    <w:name w:val="header"/>
    <w:basedOn w:val="a"/>
    <w:pPr>
      <w:tabs>
        <w:tab w:val="center" w:pos="4153"/>
        <w:tab w:val="right" w:pos="8306"/>
      </w:tabs>
    </w:pPr>
  </w:style>
  <w:style w:type="paragraph" w:styleId="30">
    <w:name w:val="toc 3"/>
    <w:basedOn w:val="a"/>
    <w:next w:val="a"/>
    <w:autoRedefine/>
    <w:semiHidden/>
    <w:pPr>
      <w:ind w:left="280"/>
    </w:pPr>
    <w:rPr>
      <w:sz w:val="20"/>
      <w:szCs w:val="20"/>
    </w:rPr>
  </w:style>
  <w:style w:type="paragraph" w:styleId="a9">
    <w:name w:val="Title"/>
    <w:basedOn w:val="a"/>
    <w:qFormat/>
    <w:pPr>
      <w:tabs>
        <w:tab w:val="left" w:pos="9214"/>
      </w:tabs>
      <w:spacing w:line="360" w:lineRule="auto"/>
      <w:ind w:right="84" w:firstLine="567"/>
      <w:jc w:val="center"/>
    </w:pPr>
  </w:style>
  <w:style w:type="paragraph" w:styleId="aa">
    <w:name w:val="footer"/>
    <w:basedOn w:val="a"/>
    <w:pPr>
      <w:tabs>
        <w:tab w:val="center" w:pos="4677"/>
        <w:tab w:val="right" w:pos="9355"/>
      </w:tabs>
    </w:pPr>
  </w:style>
  <w:style w:type="paragraph" w:styleId="4">
    <w:name w:val="toc 4"/>
    <w:basedOn w:val="a"/>
    <w:next w:val="a"/>
    <w:autoRedefine/>
    <w:semiHidden/>
    <w:pPr>
      <w:ind w:left="560"/>
    </w:pPr>
    <w:rPr>
      <w:sz w:val="20"/>
      <w:szCs w:val="20"/>
    </w:rPr>
  </w:style>
  <w:style w:type="paragraph" w:styleId="50">
    <w:name w:val="toc 5"/>
    <w:basedOn w:val="a"/>
    <w:next w:val="a"/>
    <w:autoRedefine/>
    <w:semiHidden/>
    <w:pPr>
      <w:ind w:left="840"/>
    </w:pPr>
    <w:rPr>
      <w:sz w:val="20"/>
      <w:szCs w:val="20"/>
    </w:rPr>
  </w:style>
  <w:style w:type="paragraph" w:styleId="60">
    <w:name w:val="toc 6"/>
    <w:basedOn w:val="a"/>
    <w:next w:val="a"/>
    <w:autoRedefine/>
    <w:semiHidden/>
    <w:pPr>
      <w:ind w:left="1120"/>
    </w:pPr>
    <w:rPr>
      <w:sz w:val="20"/>
      <w:szCs w:val="20"/>
    </w:rPr>
  </w:style>
  <w:style w:type="paragraph" w:styleId="7">
    <w:name w:val="toc 7"/>
    <w:basedOn w:val="a"/>
    <w:next w:val="a"/>
    <w:autoRedefine/>
    <w:semiHidden/>
    <w:pPr>
      <w:ind w:left="1400"/>
    </w:pPr>
    <w:rPr>
      <w:sz w:val="20"/>
      <w:szCs w:val="20"/>
    </w:rPr>
  </w:style>
  <w:style w:type="paragraph" w:styleId="8">
    <w:name w:val="toc 8"/>
    <w:basedOn w:val="a"/>
    <w:next w:val="a"/>
    <w:autoRedefine/>
    <w:semiHidden/>
    <w:pPr>
      <w:ind w:left="1680"/>
    </w:pPr>
    <w:rPr>
      <w:sz w:val="20"/>
      <w:szCs w:val="20"/>
    </w:rPr>
  </w:style>
  <w:style w:type="paragraph" w:styleId="9">
    <w:name w:val="toc 9"/>
    <w:basedOn w:val="a"/>
    <w:next w:val="a"/>
    <w:autoRedefine/>
    <w:semiHidden/>
    <w:pPr>
      <w:ind w:left="1960"/>
    </w:pPr>
    <w:rPr>
      <w:sz w:val="20"/>
      <w:szCs w:val="20"/>
    </w:rPr>
  </w:style>
  <w:style w:type="character" w:styleId="ab">
    <w:name w:val="page number"/>
    <w:basedOn w:val="a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725</Pages>
  <Words>278461</Words>
  <Characters>1587234</Characters>
  <Application>Microsoft Office Word</Application>
  <DocSecurity>0</DocSecurity>
  <Lines>13226</Lines>
  <Paragraphs>3723</Paragraphs>
  <ScaleCrop>false</ScaleCrop>
  <HeadingPairs>
    <vt:vector size="2" baseType="variant">
      <vt:variant>
        <vt:lpstr>Название</vt:lpstr>
      </vt:variant>
      <vt:variant>
        <vt:i4>1</vt:i4>
      </vt:variant>
    </vt:vector>
  </HeadingPairs>
  <TitlesOfParts>
    <vt:vector size="1" baseType="lpstr">
      <vt:lpstr>УДК 636</vt:lpstr>
    </vt:vector>
  </TitlesOfParts>
  <Company>-</Company>
  <LinksUpToDate>false</LinksUpToDate>
  <CharactersWithSpaces>1861972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636</dc:title>
  <dc:creator>Кафедра терапии</dc:creator>
  <cp:lastModifiedBy>123</cp:lastModifiedBy>
  <cp:revision>2</cp:revision>
  <cp:lastPrinted>2002-06-26T09:13:00Z</cp:lastPrinted>
  <dcterms:created xsi:type="dcterms:W3CDTF">2019-04-11T08:27:00Z</dcterms:created>
  <dcterms:modified xsi:type="dcterms:W3CDTF">2019-04-11T08:27:00Z</dcterms:modified>
</cp:coreProperties>
</file>